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rFonts w:ascii="Microsoft JhengHei" w:hAnsi="Microsoft JhengHei" w:eastAsia="Microsoft JhengHei" w:cs="Microsoft JhengHei"/>
          <w:b/>
          <w:color w:val="2C5F2D"/>
          <w:sz w:val="40"/>
        </w:rPr>
        <w:t>地景複發熱點觀測站｜決賽簡報講稿</w:t>
      </w:r>
    </w:p>
    <w:p>
      <w:r>
        <w:rPr>
          <w:rFonts w:ascii="Microsoft JhengHei" w:hAnsi="Microsoft JhengHei" w:eastAsia="Microsoft JhengHei" w:cs="Microsoft JhengHei"/>
          <w:color w:val="5E6B63"/>
          <w:sz w:val="22"/>
        </w:rPr>
        <w:t>TASTI_SatDashboard・OSSInt 2026 決賽・限時 5 分鐘（主線 7 頁，備用 3 頁問答時再翻）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353"/>
        <w:gridCol w:w="2353"/>
        <w:gridCol w:w="2353"/>
        <w:gridCol w:w="2353"/>
      </w:tblGrid>
      <w:tr>
        <w:tc>
          <w:tcPr>
            <w:tcW w:type="dxa" w:w="1017"/>
            <w:shd w:val="clear" w:color="auto" w:fill="2C5F2D"/>
          </w:tcPr>
          <w:p>
            <w:r>
              <w:rPr>
                <w:b/>
              </w:rPr>
            </w:r>
            <w:r>
              <w:rPr>
                <w:rFonts w:ascii="Microsoft JhengHei" w:hAnsi="Microsoft JhengHei" w:eastAsia="Microsoft JhengHei" w:cs="Microsoft JhengHei"/>
                <w:b/>
                <w:i w:val="0"/>
                <w:color w:val="FFFFFF"/>
                <w:sz w:val="20"/>
              </w:rPr>
              <w:t>頁</w:t>
            </w:r>
          </w:p>
        </w:tc>
        <w:tc>
          <w:tcPr>
            <w:tcW w:type="dxa" w:w="6359"/>
            <w:shd w:val="clear" w:color="auto" w:fill="2C5F2D"/>
          </w:tcPr>
          <w:p>
            <w:r>
              <w:rPr>
                <w:b/>
              </w:rPr>
            </w:r>
            <w:r>
              <w:rPr>
                <w:rFonts w:ascii="Microsoft JhengHei" w:hAnsi="Microsoft JhengHei" w:eastAsia="Microsoft JhengHei" w:cs="Microsoft JhengHei"/>
                <w:b/>
                <w:i w:val="0"/>
                <w:color w:val="FFFFFF"/>
                <w:sz w:val="20"/>
              </w:rPr>
              <w:t>主題</w:t>
            </w:r>
          </w:p>
        </w:tc>
        <w:tc>
          <w:tcPr>
            <w:tcW w:type="dxa" w:w="1017"/>
            <w:shd w:val="clear" w:color="auto" w:fill="2C5F2D"/>
          </w:tcPr>
          <w:p>
            <w:r>
              <w:rPr>
                <w:b/>
              </w:rPr>
            </w:r>
            <w:r>
              <w:rPr>
                <w:rFonts w:ascii="Microsoft JhengHei" w:hAnsi="Microsoft JhengHei" w:eastAsia="Microsoft JhengHei" w:cs="Microsoft JhengHei"/>
                <w:b/>
                <w:i w:val="0"/>
                <w:color w:val="FFFFFF"/>
                <w:sz w:val="20"/>
              </w:rPr>
              <w:t>建議秒數</w:t>
            </w:r>
          </w:p>
        </w:tc>
        <w:tc>
          <w:tcPr>
            <w:tcW w:type="dxa" w:w="1017"/>
            <w:shd w:val="clear" w:color="auto" w:fill="2C5F2D"/>
          </w:tcPr>
          <w:p>
            <w:r>
              <w:rPr>
                <w:b/>
              </w:rPr>
            </w:r>
            <w:r>
              <w:rPr>
                <w:rFonts w:ascii="Microsoft JhengHei" w:hAnsi="Microsoft JhengHei" w:eastAsia="Microsoft JhengHei" w:cs="Microsoft JhengHei"/>
                <w:b/>
                <w:i w:val="0"/>
                <w:color w:val="FFFFFF"/>
                <w:sz w:val="20"/>
              </w:rPr>
              <w:t>累計</w:t>
            </w:r>
          </w:p>
        </w:tc>
      </w:tr>
      <w:tr>
        <w:tc>
          <w:tcPr>
            <w:tcW w:type="dxa" w:w="1017"/>
          </w:tcPr>
          <w:p>
            <w:r/>
            <w:r>
              <w:rPr>
                <w:rFonts w:ascii="Microsoft JhengHei" w:hAnsi="Microsoft JhengHei" w:eastAsia="Microsoft JhengHei" w:cs="Microsoft JhengHei"/>
                <w:i w:val="0"/>
                <w:sz w:val="20"/>
              </w:rPr>
              <w:t>1</w:t>
            </w:r>
          </w:p>
        </w:tc>
        <w:tc>
          <w:tcPr>
            <w:tcW w:type="dxa" w:w="6359"/>
          </w:tcPr>
          <w:p>
            <w:r/>
            <w:r>
              <w:rPr>
                <w:rFonts w:ascii="Microsoft JhengHei" w:hAnsi="Microsoft JhengHei" w:eastAsia="Microsoft JhengHei" w:cs="Microsoft JhengHei"/>
                <w:i w:val="0"/>
                <w:sz w:val="20"/>
              </w:rPr>
              <w:t>封面：地景複發熱點觀測站／坡地韌性哨兵</w:t>
            </w:r>
          </w:p>
        </w:tc>
        <w:tc>
          <w:tcPr>
            <w:tcW w:type="dxa" w:w="1017"/>
          </w:tcPr>
          <w:p>
            <w:r/>
            <w:r>
              <w:rPr>
                <w:rFonts w:ascii="Microsoft JhengHei" w:hAnsi="Microsoft JhengHei" w:eastAsia="Microsoft JhengHei" w:cs="Microsoft JhengHei"/>
                <w:i w:val="0"/>
                <w:sz w:val="20"/>
              </w:rPr>
              <w:t>20</w:t>
            </w:r>
          </w:p>
        </w:tc>
        <w:tc>
          <w:tcPr>
            <w:tcW w:type="dxa" w:w="1017"/>
          </w:tcPr>
          <w:p>
            <w:r/>
            <w:r>
              <w:rPr>
                <w:rFonts w:ascii="Microsoft JhengHei" w:hAnsi="Microsoft JhengHei" w:eastAsia="Microsoft JhengHei" w:cs="Microsoft JhengHei"/>
                <w:i w:val="0"/>
                <w:sz w:val="20"/>
              </w:rPr>
              <w:t>0:20</w:t>
            </w:r>
          </w:p>
        </w:tc>
      </w:tr>
      <w:tr>
        <w:tc>
          <w:tcPr>
            <w:tcW w:type="dxa" w:w="1017"/>
          </w:tcPr>
          <w:p>
            <w:r/>
            <w:r>
              <w:rPr>
                <w:rFonts w:ascii="Microsoft JhengHei" w:hAnsi="Microsoft JhengHei" w:eastAsia="Microsoft JhengHei" w:cs="Microsoft JhengHei"/>
                <w:i w:val="0"/>
                <w:sz w:val="20"/>
              </w:rPr>
              <w:t>2</w:t>
            </w:r>
          </w:p>
        </w:tc>
        <w:tc>
          <w:tcPr>
            <w:tcW w:type="dxa" w:w="6359"/>
          </w:tcPr>
          <w:p>
            <w:r/>
            <w:r>
              <w:rPr>
                <w:rFonts w:ascii="Microsoft JhengHei" w:hAnsi="Microsoft JhengHei" w:eastAsia="Microsoft JhengHei" w:cs="Microsoft JhengHei"/>
                <w:i w:val="0"/>
                <w:sz w:val="20"/>
              </w:rPr>
              <w:t>巡查先看哪裡？證據散在三個地方</w:t>
            </w:r>
          </w:p>
        </w:tc>
        <w:tc>
          <w:tcPr>
            <w:tcW w:type="dxa" w:w="1017"/>
          </w:tcPr>
          <w:p>
            <w:r/>
            <w:r>
              <w:rPr>
                <w:rFonts w:ascii="Microsoft JhengHei" w:hAnsi="Microsoft JhengHei" w:eastAsia="Microsoft JhengHei" w:cs="Microsoft JhengHei"/>
                <w:i w:val="0"/>
                <w:sz w:val="20"/>
              </w:rPr>
              <w:t>30</w:t>
            </w:r>
          </w:p>
        </w:tc>
        <w:tc>
          <w:tcPr>
            <w:tcW w:type="dxa" w:w="1017"/>
          </w:tcPr>
          <w:p>
            <w:r/>
            <w:r>
              <w:rPr>
                <w:rFonts w:ascii="Microsoft JhengHei" w:hAnsi="Microsoft JhengHei" w:eastAsia="Microsoft JhengHei" w:cs="Microsoft JhengHei"/>
                <w:i w:val="0"/>
                <w:sz w:val="20"/>
              </w:rPr>
              <w:t>0:50</w:t>
            </w:r>
          </w:p>
        </w:tc>
      </w:tr>
      <w:tr>
        <w:tc>
          <w:tcPr>
            <w:tcW w:type="dxa" w:w="1017"/>
          </w:tcPr>
          <w:p>
            <w:r/>
            <w:r>
              <w:rPr>
                <w:rFonts w:ascii="Microsoft JhengHei" w:hAnsi="Microsoft JhengHei" w:eastAsia="Microsoft JhengHei" w:cs="Microsoft JhengHei"/>
                <w:i w:val="0"/>
                <w:sz w:val="20"/>
              </w:rPr>
              <w:t>3</w:t>
            </w:r>
          </w:p>
        </w:tc>
        <w:tc>
          <w:tcPr>
            <w:tcW w:type="dxa" w:w="6359"/>
          </w:tcPr>
          <w:p>
            <w:r/>
            <w:r>
              <w:rPr>
                <w:rFonts w:ascii="Microsoft JhengHei" w:hAnsi="Microsoft JhengHei" w:eastAsia="Microsoft JhengHei" w:cs="Microsoft JhengHei"/>
                <w:i w:val="0"/>
                <w:sz w:val="20"/>
              </w:rPr>
              <w:t>技術亮點：免費衛星＋開放資料，每個數字都量過</w:t>
            </w:r>
          </w:p>
        </w:tc>
        <w:tc>
          <w:tcPr>
            <w:tcW w:type="dxa" w:w="1017"/>
          </w:tcPr>
          <w:p>
            <w:r/>
            <w:r>
              <w:rPr>
                <w:rFonts w:ascii="Microsoft JhengHei" w:hAnsi="Microsoft JhengHei" w:eastAsia="Microsoft JhengHei" w:cs="Microsoft JhengHei"/>
                <w:i w:val="0"/>
                <w:sz w:val="20"/>
              </w:rPr>
              <w:t>50</w:t>
            </w:r>
          </w:p>
        </w:tc>
        <w:tc>
          <w:tcPr>
            <w:tcW w:type="dxa" w:w="1017"/>
          </w:tcPr>
          <w:p>
            <w:r/>
            <w:r>
              <w:rPr>
                <w:rFonts w:ascii="Microsoft JhengHei" w:hAnsi="Microsoft JhengHei" w:eastAsia="Microsoft JhengHei" w:cs="Microsoft JhengHei"/>
                <w:i w:val="0"/>
                <w:sz w:val="20"/>
              </w:rPr>
              <w:t>1:40</w:t>
            </w:r>
          </w:p>
        </w:tc>
      </w:tr>
      <w:tr>
        <w:tc>
          <w:tcPr>
            <w:tcW w:type="dxa" w:w="1017"/>
          </w:tcPr>
          <w:p>
            <w:r/>
            <w:r>
              <w:rPr>
                <w:rFonts w:ascii="Microsoft JhengHei" w:hAnsi="Microsoft JhengHei" w:eastAsia="Microsoft JhengHei" w:cs="Microsoft JhengHei"/>
                <w:i w:val="0"/>
                <w:sz w:val="20"/>
              </w:rPr>
              <w:t>4</w:t>
            </w:r>
          </w:p>
        </w:tc>
        <w:tc>
          <w:tcPr>
            <w:tcW w:type="dxa" w:w="6359"/>
          </w:tcPr>
          <w:p>
            <w:r/>
            <w:r>
              <w:rPr>
                <w:rFonts w:ascii="Microsoft JhengHei" w:hAnsi="Microsoft JhengHei" w:eastAsia="Microsoft JhengHei" w:cs="Microsoft JhengHei"/>
                <w:i w:val="0"/>
                <w:sz w:val="20"/>
              </w:rPr>
              <w:t>架構創新：證據鏈分開呈現，不給總分，最後由人決定</w:t>
            </w:r>
          </w:p>
        </w:tc>
        <w:tc>
          <w:tcPr>
            <w:tcW w:type="dxa" w:w="1017"/>
          </w:tcPr>
          <w:p>
            <w:r/>
            <w:r>
              <w:rPr>
                <w:rFonts w:ascii="Microsoft JhengHei" w:hAnsi="Microsoft JhengHei" w:eastAsia="Microsoft JhengHei" w:cs="Microsoft JhengHei"/>
                <w:i w:val="0"/>
                <w:sz w:val="20"/>
              </w:rPr>
              <w:t>45</w:t>
            </w:r>
          </w:p>
        </w:tc>
        <w:tc>
          <w:tcPr>
            <w:tcW w:type="dxa" w:w="1017"/>
          </w:tcPr>
          <w:p>
            <w:r/>
            <w:r>
              <w:rPr>
                <w:rFonts w:ascii="Microsoft JhengHei" w:hAnsi="Microsoft JhengHei" w:eastAsia="Microsoft JhengHei" w:cs="Microsoft JhengHei"/>
                <w:i w:val="0"/>
                <w:sz w:val="20"/>
              </w:rPr>
              <w:t>2:25</w:t>
            </w:r>
          </w:p>
        </w:tc>
      </w:tr>
      <w:tr>
        <w:tc>
          <w:tcPr>
            <w:tcW w:type="dxa" w:w="1017"/>
          </w:tcPr>
          <w:p>
            <w:r/>
            <w:r>
              <w:rPr>
                <w:rFonts w:ascii="Microsoft JhengHei" w:hAnsi="Microsoft JhengHei" w:eastAsia="Microsoft JhengHei" w:cs="Microsoft JhengHei"/>
                <w:i w:val="0"/>
                <w:sz w:val="20"/>
              </w:rPr>
              <w:t>5</w:t>
            </w:r>
          </w:p>
        </w:tc>
        <w:tc>
          <w:tcPr>
            <w:tcW w:type="dxa" w:w="6359"/>
          </w:tcPr>
          <w:p>
            <w:r/>
            <w:r>
              <w:rPr>
                <w:rFonts w:ascii="Microsoft JhengHei" w:hAnsi="Microsoft JhengHei" w:eastAsia="Microsoft JhengHei" w:cs="Microsoft JhengHei"/>
                <w:i w:val="0"/>
                <w:sz w:val="20"/>
              </w:rPr>
              <w:t>韌性呈現：每個坡面一份履歷——壞過、在變、會碰到誰</w:t>
            </w:r>
          </w:p>
        </w:tc>
        <w:tc>
          <w:tcPr>
            <w:tcW w:type="dxa" w:w="1017"/>
          </w:tcPr>
          <w:p>
            <w:r/>
            <w:r>
              <w:rPr>
                <w:rFonts w:ascii="Microsoft JhengHei" w:hAnsi="Microsoft JhengHei" w:eastAsia="Microsoft JhengHei" w:cs="Microsoft JhengHei"/>
                <w:i w:val="0"/>
                <w:sz w:val="20"/>
              </w:rPr>
              <w:t>55</w:t>
            </w:r>
          </w:p>
        </w:tc>
        <w:tc>
          <w:tcPr>
            <w:tcW w:type="dxa" w:w="1017"/>
          </w:tcPr>
          <w:p>
            <w:r/>
            <w:r>
              <w:rPr>
                <w:rFonts w:ascii="Microsoft JhengHei" w:hAnsi="Microsoft JhengHei" w:eastAsia="Microsoft JhengHei" w:cs="Microsoft JhengHei"/>
                <w:i w:val="0"/>
                <w:sz w:val="20"/>
              </w:rPr>
              <w:t>3:20</w:t>
            </w:r>
          </w:p>
        </w:tc>
      </w:tr>
      <w:tr>
        <w:tc>
          <w:tcPr>
            <w:tcW w:type="dxa" w:w="1017"/>
          </w:tcPr>
          <w:p>
            <w:r/>
            <w:r>
              <w:rPr>
                <w:rFonts w:ascii="Microsoft JhengHei" w:hAnsi="Microsoft JhengHei" w:eastAsia="Microsoft JhengHei" w:cs="Microsoft JhengHei"/>
                <w:i w:val="0"/>
                <w:sz w:val="20"/>
              </w:rPr>
              <w:t>6</w:t>
            </w:r>
          </w:p>
        </w:tc>
        <w:tc>
          <w:tcPr>
            <w:tcW w:type="dxa" w:w="6359"/>
          </w:tcPr>
          <w:p>
            <w:r/>
            <w:r>
              <w:rPr>
                <w:rFonts w:ascii="Microsoft JhengHei" w:hAnsi="Microsoft JhengHei" w:eastAsia="Microsoft JhengHei" w:cs="Microsoft JhengHei"/>
                <w:i w:val="0"/>
                <w:sz w:val="20"/>
              </w:rPr>
              <w:t>對公部門的啟示：自動訊號只排「先看誰」，先量再用</w:t>
            </w:r>
          </w:p>
        </w:tc>
        <w:tc>
          <w:tcPr>
            <w:tcW w:type="dxa" w:w="1017"/>
          </w:tcPr>
          <w:p>
            <w:r/>
            <w:r>
              <w:rPr>
                <w:rFonts w:ascii="Microsoft JhengHei" w:hAnsi="Microsoft JhengHei" w:eastAsia="Microsoft JhengHei" w:cs="Microsoft JhengHei"/>
                <w:i w:val="0"/>
                <w:sz w:val="20"/>
              </w:rPr>
              <w:t>50</w:t>
            </w:r>
          </w:p>
        </w:tc>
        <w:tc>
          <w:tcPr>
            <w:tcW w:type="dxa" w:w="1017"/>
          </w:tcPr>
          <w:p>
            <w:r/>
            <w:r>
              <w:rPr>
                <w:rFonts w:ascii="Microsoft JhengHei" w:hAnsi="Microsoft JhengHei" w:eastAsia="Microsoft JhengHei" w:cs="Microsoft JhengHei"/>
                <w:i w:val="0"/>
                <w:sz w:val="20"/>
              </w:rPr>
              <w:t>4:10</w:t>
            </w:r>
          </w:p>
        </w:tc>
      </w:tr>
      <w:tr>
        <w:tc>
          <w:tcPr>
            <w:tcW w:type="dxa" w:w="1017"/>
          </w:tcPr>
          <w:p>
            <w:r/>
            <w:r>
              <w:rPr>
                <w:rFonts w:ascii="Microsoft JhengHei" w:hAnsi="Microsoft JhengHei" w:eastAsia="Microsoft JhengHei" w:cs="Microsoft JhengHei"/>
                <w:i w:val="0"/>
                <w:sz w:val="20"/>
              </w:rPr>
              <w:t>7</w:t>
            </w:r>
          </w:p>
        </w:tc>
        <w:tc>
          <w:tcPr>
            <w:tcW w:type="dxa" w:w="6359"/>
          </w:tcPr>
          <w:p>
            <w:r/>
            <w:r>
              <w:rPr>
                <w:rFonts w:ascii="Microsoft JhengHei" w:hAnsi="Microsoft JhengHei" w:eastAsia="Microsoft JhengHei" w:cs="Microsoft JhengHei"/>
                <w:i w:val="0"/>
                <w:sz w:val="20"/>
              </w:rPr>
              <w:t>對全民的啟示：看得懂、查得到、一起補（結語）</w:t>
            </w:r>
          </w:p>
        </w:tc>
        <w:tc>
          <w:tcPr>
            <w:tcW w:type="dxa" w:w="1017"/>
          </w:tcPr>
          <w:p>
            <w:r/>
            <w:r>
              <w:rPr>
                <w:rFonts w:ascii="Microsoft JhengHei" w:hAnsi="Microsoft JhengHei" w:eastAsia="Microsoft JhengHei" w:cs="Microsoft JhengHei"/>
                <w:i w:val="0"/>
                <w:sz w:val="20"/>
              </w:rPr>
              <w:t>40</w:t>
            </w:r>
          </w:p>
        </w:tc>
        <w:tc>
          <w:tcPr>
            <w:tcW w:type="dxa" w:w="1017"/>
          </w:tcPr>
          <w:p>
            <w:r/>
            <w:r>
              <w:rPr>
                <w:rFonts w:ascii="Microsoft JhengHei" w:hAnsi="Microsoft JhengHei" w:eastAsia="Microsoft JhengHei" w:cs="Microsoft JhengHei"/>
                <w:i w:val="0"/>
                <w:sz w:val="20"/>
              </w:rPr>
              <w:t>4:50</w:t>
            </w:r>
          </w:p>
        </w:tc>
      </w:tr>
    </w:tbl>
    <w:p/>
    <w:p>
      <w:pPr>
        <w:keepNext/>
        <w:spacing w:before="280"/>
      </w:pPr>
      <w:r>
        <w:rPr>
          <w:rFonts w:ascii="Microsoft JhengHei" w:hAnsi="Microsoft JhengHei" w:eastAsia="Microsoft JhengHei" w:cs="Microsoft JhengHei"/>
          <w:b/>
          <w:color w:val="2C5F2D"/>
          <w:sz w:val="30"/>
        </w:rPr>
        <w:t>第 1 頁　封面</w:t>
      </w:r>
    </w:p>
    <w:p>
      <w:pPr>
        <w:keepNext/>
      </w:pPr>
      <w:r>
        <w:rPr>
          <w:rFonts w:ascii="Microsoft JhengHei" w:hAnsi="Microsoft JhengHei" w:eastAsia="Microsoft JhengHei" w:cs="Microsoft JhengHei"/>
          <w:color w:val="5E6B63"/>
          <w:sz w:val="21"/>
        </w:rPr>
        <w:t>約 20 秒・累計 0:20</w:t>
      </w:r>
    </w:p>
    <w:p>
      <w:pPr>
        <w:spacing w:line="360" w:lineRule="auto"/>
        <w:ind w:left="170"/>
      </w:pPr>
      <w:r>
        <w:rPr>
          <w:rFonts w:ascii="Microsoft JhengHei" w:hAnsi="Microsoft JhengHei" w:eastAsia="Microsoft JhengHei" w:cs="Microsoft JhengHei"/>
          <w:sz w:val="28"/>
        </w:rPr>
        <w:t>我們是 TASTI_SatDashboard。這個系統不是要取代崩塌判釋，而是把水保署已經有的事件型崩塌目錄、歷史現地照片和近期衛星影像，整理成每個坡面的證據鏈。一句話：機器幫忙決定先看誰，證據鏈告訴你為什麼，最後由人決定要不要去。</w:t>
      </w:r>
    </w:p>
    <w:p>
      <w:pPr>
        <w:keepNext/>
        <w:spacing w:before="280"/>
      </w:pPr>
      <w:r>
        <w:rPr>
          <w:rFonts w:ascii="Microsoft JhengHei" w:hAnsi="Microsoft JhengHei" w:eastAsia="Microsoft JhengHei" w:cs="Microsoft JhengHei"/>
          <w:b/>
          <w:color w:val="2C5F2D"/>
          <w:sz w:val="30"/>
        </w:rPr>
        <w:t>第 2 頁　巡查先看哪裡？證據散在三個地方</w:t>
      </w:r>
    </w:p>
    <w:p>
      <w:pPr>
        <w:keepNext/>
      </w:pPr>
      <w:r>
        <w:rPr>
          <w:rFonts w:ascii="Microsoft JhengHei" w:hAnsi="Microsoft JhengHei" w:eastAsia="Microsoft JhengHei" w:cs="Microsoft JhengHei"/>
          <w:color w:val="5E6B63"/>
          <w:sz w:val="21"/>
        </w:rPr>
        <w:t>約 30 秒・累計 0:50</w:t>
      </w:r>
    </w:p>
    <w:p>
      <w:pPr>
        <w:spacing w:line="360" w:lineRule="auto"/>
        <w:ind w:left="170"/>
      </w:pPr>
      <w:r>
        <w:rPr>
          <w:rFonts w:ascii="Microsoft JhengHei" w:hAnsi="Microsoft JhengHei" w:eastAsia="Microsoft JhengHei" w:cs="Microsoft JhengHei"/>
          <w:sz w:val="28"/>
        </w:rPr>
        <w:t>巡查人力有限，但山區坡面上萬個。要判斷先去哪裡，證據散在三個地方：事件型崩塌目錄、現地歷史照片、近期衛星影像，各有盲點。以高雄 POC 為例，約 1,800 平方公里、1 萬 3 千個坡面、近 9 千張現地照片。</w:t>
      </w:r>
    </w:p>
    <w:p>
      <w:pPr>
        <w:keepNext/>
        <w:spacing w:before="280"/>
      </w:pPr>
      <w:r>
        <w:rPr>
          <w:rFonts w:ascii="Microsoft JhengHei" w:hAnsi="Microsoft JhengHei" w:eastAsia="Microsoft JhengHei" w:cs="Microsoft JhengHei"/>
          <w:b/>
          <w:color w:val="2C5F2D"/>
          <w:sz w:val="30"/>
        </w:rPr>
        <w:t>第 3 頁　技術亮點：免費衛星＋開放資料，每個數字都量過</w:t>
      </w:r>
    </w:p>
    <w:p>
      <w:pPr>
        <w:keepNext/>
      </w:pPr>
      <w:r>
        <w:rPr>
          <w:rFonts w:ascii="Microsoft JhengHei" w:hAnsi="Microsoft JhengHei" w:eastAsia="Microsoft JhengHei" w:cs="Microsoft JhengHei"/>
          <w:color w:val="5E6B63"/>
          <w:sz w:val="21"/>
        </w:rPr>
        <w:t>約 50 秒・累計 1:40</w:t>
      </w:r>
    </w:p>
    <w:p>
      <w:pPr>
        <w:spacing w:line="360" w:lineRule="auto"/>
        <w:ind w:left="170"/>
      </w:pPr>
      <w:r>
        <w:rPr>
          <w:rFonts w:ascii="Microsoft JhengHei" w:hAnsi="Microsoft JhengHei" w:eastAsia="Microsoft JhengHei" w:cs="Microsoft JhengHei"/>
          <w:sz w:val="28"/>
        </w:rPr>
        <w:t>技術亮點有三個。第一，以坡面為單位：依輔導委員建議用集水區重疊法切出 1 萬 3 千個坡面，每個都是完整區塊。第二，用免費的 Sentinel-2 紅邊時間序列，在花蓮、太魯閣大事件後抓到 75% 和 43% 的崩塌坡面，沒有事件的坡面誤報約 2%；中間這張圖顯示，崩塌占坡面越大越抓得到。第三，水保署歷史影像平台上的 UAV 照片沒有 GPS，我們用特徵匹配和 20 m 地形自動對位，目前 50 組，其中 19 組在高雄，留出點誤差中位數約 2 公尺。重點是：每個數字我們都量過準確度。</w:t>
      </w:r>
    </w:p>
    <w:p>
      <w:pPr>
        <w:keepNext/>
        <w:spacing w:before="280"/>
      </w:pPr>
      <w:r>
        <w:rPr>
          <w:rFonts w:ascii="Microsoft JhengHei" w:hAnsi="Microsoft JhengHei" w:eastAsia="Microsoft JhengHei" w:cs="Microsoft JhengHei"/>
          <w:b/>
          <w:color w:val="2C5F2D"/>
          <w:sz w:val="30"/>
        </w:rPr>
        <w:t>第 4 頁　架構創新：證據鏈分開呈現，不給總分，最後由人決定</w:t>
      </w:r>
    </w:p>
    <w:p>
      <w:pPr>
        <w:keepNext/>
      </w:pPr>
      <w:r>
        <w:rPr>
          <w:rFonts w:ascii="Microsoft JhengHei" w:hAnsi="Microsoft JhengHei" w:eastAsia="Microsoft JhengHei" w:cs="Microsoft JhengHei"/>
          <w:color w:val="5E6B63"/>
          <w:sz w:val="21"/>
        </w:rPr>
        <w:t>約 45 秒・累計 2:25</w:t>
      </w:r>
    </w:p>
    <w:p>
      <w:pPr>
        <w:spacing w:line="360" w:lineRule="auto"/>
        <w:ind w:left="170"/>
      </w:pPr>
      <w:r>
        <w:rPr>
          <w:rFonts w:ascii="Microsoft JhengHei" w:hAnsi="Microsoft JhengHei" w:eastAsia="Microsoft JhengHei" w:cs="Microsoft JhengHei"/>
          <w:sz w:val="28"/>
        </w:rPr>
        <w:t>架構上，資料全部是開放資料，切成坡面單元後，每個坡面掛五類證據：事件目錄是主骨架，照片是補充，衛星只回答最近還有沒有變化，再加上影像品質提醒，以及崩了會碰到什麼——道路、聚落和土石流潛勢溪流。我們刻意不給總分，因為分數會掩蓋為什麼；看不到就標資料不足；驗證紀錄可以稽核。最後只給三種候選層級，由人決定要不要去。</w:t>
      </w:r>
    </w:p>
    <w:p>
      <w:pPr>
        <w:keepNext/>
        <w:spacing w:before="280"/>
      </w:pPr>
      <w:r>
        <w:rPr>
          <w:rFonts w:ascii="Microsoft JhengHei" w:hAnsi="Microsoft JhengHei" w:eastAsia="Microsoft JhengHei" w:cs="Microsoft JhengHei"/>
          <w:b/>
          <w:color w:val="2C5F2D"/>
          <w:sz w:val="30"/>
        </w:rPr>
        <w:t>第 5 頁　韌性呈現：每個坡面一份履歷——壞過、在變、會碰到誰</w:t>
      </w:r>
    </w:p>
    <w:p>
      <w:pPr>
        <w:keepNext/>
      </w:pPr>
      <w:r>
        <w:rPr>
          <w:rFonts w:ascii="Microsoft JhengHei" w:hAnsi="Microsoft JhengHei" w:eastAsia="Microsoft JhengHei" w:cs="Microsoft JhengHei"/>
          <w:color w:val="5E6B63"/>
          <w:sz w:val="21"/>
        </w:rPr>
        <w:t>約 55 秒・累計 3:20</w:t>
      </w:r>
    </w:p>
    <w:p>
      <w:pPr>
        <w:spacing w:line="360" w:lineRule="auto"/>
        <w:ind w:left="170"/>
      </w:pPr>
      <w:r>
        <w:rPr>
          <w:rFonts w:ascii="Microsoft JhengHei" w:hAnsi="Microsoft JhengHei" w:eastAsia="Microsoft JhengHei" w:cs="Microsoft JhengHei"/>
          <w:sz w:val="28"/>
        </w:rPr>
        <w:t>韌性呈現在於每個坡面都有一份履歷。左邊是太魯閣一個坡面：橘線是官方圈出的地震崩塌，地震後紅邊指標從 0.53 掉到 0.20，之後沒有回來，全區只是正常季節起伏。太魯閣 330 個持續下降的坡面中，229 個出現在地震當月，大事件後幾週內就能列出要先看的坡面。履歷也回答崩了會碰到誰：高雄 411 個優先坡面中，200 個附近有道路，67 個位在土石流潛勢溪流集水區。</w:t>
      </w:r>
    </w:p>
    <w:p>
      <w:pPr>
        <w:keepNext/>
        <w:spacing w:before="280"/>
      </w:pPr>
      <w:r>
        <w:rPr>
          <w:rFonts w:ascii="Microsoft JhengHei" w:hAnsi="Microsoft JhengHei" w:eastAsia="Microsoft JhengHei" w:cs="Microsoft JhengHei"/>
          <w:b/>
          <w:color w:val="2C5F2D"/>
          <w:sz w:val="30"/>
        </w:rPr>
        <w:t>第 6 頁　對公部門的啟示：自動訊號只排「先看誰」，先量再用</w:t>
      </w:r>
    </w:p>
    <w:p>
      <w:pPr>
        <w:keepNext/>
      </w:pPr>
      <w:r>
        <w:rPr>
          <w:rFonts w:ascii="Microsoft JhengHei" w:hAnsi="Microsoft JhengHei" w:eastAsia="Microsoft JhengHei" w:cs="Microsoft JhengHei"/>
          <w:color w:val="5E6B63"/>
          <w:sz w:val="21"/>
        </w:rPr>
        <w:t>約 50 秒・累計 4:10</w:t>
      </w:r>
    </w:p>
    <w:p>
      <w:pPr>
        <w:spacing w:line="360" w:lineRule="auto"/>
        <w:ind w:left="170"/>
      </w:pPr>
      <w:r>
        <w:rPr>
          <w:rFonts w:ascii="Microsoft JhengHei" w:hAnsi="Microsoft JhengHei" w:eastAsia="Microsoft JhengHei" w:cs="Microsoft JhengHei"/>
          <w:sz w:val="28"/>
        </w:rPr>
        <w:t>對公部門的啟示：我們量了準確度。大事件後，花蓮 75%、太魯閣 43% 的崩塌坡面被抓到；但平時零星的紅邊下降，經分層盲判只有約 25% 屬實；所以自動訊號只能排先看誰，不能拿來判定，導入前一定要先量。量過之後效益很清楚：花蓮只要先看 3% 的坡面，就涵蓋四分之三的崩塌坡面。這套流程可複製、可延展、能落地：花蓮、太魯閣已用同一套跑過，新證據可以直接加一類；資料都來自水保署既有平台，產出的候選清單接得上現有巡查流程。水保署 10 月 28 日新上線的崩塌報告專區已附影像日期與完成判釋率，若再附點位檔、UAV 照片保留座標，這種小改變就能省下大量事後工作。</w:t>
      </w:r>
    </w:p>
    <w:p>
      <w:pPr>
        <w:keepNext/>
        <w:spacing w:before="280"/>
      </w:pPr>
      <w:r>
        <w:rPr>
          <w:rFonts w:ascii="Microsoft JhengHei" w:hAnsi="Microsoft JhengHei" w:eastAsia="Microsoft JhengHei" w:cs="Microsoft JhengHei"/>
          <w:b/>
          <w:color w:val="2C5F2D"/>
          <w:sz w:val="30"/>
        </w:rPr>
        <w:t>第 7 頁　對全民的啟示：看得懂、查得到、一起補（結語）</w:t>
      </w:r>
    </w:p>
    <w:p>
      <w:pPr>
        <w:keepNext/>
      </w:pPr>
      <w:r>
        <w:rPr>
          <w:rFonts w:ascii="Microsoft JhengHei" w:hAnsi="Microsoft JhengHei" w:eastAsia="Microsoft JhengHei" w:cs="Microsoft JhengHei"/>
          <w:color w:val="5E6B63"/>
          <w:sz w:val="21"/>
        </w:rPr>
        <w:t>約 40 秒・累計 4:50</w:t>
      </w:r>
    </w:p>
    <w:p>
      <w:pPr>
        <w:spacing w:line="360" w:lineRule="auto"/>
        <w:ind w:left="170"/>
      </w:pPr>
      <w:r>
        <w:rPr>
          <w:rFonts w:ascii="Microsoft JhengHei" w:hAnsi="Microsoft JhengHei" w:eastAsia="Microsoft JhengHei" w:cs="Microsoft JhengHei"/>
          <w:sz w:val="28"/>
        </w:rPr>
        <w:t>最後，對全民的啟示：坡地資訊要看得懂、查得到、也能一起補。我們不給風險分數，看不到就說看不到；每個坡面頁列出附近的道路、建物和土石流潛勢溪流，還能用 3D 和逐年航照看；山區建物在 OpenStreetMap 常缺漏，志工補上的每一筆都有用，程式全部開源。我們不是重新發明崩塌判釋，而是把既有證據整理成可追蹤的坡面履歷：機器幫忙決定先看誰，證據鏈告訴你為什麼，最後由人決定要不要去。謝謝。</w:t>
      </w:r>
    </w:p>
    <w:p>
      <w:r>
        <w:br w:type="page"/>
      </w:r>
      <w:r>
        <w:rPr>
          <w:rFonts w:ascii="Microsoft JhengHei" w:hAnsi="Microsoft JhengHei" w:eastAsia="Microsoft JhengHei" w:cs="Microsoft JhengHei"/>
          <w:b/>
          <w:color w:val="5E6B63"/>
          <w:sz w:val="30"/>
        </w:rPr>
        <w:t>備用頁（不在 5 分鐘主線，評審問到再翻）</w:t>
      </w:r>
    </w:p>
    <w:p>
      <w:pPr>
        <w:keepNext/>
        <w:spacing w:before="280"/>
      </w:pPr>
      <w:r>
        <w:rPr>
          <w:rFonts w:ascii="Microsoft JhengHei" w:hAnsi="Microsoft JhengHei" w:eastAsia="Microsoft JhengHei" w:cs="Microsoft JhengHei"/>
          <w:b/>
          <w:color w:val="2C5F2D"/>
          <w:sz w:val="30"/>
        </w:rPr>
        <w:t>第 8 頁　驗證細節：訊號只能「請人看」</w:t>
      </w:r>
    </w:p>
    <w:p>
      <w:pPr>
        <w:spacing w:line="360" w:lineRule="auto"/>
        <w:ind w:left="170"/>
      </w:pPr>
      <w:r>
        <w:rPr>
          <w:rFonts w:ascii="Microsoft JhengHei" w:hAnsi="Microsoft JhengHei" w:eastAsia="Microsoft JhengHei" w:cs="Microsoft JhengHei"/>
          <w:sz w:val="28"/>
        </w:rPr>
        <w:t>我們不只做系統，也量了它準不準。影像目視與官方圖層的有無裸露一致率只有 69%；舊版近期變化訊號約四分之一屬實。改用紅邊指標後，高雄全區零星的下降經分層盲判只有約 25% 屬實；但在大事件後，花蓮有 75%、太魯閣有 43% 的崩塌坡面被抓到，誤報約 2%。左邊這張圖是太魯閣：崩塌占坡面不到 5% 時只抓到 7%，超過四成時抓到 93%。</w:t>
      </w:r>
    </w:p>
    <w:p>
      <w:pPr>
        <w:keepNext/>
        <w:spacing w:before="280"/>
      </w:pPr>
      <w:r>
        <w:rPr>
          <w:rFonts w:ascii="Microsoft JhengHei" w:hAnsi="Microsoft JhengHei" w:eastAsia="Microsoft JhengHei" w:cs="Microsoft JhengHei"/>
          <w:b/>
          <w:color w:val="2C5F2D"/>
          <w:sz w:val="30"/>
        </w:rPr>
        <w:t>第 9 頁　對照崩塌智慧防災構想：現在在哪、下一步</w:t>
      </w:r>
    </w:p>
    <w:p>
      <w:pPr>
        <w:spacing w:line="360" w:lineRule="auto"/>
        <w:ind w:left="170"/>
      </w:pPr>
      <w:r>
        <w:rPr>
          <w:rFonts w:ascii="Microsoft JhengHei" w:hAnsi="Microsoft JhengHei" w:eastAsia="Microsoft JhengHei" w:cs="Microsoft JhengHei"/>
          <w:sz w:val="28"/>
        </w:rPr>
        <w:t>專家提出的崩塌智慧防災平台有六個模組。我們目前做到的是平時篩查：坡地底圖、多源監測和 AI 輔助判釋都有一部分，其中道路與建物暴露是用 OpenStreetMap 疊合，回答坡面崩了會碰到什麼，但不改候選層級。地質目前只拿到影像圖磚，五萬分之一的斷層、位態、順向坡要取得向量後才能分析。下游影響目前只列出坡面所在的土石流潛勢溪流集水區與影響範圍；降雨觸發、土砂與河道的動態串接和應變工作流還沒做，這是從平時篩查走向事件反應的下一步。</w:t>
      </w:r>
    </w:p>
    <w:p>
      <w:pPr>
        <w:keepNext/>
        <w:spacing w:before="280"/>
      </w:pPr>
      <w:r>
        <w:rPr>
          <w:rFonts w:ascii="Microsoft JhengHei" w:hAnsi="Microsoft JhengHei" w:eastAsia="Microsoft JhengHei" w:cs="Microsoft JhengHei"/>
          <w:b/>
          <w:color w:val="2C5F2D"/>
          <w:sz w:val="30"/>
        </w:rPr>
        <w:t>第 10 頁　地質：哪些地層比較容易崩（粗尺度）</w:t>
      </w:r>
    </w:p>
    <w:p>
      <w:pPr>
        <w:spacing w:line="360" w:lineRule="auto"/>
        <w:ind w:left="170"/>
      </w:pPr>
      <w:r>
        <w:rPr>
          <w:rFonts w:ascii="Microsoft JhengHei" w:hAnsi="Microsoft JhengHei" w:eastAsia="Microsoft JhengHei" w:cs="Microsoft JhengHei"/>
          <w:sz w:val="28"/>
        </w:rPr>
        <w:t>我們用 BigGIS 引用的公開地層圖，疊上 2021 到 2024 年的年度崩塌圖層，以坡度 15 度以上的有效坡面當分母，算每個地層的崩塌密度。全區約 5.3%；始新世的西村層，也就是板岩，8.1%，是平均的 1.5 倍；上新世的錦水頁岩只有 1.7%。紅邊下降的比例在幾個主要地層都約 2%，差異不大。限制是這份地層圖比例尺小，沒有斷層和位態，只能做描述性統計；斷層距離和順向坡要取得五萬分之一的向量才能分析。</w:t>
      </w:r>
    </w:p>
    <w:sectPr w:rsidR="00FC693F" w:rsidRPr="0006063C" w:rsidSect="00034616">
      <w:pgSz w:w="11906" w:h="16838"/>
      <w:pgMar w:top="1134" w:right="1247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312" w:lineRule="auto"/>
    </w:pPr>
    <w:rPr>
      <w:rFonts w:ascii="Microsoft JhengHei" w:hAnsi="Microsoft JhengHei" w:eastAsia="Microsoft JhengHei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決賽簡報講稿</dc:title>
  <dc:subject/>
  <dc:creator>TASTI_SatDashboard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