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812584" w14:textId="3151E7E5" w:rsidR="00BF5F4C" w:rsidRPr="00BF5F4C" w:rsidRDefault="00BF5F4C" w:rsidP="00E86963">
      <w:pPr>
        <w:rPr>
          <w:b/>
          <w:bCs/>
          <w:sz w:val="48"/>
          <w:szCs w:val="48"/>
          <w:u w:val="single"/>
          <w:lang w:eastAsia="en-IN"/>
        </w:rPr>
      </w:pPr>
      <w:r>
        <w:rPr>
          <w:b/>
          <w:bCs/>
          <w:sz w:val="48"/>
          <w:szCs w:val="48"/>
          <w:u w:val="single"/>
          <w:lang w:eastAsia="en-IN"/>
        </w:rPr>
        <w:t>KYC:-</w:t>
      </w:r>
    </w:p>
    <w:p w14:paraId="547CBA43" w14:textId="2DBBAA4D" w:rsidR="00E86963" w:rsidRPr="00E86963" w:rsidRDefault="00E86963" w:rsidP="00E86963">
      <w:pPr>
        <w:rPr>
          <w:lang w:eastAsia="en-IN"/>
        </w:rPr>
      </w:pPr>
      <w:r w:rsidRPr="00E86963">
        <w:rPr>
          <w:lang w:eastAsia="en-IN"/>
        </w:rPr>
        <w:t>KYC, or Know Your Customer, is a mandatory process used by financial institutions and other regulated entities to verify the identity, suitability, and risks involved with maintaining a business relationship. The primary goal of KYC is to prevent identity theft, money laundering, terrorist financing, and financial fraud.</w:t>
      </w:r>
    </w:p>
    <w:p w14:paraId="50027F78" w14:textId="77777777" w:rsidR="00E86963" w:rsidRPr="00E86963" w:rsidRDefault="00E86963" w:rsidP="00E86963">
      <w:pPr>
        <w:rPr>
          <w:b/>
          <w:bCs/>
          <w:lang w:eastAsia="en-IN"/>
        </w:rPr>
      </w:pPr>
      <w:r w:rsidRPr="00E86963">
        <w:rPr>
          <w:b/>
          <w:bCs/>
          <w:lang w:eastAsia="en-IN"/>
        </w:rPr>
        <w:t>Importance of KYC</w:t>
      </w:r>
    </w:p>
    <w:p w14:paraId="0AE1045A" w14:textId="77777777" w:rsidR="00E86963" w:rsidRPr="00E86963" w:rsidRDefault="00E86963" w:rsidP="00E86963">
      <w:pPr>
        <w:pStyle w:val="ListParagraph"/>
        <w:numPr>
          <w:ilvl w:val="0"/>
          <w:numId w:val="2"/>
        </w:numPr>
        <w:rPr>
          <w:lang w:eastAsia="en-IN"/>
        </w:rPr>
      </w:pPr>
      <w:r w:rsidRPr="00E86963">
        <w:rPr>
          <w:b/>
          <w:bCs/>
          <w:lang w:eastAsia="en-IN"/>
        </w:rPr>
        <w:t xml:space="preserve">Regulatory Compliance: </w:t>
      </w:r>
      <w:r w:rsidRPr="00E86963">
        <w:rPr>
          <w:lang w:eastAsia="en-IN"/>
        </w:rPr>
        <w:t>Ensures compliance with global and local regulations.</w:t>
      </w:r>
    </w:p>
    <w:p w14:paraId="7570976E" w14:textId="77777777" w:rsidR="00E86963" w:rsidRPr="00E86963" w:rsidRDefault="00E86963" w:rsidP="00E86963">
      <w:pPr>
        <w:pStyle w:val="ListParagraph"/>
        <w:numPr>
          <w:ilvl w:val="0"/>
          <w:numId w:val="2"/>
        </w:numPr>
        <w:rPr>
          <w:lang w:eastAsia="en-IN"/>
        </w:rPr>
      </w:pPr>
      <w:r w:rsidRPr="00E86963">
        <w:rPr>
          <w:b/>
          <w:bCs/>
          <w:lang w:eastAsia="en-IN"/>
        </w:rPr>
        <w:t>Risk Management:</w:t>
      </w:r>
      <w:r w:rsidRPr="00E86963">
        <w:rPr>
          <w:lang w:eastAsia="en-IN"/>
        </w:rPr>
        <w:t xml:space="preserve"> Helps in assessing and mitigating risks associated with money laundering and fraud.</w:t>
      </w:r>
    </w:p>
    <w:p w14:paraId="7B6E53A3" w14:textId="77777777" w:rsidR="00E86963" w:rsidRPr="00E86963" w:rsidRDefault="00E86963" w:rsidP="00E86963">
      <w:pPr>
        <w:pStyle w:val="ListParagraph"/>
        <w:numPr>
          <w:ilvl w:val="0"/>
          <w:numId w:val="2"/>
        </w:numPr>
        <w:rPr>
          <w:lang w:eastAsia="en-IN"/>
        </w:rPr>
      </w:pPr>
      <w:r w:rsidRPr="00E86963">
        <w:rPr>
          <w:b/>
          <w:bCs/>
          <w:lang w:eastAsia="en-IN"/>
        </w:rPr>
        <w:t>Customer Identification:</w:t>
      </w:r>
      <w:r w:rsidRPr="00E86963">
        <w:rPr>
          <w:lang w:eastAsia="en-IN"/>
        </w:rPr>
        <w:t xml:space="preserve"> Verifies the identity of customers to prevent illegal activities.</w:t>
      </w:r>
    </w:p>
    <w:p w14:paraId="7ED84B68" w14:textId="77777777" w:rsidR="00E86963" w:rsidRDefault="00E86963" w:rsidP="00E86963">
      <w:pPr>
        <w:pStyle w:val="ListParagraph"/>
        <w:numPr>
          <w:ilvl w:val="0"/>
          <w:numId w:val="2"/>
        </w:numPr>
        <w:rPr>
          <w:lang w:eastAsia="en-IN"/>
        </w:rPr>
      </w:pPr>
      <w:r w:rsidRPr="00E86963">
        <w:rPr>
          <w:b/>
          <w:bCs/>
          <w:lang w:eastAsia="en-IN"/>
        </w:rPr>
        <w:t>Enhanced Customer Trust:</w:t>
      </w:r>
      <w:r w:rsidRPr="00E86963">
        <w:rPr>
          <w:lang w:eastAsia="en-IN"/>
        </w:rPr>
        <w:t xml:space="preserve"> Builds trust by ensuring safe and secure financial environments.</w:t>
      </w:r>
    </w:p>
    <w:p w14:paraId="51398E10" w14:textId="52902495" w:rsidR="00E86963" w:rsidRPr="00E86963" w:rsidRDefault="00E86963" w:rsidP="00E86963">
      <w:pPr>
        <w:rPr>
          <w:lang w:eastAsia="en-IN"/>
        </w:rPr>
      </w:pPr>
      <w:r w:rsidRPr="00E86963">
        <w:rPr>
          <w:b/>
          <w:bCs/>
          <w:lang w:eastAsia="en-IN"/>
        </w:rPr>
        <w:t>Important Terminologies Related to KYC</w:t>
      </w:r>
    </w:p>
    <w:tbl>
      <w:tblPr>
        <w:tblW w:w="0" w:type="auto"/>
        <w:tblCellSpacing w:w="15" w:type="dxa"/>
        <w:tblInd w:w="142" w:type="dxa"/>
        <w:tblCellMar>
          <w:top w:w="15" w:type="dxa"/>
          <w:left w:w="15" w:type="dxa"/>
          <w:bottom w:w="15" w:type="dxa"/>
          <w:right w:w="15" w:type="dxa"/>
        </w:tblCellMar>
        <w:tblLook w:val="04A0" w:firstRow="1" w:lastRow="0" w:firstColumn="1" w:lastColumn="0" w:noHBand="0" w:noVBand="1"/>
      </w:tblPr>
      <w:tblGrid>
        <w:gridCol w:w="1808"/>
        <w:gridCol w:w="7066"/>
      </w:tblGrid>
      <w:tr w:rsidR="00E86963" w:rsidRPr="00E86963" w14:paraId="4B97867D" w14:textId="77777777" w:rsidTr="00E86963">
        <w:trPr>
          <w:tblHeader/>
          <w:tblCellSpacing w:w="15" w:type="dxa"/>
        </w:trPr>
        <w:tc>
          <w:tcPr>
            <w:tcW w:w="1763" w:type="dxa"/>
            <w:tcBorders>
              <w:top w:val="single" w:sz="4" w:space="0" w:color="auto"/>
              <w:left w:val="single" w:sz="4" w:space="0" w:color="auto"/>
            </w:tcBorders>
            <w:vAlign w:val="center"/>
            <w:hideMark/>
          </w:tcPr>
          <w:p w14:paraId="280BE5C3" w14:textId="77777777" w:rsidR="00E86963" w:rsidRPr="00E86963" w:rsidRDefault="00E86963" w:rsidP="00E86963">
            <w:pPr>
              <w:rPr>
                <w:b/>
                <w:bCs/>
                <w:lang w:eastAsia="en-IN"/>
              </w:rPr>
            </w:pPr>
            <w:r w:rsidRPr="00E86963">
              <w:rPr>
                <w:b/>
                <w:bCs/>
                <w:lang w:eastAsia="en-IN"/>
              </w:rPr>
              <w:t>Term</w:t>
            </w:r>
          </w:p>
        </w:tc>
        <w:tc>
          <w:tcPr>
            <w:tcW w:w="0" w:type="auto"/>
            <w:tcBorders>
              <w:top w:val="single" w:sz="4" w:space="0" w:color="auto"/>
              <w:left w:val="single" w:sz="4" w:space="0" w:color="auto"/>
              <w:right w:val="single" w:sz="4" w:space="0" w:color="auto"/>
            </w:tcBorders>
            <w:vAlign w:val="center"/>
            <w:hideMark/>
          </w:tcPr>
          <w:p w14:paraId="6B7A3D88" w14:textId="77777777" w:rsidR="00E86963" w:rsidRPr="00E86963" w:rsidRDefault="00E86963" w:rsidP="00E86963">
            <w:pPr>
              <w:rPr>
                <w:b/>
                <w:bCs/>
                <w:lang w:eastAsia="en-IN"/>
              </w:rPr>
            </w:pPr>
            <w:r w:rsidRPr="00E86963">
              <w:rPr>
                <w:b/>
                <w:bCs/>
                <w:lang w:eastAsia="en-IN"/>
              </w:rPr>
              <w:t>Definition</w:t>
            </w:r>
          </w:p>
        </w:tc>
      </w:tr>
      <w:tr w:rsidR="00E86963" w:rsidRPr="00E86963" w14:paraId="0D9B9580" w14:textId="77777777" w:rsidTr="00E86963">
        <w:trPr>
          <w:tblCellSpacing w:w="15" w:type="dxa"/>
        </w:trPr>
        <w:tc>
          <w:tcPr>
            <w:tcW w:w="1763" w:type="dxa"/>
            <w:tcBorders>
              <w:top w:val="single" w:sz="4" w:space="0" w:color="auto"/>
              <w:left w:val="single" w:sz="4" w:space="0" w:color="auto"/>
            </w:tcBorders>
            <w:vAlign w:val="center"/>
            <w:hideMark/>
          </w:tcPr>
          <w:p w14:paraId="0F0F3B76" w14:textId="77777777" w:rsidR="00E86963" w:rsidRPr="00E86963" w:rsidRDefault="00E86963" w:rsidP="00E86963">
            <w:pPr>
              <w:rPr>
                <w:lang w:eastAsia="en-IN"/>
              </w:rPr>
            </w:pPr>
            <w:r w:rsidRPr="00E86963">
              <w:rPr>
                <w:lang w:eastAsia="en-IN"/>
              </w:rPr>
              <w:t>AML</w:t>
            </w:r>
          </w:p>
        </w:tc>
        <w:tc>
          <w:tcPr>
            <w:tcW w:w="0" w:type="auto"/>
            <w:tcBorders>
              <w:top w:val="single" w:sz="4" w:space="0" w:color="auto"/>
              <w:left w:val="single" w:sz="4" w:space="0" w:color="auto"/>
              <w:right w:val="single" w:sz="4" w:space="0" w:color="auto"/>
            </w:tcBorders>
            <w:vAlign w:val="center"/>
            <w:hideMark/>
          </w:tcPr>
          <w:p w14:paraId="5668CD5F" w14:textId="77777777" w:rsidR="00E86963" w:rsidRPr="00E86963" w:rsidRDefault="00E86963" w:rsidP="00E86963">
            <w:pPr>
              <w:rPr>
                <w:lang w:eastAsia="en-IN"/>
              </w:rPr>
            </w:pPr>
            <w:r w:rsidRPr="00E86963">
              <w:rPr>
                <w:lang w:eastAsia="en-IN"/>
              </w:rPr>
              <w:t>Anti-Money Laundering, set of laws and regulations designed to combat money laundering.</w:t>
            </w:r>
          </w:p>
        </w:tc>
      </w:tr>
      <w:tr w:rsidR="00E86963" w:rsidRPr="00E86963" w14:paraId="0FD508FD" w14:textId="77777777" w:rsidTr="00E86963">
        <w:trPr>
          <w:tblCellSpacing w:w="15" w:type="dxa"/>
        </w:trPr>
        <w:tc>
          <w:tcPr>
            <w:tcW w:w="1763" w:type="dxa"/>
            <w:tcBorders>
              <w:top w:val="single" w:sz="4" w:space="0" w:color="auto"/>
              <w:left w:val="single" w:sz="4" w:space="0" w:color="auto"/>
            </w:tcBorders>
            <w:vAlign w:val="center"/>
            <w:hideMark/>
          </w:tcPr>
          <w:p w14:paraId="24C2F6C4" w14:textId="77777777" w:rsidR="00E86963" w:rsidRPr="00E86963" w:rsidRDefault="00E86963" w:rsidP="00E86963">
            <w:pPr>
              <w:rPr>
                <w:lang w:eastAsia="en-IN"/>
              </w:rPr>
            </w:pPr>
            <w:r w:rsidRPr="00E86963">
              <w:rPr>
                <w:lang w:eastAsia="en-IN"/>
              </w:rPr>
              <w:t>CDD</w:t>
            </w:r>
          </w:p>
        </w:tc>
        <w:tc>
          <w:tcPr>
            <w:tcW w:w="0" w:type="auto"/>
            <w:tcBorders>
              <w:top w:val="single" w:sz="4" w:space="0" w:color="auto"/>
              <w:left w:val="single" w:sz="4" w:space="0" w:color="auto"/>
              <w:right w:val="single" w:sz="4" w:space="0" w:color="auto"/>
            </w:tcBorders>
            <w:vAlign w:val="center"/>
            <w:hideMark/>
          </w:tcPr>
          <w:p w14:paraId="66817792" w14:textId="77777777" w:rsidR="00E86963" w:rsidRPr="00E86963" w:rsidRDefault="00E86963" w:rsidP="00E86963">
            <w:pPr>
              <w:rPr>
                <w:lang w:eastAsia="en-IN"/>
              </w:rPr>
            </w:pPr>
            <w:r w:rsidRPr="00E86963">
              <w:rPr>
                <w:lang w:eastAsia="en-IN"/>
              </w:rPr>
              <w:t>Customer Due Diligence, process of assessing potential customers to determine risk levels.</w:t>
            </w:r>
          </w:p>
        </w:tc>
      </w:tr>
      <w:tr w:rsidR="00E86963" w:rsidRPr="00E86963" w14:paraId="02E4B4B4" w14:textId="77777777" w:rsidTr="00E86963">
        <w:trPr>
          <w:tblCellSpacing w:w="15" w:type="dxa"/>
        </w:trPr>
        <w:tc>
          <w:tcPr>
            <w:tcW w:w="1763" w:type="dxa"/>
            <w:tcBorders>
              <w:top w:val="single" w:sz="4" w:space="0" w:color="auto"/>
              <w:left w:val="single" w:sz="4" w:space="0" w:color="auto"/>
              <w:bottom w:val="single" w:sz="4" w:space="0" w:color="auto"/>
            </w:tcBorders>
            <w:vAlign w:val="center"/>
            <w:hideMark/>
          </w:tcPr>
          <w:p w14:paraId="7AC6896E" w14:textId="77777777" w:rsidR="00E86963" w:rsidRPr="00E86963" w:rsidRDefault="00E86963" w:rsidP="00E86963">
            <w:pPr>
              <w:rPr>
                <w:lang w:eastAsia="en-IN"/>
              </w:rPr>
            </w:pPr>
            <w:r w:rsidRPr="00E86963">
              <w:rPr>
                <w:lang w:eastAsia="en-IN"/>
              </w:rPr>
              <w:t>EDD</w:t>
            </w:r>
          </w:p>
        </w:tc>
        <w:tc>
          <w:tcPr>
            <w:tcW w:w="0" w:type="auto"/>
            <w:tcBorders>
              <w:top w:val="single" w:sz="4" w:space="0" w:color="auto"/>
              <w:left w:val="single" w:sz="4" w:space="0" w:color="auto"/>
              <w:bottom w:val="single" w:sz="4" w:space="0" w:color="auto"/>
              <w:right w:val="single" w:sz="4" w:space="0" w:color="auto"/>
            </w:tcBorders>
            <w:vAlign w:val="center"/>
            <w:hideMark/>
          </w:tcPr>
          <w:p w14:paraId="2D9331A8" w14:textId="77777777" w:rsidR="00E86963" w:rsidRPr="00E86963" w:rsidRDefault="00E86963" w:rsidP="00E86963">
            <w:pPr>
              <w:rPr>
                <w:lang w:eastAsia="en-IN"/>
              </w:rPr>
            </w:pPr>
            <w:r w:rsidRPr="00E86963">
              <w:rPr>
                <w:lang w:eastAsia="en-IN"/>
              </w:rPr>
              <w:t>Enhanced Due Diligence, deeper scrutiny for high-risk customers.</w:t>
            </w:r>
          </w:p>
        </w:tc>
      </w:tr>
      <w:tr w:rsidR="00E86963" w:rsidRPr="00E86963" w14:paraId="62F6599B" w14:textId="77777777" w:rsidTr="00E86963">
        <w:trPr>
          <w:tblCellSpacing w:w="15" w:type="dxa"/>
        </w:trPr>
        <w:tc>
          <w:tcPr>
            <w:tcW w:w="1763" w:type="dxa"/>
            <w:tcBorders>
              <w:left w:val="single" w:sz="4" w:space="0" w:color="auto"/>
            </w:tcBorders>
            <w:vAlign w:val="center"/>
            <w:hideMark/>
          </w:tcPr>
          <w:p w14:paraId="1AF5197C" w14:textId="77777777" w:rsidR="00E86963" w:rsidRPr="00E86963" w:rsidRDefault="00E86963" w:rsidP="00E86963">
            <w:pPr>
              <w:rPr>
                <w:lang w:eastAsia="en-IN"/>
              </w:rPr>
            </w:pPr>
            <w:r w:rsidRPr="00E86963">
              <w:rPr>
                <w:lang w:eastAsia="en-IN"/>
              </w:rPr>
              <w:t>PEP</w:t>
            </w:r>
          </w:p>
        </w:tc>
        <w:tc>
          <w:tcPr>
            <w:tcW w:w="0" w:type="auto"/>
            <w:tcBorders>
              <w:left w:val="single" w:sz="4" w:space="0" w:color="auto"/>
              <w:right w:val="single" w:sz="4" w:space="0" w:color="auto"/>
            </w:tcBorders>
            <w:vAlign w:val="center"/>
            <w:hideMark/>
          </w:tcPr>
          <w:p w14:paraId="47DF7773" w14:textId="77777777" w:rsidR="00E86963" w:rsidRPr="00E86963" w:rsidRDefault="00E86963" w:rsidP="00E86963">
            <w:pPr>
              <w:rPr>
                <w:lang w:eastAsia="en-IN"/>
              </w:rPr>
            </w:pPr>
            <w:r w:rsidRPr="00E86963">
              <w:rPr>
                <w:lang w:eastAsia="en-IN"/>
              </w:rPr>
              <w:t>Politically Exposed Person, individuals with significant public functions, posing higher risks.</w:t>
            </w:r>
          </w:p>
        </w:tc>
      </w:tr>
      <w:tr w:rsidR="00E86963" w:rsidRPr="00E86963" w14:paraId="19F7D705" w14:textId="77777777" w:rsidTr="00E86963">
        <w:trPr>
          <w:tblCellSpacing w:w="15" w:type="dxa"/>
        </w:trPr>
        <w:tc>
          <w:tcPr>
            <w:tcW w:w="1763" w:type="dxa"/>
            <w:tcBorders>
              <w:top w:val="single" w:sz="4" w:space="0" w:color="auto"/>
              <w:left w:val="single" w:sz="4" w:space="0" w:color="auto"/>
            </w:tcBorders>
            <w:vAlign w:val="center"/>
            <w:hideMark/>
          </w:tcPr>
          <w:p w14:paraId="1FD87F8E" w14:textId="77777777" w:rsidR="00E86963" w:rsidRPr="00E86963" w:rsidRDefault="00E86963" w:rsidP="00E86963">
            <w:pPr>
              <w:rPr>
                <w:lang w:eastAsia="en-IN"/>
              </w:rPr>
            </w:pPr>
            <w:r w:rsidRPr="00E86963">
              <w:rPr>
                <w:lang w:eastAsia="en-IN"/>
              </w:rPr>
              <w:t>CIP</w:t>
            </w:r>
          </w:p>
        </w:tc>
        <w:tc>
          <w:tcPr>
            <w:tcW w:w="0" w:type="auto"/>
            <w:tcBorders>
              <w:top w:val="single" w:sz="4" w:space="0" w:color="auto"/>
              <w:left w:val="single" w:sz="4" w:space="0" w:color="auto"/>
              <w:right w:val="single" w:sz="4" w:space="0" w:color="auto"/>
            </w:tcBorders>
            <w:vAlign w:val="center"/>
            <w:hideMark/>
          </w:tcPr>
          <w:p w14:paraId="4FA221CF" w14:textId="77777777" w:rsidR="00E86963" w:rsidRPr="00E86963" w:rsidRDefault="00E86963" w:rsidP="00E86963">
            <w:pPr>
              <w:rPr>
                <w:lang w:eastAsia="en-IN"/>
              </w:rPr>
            </w:pPr>
            <w:r w:rsidRPr="00E86963">
              <w:rPr>
                <w:lang w:eastAsia="en-IN"/>
              </w:rPr>
              <w:t>Customer Identification Program, part of the KYC process that verifies identity.</w:t>
            </w:r>
          </w:p>
        </w:tc>
      </w:tr>
      <w:tr w:rsidR="00E86963" w:rsidRPr="00E86963" w14:paraId="73315A35" w14:textId="77777777" w:rsidTr="00E86963">
        <w:trPr>
          <w:tblCellSpacing w:w="15" w:type="dxa"/>
        </w:trPr>
        <w:tc>
          <w:tcPr>
            <w:tcW w:w="1763" w:type="dxa"/>
            <w:tcBorders>
              <w:top w:val="single" w:sz="4" w:space="0" w:color="auto"/>
              <w:left w:val="single" w:sz="4" w:space="0" w:color="auto"/>
            </w:tcBorders>
            <w:vAlign w:val="center"/>
            <w:hideMark/>
          </w:tcPr>
          <w:p w14:paraId="5400A5F8" w14:textId="77777777" w:rsidR="00E86963" w:rsidRPr="00E86963" w:rsidRDefault="00E86963" w:rsidP="00E86963">
            <w:pPr>
              <w:rPr>
                <w:lang w:eastAsia="en-IN"/>
              </w:rPr>
            </w:pPr>
            <w:r w:rsidRPr="00E86963">
              <w:rPr>
                <w:lang w:eastAsia="en-IN"/>
              </w:rPr>
              <w:t>KYB</w:t>
            </w:r>
          </w:p>
        </w:tc>
        <w:tc>
          <w:tcPr>
            <w:tcW w:w="0" w:type="auto"/>
            <w:tcBorders>
              <w:top w:val="single" w:sz="4" w:space="0" w:color="auto"/>
              <w:left w:val="single" w:sz="4" w:space="0" w:color="auto"/>
              <w:right w:val="single" w:sz="4" w:space="0" w:color="auto"/>
            </w:tcBorders>
            <w:vAlign w:val="center"/>
            <w:hideMark/>
          </w:tcPr>
          <w:p w14:paraId="37EBFC0D" w14:textId="77777777" w:rsidR="00E86963" w:rsidRPr="00E86963" w:rsidRDefault="00E86963" w:rsidP="00E86963">
            <w:pPr>
              <w:rPr>
                <w:lang w:eastAsia="en-IN"/>
              </w:rPr>
            </w:pPr>
            <w:r w:rsidRPr="00E86963">
              <w:rPr>
                <w:lang w:eastAsia="en-IN"/>
              </w:rPr>
              <w:t>Know Your Business, process of verifying the identity of a business entity.</w:t>
            </w:r>
          </w:p>
        </w:tc>
      </w:tr>
      <w:tr w:rsidR="00E86963" w:rsidRPr="00E86963" w14:paraId="2A935AE0" w14:textId="77777777" w:rsidTr="00E86963">
        <w:trPr>
          <w:tblCellSpacing w:w="15" w:type="dxa"/>
        </w:trPr>
        <w:tc>
          <w:tcPr>
            <w:tcW w:w="1763" w:type="dxa"/>
            <w:tcBorders>
              <w:top w:val="single" w:sz="4" w:space="0" w:color="auto"/>
              <w:left w:val="single" w:sz="4" w:space="0" w:color="auto"/>
            </w:tcBorders>
            <w:vAlign w:val="center"/>
            <w:hideMark/>
          </w:tcPr>
          <w:p w14:paraId="475E9B24" w14:textId="77777777" w:rsidR="00E86963" w:rsidRPr="00E86963" w:rsidRDefault="00E86963" w:rsidP="00E86963">
            <w:pPr>
              <w:rPr>
                <w:lang w:eastAsia="en-IN"/>
              </w:rPr>
            </w:pPr>
            <w:r w:rsidRPr="00E86963">
              <w:rPr>
                <w:lang w:eastAsia="en-IN"/>
              </w:rPr>
              <w:t>FinCEN</w:t>
            </w:r>
          </w:p>
        </w:tc>
        <w:tc>
          <w:tcPr>
            <w:tcW w:w="0" w:type="auto"/>
            <w:tcBorders>
              <w:top w:val="single" w:sz="4" w:space="0" w:color="auto"/>
              <w:left w:val="single" w:sz="4" w:space="0" w:color="auto"/>
              <w:right w:val="single" w:sz="4" w:space="0" w:color="auto"/>
            </w:tcBorders>
            <w:vAlign w:val="center"/>
            <w:hideMark/>
          </w:tcPr>
          <w:p w14:paraId="13727F89" w14:textId="77777777" w:rsidR="00E86963" w:rsidRPr="00E86963" w:rsidRDefault="00E86963" w:rsidP="00E86963">
            <w:pPr>
              <w:rPr>
                <w:lang w:eastAsia="en-IN"/>
              </w:rPr>
            </w:pPr>
            <w:r w:rsidRPr="00E86963">
              <w:rPr>
                <w:lang w:eastAsia="en-IN"/>
              </w:rPr>
              <w:t>Financial Crimes Enforcement Network, a U.S. government bureau that combats financial crimes.</w:t>
            </w:r>
          </w:p>
        </w:tc>
      </w:tr>
      <w:tr w:rsidR="00E86963" w:rsidRPr="00E86963" w14:paraId="5A3231B4" w14:textId="77777777" w:rsidTr="00E86963">
        <w:trPr>
          <w:tblCellSpacing w:w="15" w:type="dxa"/>
        </w:trPr>
        <w:tc>
          <w:tcPr>
            <w:tcW w:w="1763" w:type="dxa"/>
            <w:tcBorders>
              <w:top w:val="single" w:sz="4" w:space="0" w:color="auto"/>
              <w:left w:val="single" w:sz="4" w:space="0" w:color="auto"/>
            </w:tcBorders>
            <w:vAlign w:val="center"/>
            <w:hideMark/>
          </w:tcPr>
          <w:p w14:paraId="72120E60" w14:textId="77777777" w:rsidR="00E86963" w:rsidRPr="00E86963" w:rsidRDefault="00E86963" w:rsidP="00E86963">
            <w:pPr>
              <w:rPr>
                <w:lang w:eastAsia="en-IN"/>
              </w:rPr>
            </w:pPr>
            <w:r w:rsidRPr="00E86963">
              <w:rPr>
                <w:lang w:eastAsia="en-IN"/>
              </w:rPr>
              <w:t>OFAC</w:t>
            </w:r>
          </w:p>
        </w:tc>
        <w:tc>
          <w:tcPr>
            <w:tcW w:w="0" w:type="auto"/>
            <w:tcBorders>
              <w:top w:val="single" w:sz="4" w:space="0" w:color="auto"/>
              <w:left w:val="single" w:sz="4" w:space="0" w:color="auto"/>
              <w:right w:val="single" w:sz="4" w:space="0" w:color="auto"/>
            </w:tcBorders>
            <w:vAlign w:val="center"/>
            <w:hideMark/>
          </w:tcPr>
          <w:p w14:paraId="39BE7242" w14:textId="77777777" w:rsidR="00E86963" w:rsidRPr="00E86963" w:rsidRDefault="00E86963" w:rsidP="00E86963">
            <w:pPr>
              <w:rPr>
                <w:lang w:eastAsia="en-IN"/>
              </w:rPr>
            </w:pPr>
            <w:r w:rsidRPr="00E86963">
              <w:rPr>
                <w:lang w:eastAsia="en-IN"/>
              </w:rPr>
              <w:t>Office of Foreign Assets Control, U.S. Treasury Department that enforces economic and trade sanctions.</w:t>
            </w:r>
          </w:p>
        </w:tc>
      </w:tr>
      <w:tr w:rsidR="00E86963" w:rsidRPr="00E86963" w14:paraId="18DFA573" w14:textId="77777777" w:rsidTr="00E86963">
        <w:trPr>
          <w:tblCellSpacing w:w="15" w:type="dxa"/>
        </w:trPr>
        <w:tc>
          <w:tcPr>
            <w:tcW w:w="1763" w:type="dxa"/>
            <w:tcBorders>
              <w:top w:val="single" w:sz="4" w:space="0" w:color="auto"/>
              <w:left w:val="single" w:sz="4" w:space="0" w:color="auto"/>
            </w:tcBorders>
            <w:vAlign w:val="center"/>
            <w:hideMark/>
          </w:tcPr>
          <w:p w14:paraId="52A9BD87" w14:textId="77777777" w:rsidR="00E86963" w:rsidRPr="00E86963" w:rsidRDefault="00E86963" w:rsidP="00E86963">
            <w:pPr>
              <w:rPr>
                <w:lang w:eastAsia="en-IN"/>
              </w:rPr>
            </w:pPr>
            <w:r w:rsidRPr="00E86963">
              <w:rPr>
                <w:lang w:eastAsia="en-IN"/>
              </w:rPr>
              <w:t>Beneficial Owner</w:t>
            </w:r>
          </w:p>
        </w:tc>
        <w:tc>
          <w:tcPr>
            <w:tcW w:w="0" w:type="auto"/>
            <w:tcBorders>
              <w:top w:val="single" w:sz="4" w:space="0" w:color="auto"/>
              <w:left w:val="single" w:sz="4" w:space="0" w:color="auto"/>
              <w:right w:val="single" w:sz="4" w:space="0" w:color="auto"/>
            </w:tcBorders>
            <w:vAlign w:val="center"/>
            <w:hideMark/>
          </w:tcPr>
          <w:p w14:paraId="54D8B68A" w14:textId="77777777" w:rsidR="00E86963" w:rsidRPr="00E86963" w:rsidRDefault="00E86963" w:rsidP="00E86963">
            <w:pPr>
              <w:rPr>
                <w:lang w:eastAsia="en-IN"/>
              </w:rPr>
            </w:pPr>
            <w:r w:rsidRPr="00E86963">
              <w:rPr>
                <w:lang w:eastAsia="en-IN"/>
              </w:rPr>
              <w:t>Individual who ultimately owns or controls a customer and/or the person on whose behalf a transaction is being conducted.</w:t>
            </w:r>
          </w:p>
        </w:tc>
      </w:tr>
      <w:tr w:rsidR="00E86963" w:rsidRPr="00E86963" w14:paraId="6D5AD00B" w14:textId="77777777" w:rsidTr="00E86963">
        <w:trPr>
          <w:tblCellSpacing w:w="15" w:type="dxa"/>
        </w:trPr>
        <w:tc>
          <w:tcPr>
            <w:tcW w:w="1763" w:type="dxa"/>
            <w:tcBorders>
              <w:top w:val="single" w:sz="4" w:space="0" w:color="auto"/>
              <w:left w:val="single" w:sz="4" w:space="0" w:color="auto"/>
            </w:tcBorders>
            <w:vAlign w:val="center"/>
            <w:hideMark/>
          </w:tcPr>
          <w:p w14:paraId="56DAF408" w14:textId="77777777" w:rsidR="00E86963" w:rsidRPr="00E86963" w:rsidRDefault="00E86963" w:rsidP="00E86963">
            <w:pPr>
              <w:rPr>
                <w:lang w:eastAsia="en-IN"/>
              </w:rPr>
            </w:pPr>
            <w:r w:rsidRPr="00E86963">
              <w:rPr>
                <w:lang w:eastAsia="en-IN"/>
              </w:rPr>
              <w:t>Sanctions List</w:t>
            </w:r>
          </w:p>
        </w:tc>
        <w:tc>
          <w:tcPr>
            <w:tcW w:w="0" w:type="auto"/>
            <w:tcBorders>
              <w:top w:val="single" w:sz="4" w:space="0" w:color="auto"/>
              <w:left w:val="single" w:sz="4" w:space="0" w:color="auto"/>
              <w:right w:val="single" w:sz="4" w:space="0" w:color="auto"/>
            </w:tcBorders>
            <w:vAlign w:val="center"/>
            <w:hideMark/>
          </w:tcPr>
          <w:p w14:paraId="444760FA" w14:textId="77777777" w:rsidR="00E86963" w:rsidRDefault="00E86963" w:rsidP="00E86963">
            <w:pPr>
              <w:rPr>
                <w:lang w:eastAsia="en-IN"/>
              </w:rPr>
            </w:pPr>
          </w:p>
          <w:p w14:paraId="28D0CD25" w14:textId="665E21E6" w:rsidR="00E86963" w:rsidRPr="00E86963" w:rsidRDefault="00E86963" w:rsidP="00E86963">
            <w:pPr>
              <w:rPr>
                <w:lang w:eastAsia="en-IN"/>
              </w:rPr>
            </w:pPr>
            <w:r w:rsidRPr="00E86963">
              <w:rPr>
                <w:lang w:eastAsia="en-IN"/>
              </w:rPr>
              <w:t>Lists maintained by governments or international bodies that identify individuals or entities subject to sanctions.</w:t>
            </w:r>
          </w:p>
        </w:tc>
      </w:tr>
      <w:tr w:rsidR="00E86963" w:rsidRPr="00E86963" w14:paraId="19504C7C" w14:textId="77777777" w:rsidTr="00E86963">
        <w:trPr>
          <w:tblCellSpacing w:w="15" w:type="dxa"/>
        </w:trPr>
        <w:tc>
          <w:tcPr>
            <w:tcW w:w="1763" w:type="dxa"/>
            <w:tcBorders>
              <w:top w:val="single" w:sz="4" w:space="0" w:color="auto"/>
              <w:left w:val="single" w:sz="4" w:space="0" w:color="auto"/>
              <w:bottom w:val="single" w:sz="4" w:space="0" w:color="auto"/>
            </w:tcBorders>
            <w:vAlign w:val="center"/>
            <w:hideMark/>
          </w:tcPr>
          <w:p w14:paraId="4FEC1A66" w14:textId="77777777" w:rsidR="00E86963" w:rsidRPr="00E86963" w:rsidRDefault="00E86963" w:rsidP="00E86963">
            <w:pPr>
              <w:rPr>
                <w:lang w:eastAsia="en-IN"/>
              </w:rPr>
            </w:pPr>
            <w:r w:rsidRPr="00E86963">
              <w:rPr>
                <w:lang w:eastAsia="en-IN"/>
              </w:rPr>
              <w:lastRenderedPageBreak/>
              <w:t>Onboarding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2FBDA42E" w14:textId="77777777" w:rsidR="00E86963" w:rsidRPr="00E86963" w:rsidRDefault="00E86963" w:rsidP="00E86963">
            <w:pPr>
              <w:rPr>
                <w:lang w:eastAsia="en-IN"/>
              </w:rPr>
            </w:pPr>
            <w:r w:rsidRPr="00E86963">
              <w:rPr>
                <w:lang w:eastAsia="en-IN"/>
              </w:rPr>
              <w:t>Process of integrating a new customer into the financial institution's system.</w:t>
            </w:r>
          </w:p>
        </w:tc>
      </w:tr>
      <w:tr w:rsidR="00E86963" w:rsidRPr="00E86963" w14:paraId="304E9FEE" w14:textId="77777777" w:rsidTr="00417440">
        <w:trPr>
          <w:tblCellSpacing w:w="15" w:type="dxa"/>
        </w:trPr>
        <w:tc>
          <w:tcPr>
            <w:tcW w:w="1763" w:type="dxa"/>
            <w:tcBorders>
              <w:top w:val="single" w:sz="4" w:space="0" w:color="auto"/>
              <w:left w:val="single" w:sz="4" w:space="0" w:color="auto"/>
            </w:tcBorders>
            <w:vAlign w:val="center"/>
            <w:hideMark/>
          </w:tcPr>
          <w:p w14:paraId="3892E75F" w14:textId="77777777" w:rsidR="00E86963" w:rsidRPr="00E86963" w:rsidRDefault="00E86963" w:rsidP="00E86963">
            <w:pPr>
              <w:rPr>
                <w:lang w:eastAsia="en-IN"/>
              </w:rPr>
            </w:pPr>
            <w:r w:rsidRPr="00E86963">
              <w:rPr>
                <w:lang w:eastAsia="en-IN"/>
              </w:rPr>
              <w:t>SAR</w:t>
            </w:r>
          </w:p>
        </w:tc>
        <w:tc>
          <w:tcPr>
            <w:tcW w:w="0" w:type="auto"/>
            <w:tcBorders>
              <w:top w:val="single" w:sz="4" w:space="0" w:color="auto"/>
              <w:left w:val="single" w:sz="4" w:space="0" w:color="auto"/>
              <w:right w:val="single" w:sz="4" w:space="0" w:color="auto"/>
            </w:tcBorders>
            <w:vAlign w:val="center"/>
            <w:hideMark/>
          </w:tcPr>
          <w:p w14:paraId="76C2F56F" w14:textId="77777777" w:rsidR="00E86963" w:rsidRPr="00E86963" w:rsidRDefault="00E86963" w:rsidP="00E86963">
            <w:pPr>
              <w:rPr>
                <w:lang w:eastAsia="en-IN"/>
              </w:rPr>
            </w:pPr>
            <w:r w:rsidRPr="00E86963">
              <w:rPr>
                <w:lang w:eastAsia="en-IN"/>
              </w:rPr>
              <w:t>Suspicious Activity Report, filed by financial institutions to report suspicious activity.</w:t>
            </w:r>
          </w:p>
        </w:tc>
      </w:tr>
      <w:tr w:rsidR="00E86963" w:rsidRPr="00E86963" w14:paraId="23B44566" w14:textId="77777777" w:rsidTr="00417440">
        <w:trPr>
          <w:tblCellSpacing w:w="15" w:type="dxa"/>
        </w:trPr>
        <w:tc>
          <w:tcPr>
            <w:tcW w:w="1763" w:type="dxa"/>
            <w:tcBorders>
              <w:top w:val="single" w:sz="4" w:space="0" w:color="auto"/>
              <w:left w:val="single" w:sz="4" w:space="0" w:color="auto"/>
            </w:tcBorders>
            <w:vAlign w:val="center"/>
            <w:hideMark/>
          </w:tcPr>
          <w:p w14:paraId="535A49FF" w14:textId="77777777" w:rsidR="00E86963" w:rsidRPr="00E86963" w:rsidRDefault="00E86963" w:rsidP="00E86963">
            <w:pPr>
              <w:rPr>
                <w:lang w:eastAsia="en-IN"/>
              </w:rPr>
            </w:pPr>
            <w:r w:rsidRPr="00E86963">
              <w:rPr>
                <w:lang w:eastAsia="en-IN"/>
              </w:rPr>
              <w:t>UBO</w:t>
            </w:r>
          </w:p>
        </w:tc>
        <w:tc>
          <w:tcPr>
            <w:tcW w:w="0" w:type="auto"/>
            <w:tcBorders>
              <w:top w:val="single" w:sz="4" w:space="0" w:color="auto"/>
              <w:left w:val="single" w:sz="4" w:space="0" w:color="auto"/>
              <w:right w:val="single" w:sz="4" w:space="0" w:color="auto"/>
            </w:tcBorders>
            <w:vAlign w:val="center"/>
            <w:hideMark/>
          </w:tcPr>
          <w:p w14:paraId="49D5A1FD" w14:textId="77777777" w:rsidR="00E86963" w:rsidRPr="00E86963" w:rsidRDefault="00E86963" w:rsidP="00E86963">
            <w:pPr>
              <w:rPr>
                <w:lang w:eastAsia="en-IN"/>
              </w:rPr>
            </w:pPr>
            <w:r w:rsidRPr="00E86963">
              <w:rPr>
                <w:lang w:eastAsia="en-IN"/>
              </w:rPr>
              <w:t>Ultimate Beneficial Owner, the individual who ultimately owns or controls a company.</w:t>
            </w:r>
          </w:p>
        </w:tc>
      </w:tr>
      <w:tr w:rsidR="00E86963" w:rsidRPr="00E86963" w14:paraId="0603EBED" w14:textId="77777777" w:rsidTr="00417440">
        <w:trPr>
          <w:tblCellSpacing w:w="15" w:type="dxa"/>
        </w:trPr>
        <w:tc>
          <w:tcPr>
            <w:tcW w:w="1763" w:type="dxa"/>
            <w:tcBorders>
              <w:top w:val="single" w:sz="4" w:space="0" w:color="auto"/>
              <w:left w:val="single" w:sz="4" w:space="0" w:color="auto"/>
            </w:tcBorders>
            <w:vAlign w:val="center"/>
            <w:hideMark/>
          </w:tcPr>
          <w:p w14:paraId="55D70F67" w14:textId="77777777" w:rsidR="00E86963" w:rsidRPr="00E86963" w:rsidRDefault="00E86963" w:rsidP="00E86963">
            <w:pPr>
              <w:rPr>
                <w:lang w:eastAsia="en-IN"/>
              </w:rPr>
            </w:pPr>
            <w:r w:rsidRPr="00E86963">
              <w:rPr>
                <w:lang w:eastAsia="en-IN"/>
              </w:rPr>
              <w:t>Digital Identity Verification</w:t>
            </w:r>
          </w:p>
        </w:tc>
        <w:tc>
          <w:tcPr>
            <w:tcW w:w="0" w:type="auto"/>
            <w:tcBorders>
              <w:top w:val="single" w:sz="4" w:space="0" w:color="auto"/>
              <w:left w:val="single" w:sz="4" w:space="0" w:color="auto"/>
              <w:right w:val="single" w:sz="4" w:space="0" w:color="auto"/>
            </w:tcBorders>
            <w:vAlign w:val="center"/>
            <w:hideMark/>
          </w:tcPr>
          <w:p w14:paraId="3676C8D9" w14:textId="77777777" w:rsidR="00E86963" w:rsidRPr="00E86963" w:rsidRDefault="00E86963" w:rsidP="00E86963">
            <w:pPr>
              <w:rPr>
                <w:lang w:eastAsia="en-IN"/>
              </w:rPr>
            </w:pPr>
            <w:r w:rsidRPr="00E86963">
              <w:rPr>
                <w:lang w:eastAsia="en-IN"/>
              </w:rPr>
              <w:t>Use of digital methods (biometrics, ID documents) to verify identity online.</w:t>
            </w:r>
          </w:p>
        </w:tc>
      </w:tr>
      <w:tr w:rsidR="00E86963" w:rsidRPr="00E86963" w14:paraId="0FCFE493" w14:textId="77777777" w:rsidTr="00417440">
        <w:trPr>
          <w:tblCellSpacing w:w="15" w:type="dxa"/>
        </w:trPr>
        <w:tc>
          <w:tcPr>
            <w:tcW w:w="1763" w:type="dxa"/>
            <w:tcBorders>
              <w:top w:val="single" w:sz="4" w:space="0" w:color="auto"/>
              <w:left w:val="single" w:sz="4" w:space="0" w:color="auto"/>
              <w:bottom w:val="single" w:sz="4" w:space="0" w:color="auto"/>
            </w:tcBorders>
            <w:vAlign w:val="center"/>
            <w:hideMark/>
          </w:tcPr>
          <w:p w14:paraId="5F7E9453" w14:textId="77777777" w:rsidR="00E86963" w:rsidRPr="00E86963" w:rsidRDefault="00E86963" w:rsidP="00E86963">
            <w:pPr>
              <w:rPr>
                <w:lang w:eastAsia="en-IN"/>
              </w:rPr>
            </w:pPr>
            <w:r w:rsidRPr="00E86963">
              <w:rPr>
                <w:lang w:eastAsia="en-IN"/>
              </w:rPr>
              <w:t>KYCC</w:t>
            </w:r>
          </w:p>
        </w:tc>
        <w:tc>
          <w:tcPr>
            <w:tcW w:w="0" w:type="auto"/>
            <w:tcBorders>
              <w:top w:val="single" w:sz="4" w:space="0" w:color="auto"/>
              <w:left w:val="single" w:sz="4" w:space="0" w:color="auto"/>
              <w:bottom w:val="single" w:sz="4" w:space="0" w:color="auto"/>
              <w:right w:val="single" w:sz="4" w:space="0" w:color="auto"/>
            </w:tcBorders>
            <w:vAlign w:val="center"/>
            <w:hideMark/>
          </w:tcPr>
          <w:p w14:paraId="160D1AF5" w14:textId="77777777" w:rsidR="00E86963" w:rsidRPr="00E86963" w:rsidRDefault="00E86963" w:rsidP="00E86963">
            <w:pPr>
              <w:rPr>
                <w:lang w:eastAsia="en-IN"/>
              </w:rPr>
            </w:pPr>
            <w:r w:rsidRPr="00E86963">
              <w:rPr>
                <w:lang w:eastAsia="en-IN"/>
              </w:rPr>
              <w:t>Know Your Customer's Customer, extending KYC processes to third parties.</w:t>
            </w:r>
          </w:p>
        </w:tc>
      </w:tr>
    </w:tbl>
    <w:p w14:paraId="04491A85" w14:textId="77777777" w:rsidR="00E86963" w:rsidRDefault="00E86963" w:rsidP="00E86963">
      <w:pPr>
        <w:rPr>
          <w:lang w:eastAsia="en-IN"/>
        </w:rPr>
      </w:pPr>
    </w:p>
    <w:p w14:paraId="35809E64" w14:textId="2F2007FB" w:rsidR="00E86963" w:rsidRPr="00E86963" w:rsidRDefault="00E86963" w:rsidP="00E86963">
      <w:pPr>
        <w:rPr>
          <w:b/>
          <w:bCs/>
          <w:lang w:eastAsia="en-IN"/>
        </w:rPr>
      </w:pPr>
      <w:r w:rsidRPr="00E86963">
        <w:rPr>
          <w:b/>
          <w:bCs/>
          <w:lang w:eastAsia="en-IN"/>
        </w:rPr>
        <w:t>Import</w:t>
      </w:r>
      <w:r w:rsidR="00417440" w:rsidRPr="00417440">
        <w:rPr>
          <w:b/>
          <w:bCs/>
          <w:lang w:eastAsia="en-IN"/>
        </w:rPr>
        <w:t>ant</w:t>
      </w:r>
      <w:r w:rsidRPr="00E86963">
        <w:rPr>
          <w:b/>
          <w:bCs/>
          <w:lang w:eastAsia="en-IN"/>
        </w:rPr>
        <w:t xml:space="preserve"> Data Related to KYC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61"/>
        <w:gridCol w:w="3155"/>
      </w:tblGrid>
      <w:tr w:rsidR="00417440" w:rsidRPr="00E86963" w14:paraId="4873A0D9" w14:textId="77777777" w:rsidTr="00417440">
        <w:trPr>
          <w:tblHeader/>
          <w:tblCellSpacing w:w="15" w:type="dxa"/>
        </w:trPr>
        <w:tc>
          <w:tcPr>
            <w:tcW w:w="0" w:type="auto"/>
            <w:tcBorders>
              <w:top w:val="single" w:sz="4" w:space="0" w:color="auto"/>
              <w:left w:val="single" w:sz="4" w:space="0" w:color="auto"/>
              <w:bottom w:val="single" w:sz="4" w:space="0" w:color="auto"/>
            </w:tcBorders>
            <w:vAlign w:val="center"/>
            <w:hideMark/>
          </w:tcPr>
          <w:p w14:paraId="224924A4" w14:textId="77777777" w:rsidR="00417440" w:rsidRPr="00E86963" w:rsidRDefault="00417440" w:rsidP="00E86963">
            <w:pPr>
              <w:rPr>
                <w:b/>
                <w:bCs/>
                <w:lang w:eastAsia="en-IN"/>
              </w:rPr>
            </w:pPr>
            <w:r w:rsidRPr="00E86963">
              <w:rPr>
                <w:b/>
                <w:bCs/>
                <w:lang w:eastAsia="en-IN"/>
              </w:rPr>
              <w:t>Statistic/Data</w:t>
            </w:r>
          </w:p>
        </w:tc>
        <w:tc>
          <w:tcPr>
            <w:tcW w:w="0" w:type="auto"/>
            <w:tcBorders>
              <w:top w:val="single" w:sz="4" w:space="0" w:color="auto"/>
              <w:left w:val="single" w:sz="4" w:space="0" w:color="auto"/>
              <w:bottom w:val="single" w:sz="4" w:space="0" w:color="auto"/>
              <w:right w:val="single" w:sz="4" w:space="0" w:color="auto"/>
            </w:tcBorders>
            <w:vAlign w:val="center"/>
            <w:hideMark/>
          </w:tcPr>
          <w:p w14:paraId="6B0F77E6" w14:textId="77777777" w:rsidR="00417440" w:rsidRPr="00E86963" w:rsidRDefault="00417440" w:rsidP="00E86963">
            <w:pPr>
              <w:rPr>
                <w:b/>
                <w:bCs/>
                <w:lang w:eastAsia="en-IN"/>
              </w:rPr>
            </w:pPr>
            <w:r w:rsidRPr="00E86963">
              <w:rPr>
                <w:b/>
                <w:bCs/>
                <w:lang w:eastAsia="en-IN"/>
              </w:rPr>
              <w:t>Value</w:t>
            </w:r>
          </w:p>
        </w:tc>
      </w:tr>
      <w:tr w:rsidR="00417440" w:rsidRPr="00E86963" w14:paraId="316A1F73" w14:textId="77777777" w:rsidTr="00417440">
        <w:trPr>
          <w:tblCellSpacing w:w="15" w:type="dxa"/>
        </w:trPr>
        <w:tc>
          <w:tcPr>
            <w:tcW w:w="0" w:type="auto"/>
            <w:tcBorders>
              <w:left w:val="single" w:sz="4" w:space="0" w:color="auto"/>
            </w:tcBorders>
            <w:vAlign w:val="center"/>
            <w:hideMark/>
          </w:tcPr>
          <w:p w14:paraId="16EE70D0" w14:textId="77777777" w:rsidR="00417440" w:rsidRPr="00E86963" w:rsidRDefault="00417440" w:rsidP="00E86963">
            <w:pPr>
              <w:rPr>
                <w:lang w:eastAsia="en-IN"/>
              </w:rPr>
            </w:pPr>
            <w:r w:rsidRPr="00E86963">
              <w:rPr>
                <w:lang w:eastAsia="en-IN"/>
              </w:rPr>
              <w:t>Global Cost of Financial Crime</w:t>
            </w:r>
          </w:p>
        </w:tc>
        <w:tc>
          <w:tcPr>
            <w:tcW w:w="0" w:type="auto"/>
            <w:tcBorders>
              <w:left w:val="single" w:sz="4" w:space="0" w:color="auto"/>
              <w:right w:val="single" w:sz="4" w:space="0" w:color="auto"/>
            </w:tcBorders>
            <w:vAlign w:val="center"/>
            <w:hideMark/>
          </w:tcPr>
          <w:p w14:paraId="546A9615" w14:textId="77777777" w:rsidR="00417440" w:rsidRPr="00E86963" w:rsidRDefault="00417440" w:rsidP="00E86963">
            <w:pPr>
              <w:rPr>
                <w:lang w:eastAsia="en-IN"/>
              </w:rPr>
            </w:pPr>
            <w:r w:rsidRPr="00E86963">
              <w:rPr>
                <w:lang w:eastAsia="en-IN"/>
              </w:rPr>
              <w:t>$3.5 trillion annually</w:t>
            </w:r>
          </w:p>
        </w:tc>
      </w:tr>
      <w:tr w:rsidR="00417440" w:rsidRPr="00E86963" w14:paraId="7843AEBD" w14:textId="77777777" w:rsidTr="00417440">
        <w:trPr>
          <w:tblCellSpacing w:w="15" w:type="dxa"/>
        </w:trPr>
        <w:tc>
          <w:tcPr>
            <w:tcW w:w="0" w:type="auto"/>
            <w:tcBorders>
              <w:top w:val="single" w:sz="4" w:space="0" w:color="auto"/>
              <w:left w:val="single" w:sz="4" w:space="0" w:color="auto"/>
              <w:bottom w:val="single" w:sz="4" w:space="0" w:color="auto"/>
            </w:tcBorders>
            <w:vAlign w:val="center"/>
            <w:hideMark/>
          </w:tcPr>
          <w:p w14:paraId="4F4549DB" w14:textId="77777777" w:rsidR="00417440" w:rsidRPr="00E86963" w:rsidRDefault="00417440" w:rsidP="00E86963">
            <w:pPr>
              <w:rPr>
                <w:lang w:eastAsia="en-IN"/>
              </w:rPr>
            </w:pPr>
            <w:r w:rsidRPr="00E86963">
              <w:rPr>
                <w:lang w:eastAsia="en-IN"/>
              </w:rPr>
              <w:t>Average KYC Process Time</w:t>
            </w:r>
          </w:p>
        </w:tc>
        <w:tc>
          <w:tcPr>
            <w:tcW w:w="0" w:type="auto"/>
            <w:tcBorders>
              <w:top w:val="single" w:sz="4" w:space="0" w:color="auto"/>
              <w:left w:val="single" w:sz="4" w:space="0" w:color="auto"/>
              <w:bottom w:val="single" w:sz="4" w:space="0" w:color="auto"/>
              <w:right w:val="single" w:sz="4" w:space="0" w:color="auto"/>
            </w:tcBorders>
            <w:vAlign w:val="center"/>
            <w:hideMark/>
          </w:tcPr>
          <w:p w14:paraId="302F308C" w14:textId="77777777" w:rsidR="00417440" w:rsidRPr="00E86963" w:rsidRDefault="00417440" w:rsidP="00E86963">
            <w:pPr>
              <w:rPr>
                <w:lang w:eastAsia="en-IN"/>
              </w:rPr>
            </w:pPr>
            <w:r w:rsidRPr="00E86963">
              <w:rPr>
                <w:lang w:eastAsia="en-IN"/>
              </w:rPr>
              <w:t>24 days</w:t>
            </w:r>
          </w:p>
        </w:tc>
      </w:tr>
      <w:tr w:rsidR="00417440" w:rsidRPr="00E86963" w14:paraId="7775F64B" w14:textId="77777777" w:rsidTr="00417440">
        <w:trPr>
          <w:tblCellSpacing w:w="15" w:type="dxa"/>
        </w:trPr>
        <w:tc>
          <w:tcPr>
            <w:tcW w:w="0" w:type="auto"/>
            <w:tcBorders>
              <w:left w:val="single" w:sz="4" w:space="0" w:color="auto"/>
            </w:tcBorders>
            <w:vAlign w:val="center"/>
            <w:hideMark/>
          </w:tcPr>
          <w:p w14:paraId="57937DFF" w14:textId="77777777" w:rsidR="00417440" w:rsidRPr="00E86963" w:rsidRDefault="00417440" w:rsidP="00E86963">
            <w:pPr>
              <w:rPr>
                <w:lang w:eastAsia="en-IN"/>
              </w:rPr>
            </w:pPr>
            <w:r w:rsidRPr="00E86963">
              <w:rPr>
                <w:lang w:eastAsia="en-IN"/>
              </w:rPr>
              <w:t>Annual KYC Spending by Banks</w:t>
            </w:r>
          </w:p>
        </w:tc>
        <w:tc>
          <w:tcPr>
            <w:tcW w:w="0" w:type="auto"/>
            <w:tcBorders>
              <w:left w:val="single" w:sz="4" w:space="0" w:color="auto"/>
              <w:right w:val="single" w:sz="4" w:space="0" w:color="auto"/>
            </w:tcBorders>
            <w:vAlign w:val="center"/>
            <w:hideMark/>
          </w:tcPr>
          <w:p w14:paraId="50558ADC" w14:textId="77777777" w:rsidR="00417440" w:rsidRPr="00E86963" w:rsidRDefault="00417440" w:rsidP="00E86963">
            <w:pPr>
              <w:rPr>
                <w:lang w:eastAsia="en-IN"/>
              </w:rPr>
            </w:pPr>
            <w:r w:rsidRPr="00E86963">
              <w:rPr>
                <w:lang w:eastAsia="en-IN"/>
              </w:rPr>
              <w:t>Over $500 million</w:t>
            </w:r>
          </w:p>
        </w:tc>
      </w:tr>
      <w:tr w:rsidR="00417440" w:rsidRPr="00E86963" w14:paraId="47A1E316" w14:textId="77777777" w:rsidTr="00417440">
        <w:trPr>
          <w:tblCellSpacing w:w="15" w:type="dxa"/>
        </w:trPr>
        <w:tc>
          <w:tcPr>
            <w:tcW w:w="0" w:type="auto"/>
            <w:tcBorders>
              <w:top w:val="single" w:sz="4" w:space="0" w:color="auto"/>
              <w:left w:val="single" w:sz="4" w:space="0" w:color="auto"/>
            </w:tcBorders>
            <w:vAlign w:val="center"/>
            <w:hideMark/>
          </w:tcPr>
          <w:p w14:paraId="03769A1B" w14:textId="77777777" w:rsidR="00417440" w:rsidRPr="00E86963" w:rsidRDefault="00417440" w:rsidP="00E86963">
            <w:pPr>
              <w:rPr>
                <w:lang w:eastAsia="en-IN"/>
              </w:rPr>
            </w:pPr>
            <w:r w:rsidRPr="00E86963">
              <w:rPr>
                <w:lang w:eastAsia="en-IN"/>
              </w:rPr>
              <w:t>Percentage of Financial Institutions Using Manual KYC Processes</w:t>
            </w:r>
          </w:p>
        </w:tc>
        <w:tc>
          <w:tcPr>
            <w:tcW w:w="0" w:type="auto"/>
            <w:tcBorders>
              <w:top w:val="single" w:sz="4" w:space="0" w:color="auto"/>
              <w:left w:val="single" w:sz="4" w:space="0" w:color="auto"/>
              <w:right w:val="single" w:sz="4" w:space="0" w:color="auto"/>
            </w:tcBorders>
            <w:vAlign w:val="center"/>
            <w:hideMark/>
          </w:tcPr>
          <w:p w14:paraId="78029ED9" w14:textId="77777777" w:rsidR="00417440" w:rsidRPr="00E86963" w:rsidRDefault="00417440" w:rsidP="00E86963">
            <w:pPr>
              <w:rPr>
                <w:lang w:eastAsia="en-IN"/>
              </w:rPr>
            </w:pPr>
            <w:r w:rsidRPr="00E86963">
              <w:rPr>
                <w:lang w:eastAsia="en-IN"/>
              </w:rPr>
              <w:t>60%</w:t>
            </w:r>
          </w:p>
        </w:tc>
      </w:tr>
      <w:tr w:rsidR="00417440" w:rsidRPr="00E86963" w14:paraId="151E0262" w14:textId="77777777" w:rsidTr="00417440">
        <w:trPr>
          <w:tblCellSpacing w:w="15" w:type="dxa"/>
        </w:trPr>
        <w:tc>
          <w:tcPr>
            <w:tcW w:w="0" w:type="auto"/>
            <w:tcBorders>
              <w:top w:val="single" w:sz="4" w:space="0" w:color="auto"/>
              <w:left w:val="single" w:sz="4" w:space="0" w:color="auto"/>
              <w:bottom w:val="single" w:sz="4" w:space="0" w:color="auto"/>
            </w:tcBorders>
            <w:vAlign w:val="center"/>
            <w:hideMark/>
          </w:tcPr>
          <w:p w14:paraId="2891A826" w14:textId="77777777" w:rsidR="00417440" w:rsidRPr="00E86963" w:rsidRDefault="00417440" w:rsidP="00E86963">
            <w:pPr>
              <w:rPr>
                <w:lang w:eastAsia="en-IN"/>
              </w:rPr>
            </w:pPr>
            <w:r w:rsidRPr="00E86963">
              <w:rPr>
                <w:lang w:eastAsia="en-IN"/>
              </w:rPr>
              <w:t>Percentage of Banks Facing Challenges with KYC Compliance</w:t>
            </w:r>
          </w:p>
        </w:tc>
        <w:tc>
          <w:tcPr>
            <w:tcW w:w="0" w:type="auto"/>
            <w:tcBorders>
              <w:top w:val="single" w:sz="4" w:space="0" w:color="auto"/>
              <w:left w:val="single" w:sz="4" w:space="0" w:color="auto"/>
              <w:bottom w:val="single" w:sz="4" w:space="0" w:color="auto"/>
              <w:right w:val="single" w:sz="4" w:space="0" w:color="auto"/>
            </w:tcBorders>
            <w:vAlign w:val="center"/>
            <w:hideMark/>
          </w:tcPr>
          <w:p w14:paraId="76EC7585" w14:textId="77777777" w:rsidR="00417440" w:rsidRPr="00E86963" w:rsidRDefault="00417440" w:rsidP="00E86963">
            <w:pPr>
              <w:rPr>
                <w:lang w:eastAsia="en-IN"/>
              </w:rPr>
            </w:pPr>
            <w:r w:rsidRPr="00E86963">
              <w:rPr>
                <w:lang w:eastAsia="en-IN"/>
              </w:rPr>
              <w:t>80%</w:t>
            </w:r>
          </w:p>
        </w:tc>
      </w:tr>
      <w:tr w:rsidR="00417440" w:rsidRPr="00E86963" w14:paraId="6B06C544" w14:textId="77777777" w:rsidTr="00417440">
        <w:trPr>
          <w:tblCellSpacing w:w="15" w:type="dxa"/>
        </w:trPr>
        <w:tc>
          <w:tcPr>
            <w:tcW w:w="0" w:type="auto"/>
            <w:tcBorders>
              <w:left w:val="single" w:sz="4" w:space="0" w:color="auto"/>
            </w:tcBorders>
            <w:vAlign w:val="center"/>
            <w:hideMark/>
          </w:tcPr>
          <w:p w14:paraId="3B4E1450" w14:textId="77777777" w:rsidR="00417440" w:rsidRPr="00E86963" w:rsidRDefault="00417440" w:rsidP="00E86963">
            <w:pPr>
              <w:rPr>
                <w:lang w:eastAsia="en-IN"/>
              </w:rPr>
            </w:pPr>
            <w:r w:rsidRPr="00E86963">
              <w:rPr>
                <w:lang w:eastAsia="en-IN"/>
              </w:rPr>
              <w:t>Reduction in Customer Attrition with Efficient KYC</w:t>
            </w:r>
          </w:p>
        </w:tc>
        <w:tc>
          <w:tcPr>
            <w:tcW w:w="0" w:type="auto"/>
            <w:tcBorders>
              <w:left w:val="single" w:sz="4" w:space="0" w:color="auto"/>
              <w:right w:val="single" w:sz="4" w:space="0" w:color="auto"/>
            </w:tcBorders>
            <w:vAlign w:val="center"/>
            <w:hideMark/>
          </w:tcPr>
          <w:p w14:paraId="3D6E0912" w14:textId="77777777" w:rsidR="00417440" w:rsidRPr="00E86963" w:rsidRDefault="00417440" w:rsidP="00E86963">
            <w:pPr>
              <w:rPr>
                <w:lang w:eastAsia="en-IN"/>
              </w:rPr>
            </w:pPr>
            <w:r w:rsidRPr="00E86963">
              <w:rPr>
                <w:lang w:eastAsia="en-IN"/>
              </w:rPr>
              <w:t>20-30%</w:t>
            </w:r>
          </w:p>
        </w:tc>
      </w:tr>
      <w:tr w:rsidR="00417440" w:rsidRPr="00E86963" w14:paraId="1EB767B3" w14:textId="77777777" w:rsidTr="00417440">
        <w:trPr>
          <w:tblCellSpacing w:w="15" w:type="dxa"/>
        </w:trPr>
        <w:tc>
          <w:tcPr>
            <w:tcW w:w="0" w:type="auto"/>
            <w:tcBorders>
              <w:top w:val="single" w:sz="4" w:space="0" w:color="auto"/>
              <w:left w:val="single" w:sz="4" w:space="0" w:color="auto"/>
            </w:tcBorders>
            <w:vAlign w:val="center"/>
            <w:hideMark/>
          </w:tcPr>
          <w:p w14:paraId="7DCAA9DA" w14:textId="77777777" w:rsidR="00417440" w:rsidRPr="00E86963" w:rsidRDefault="00417440" w:rsidP="00E86963">
            <w:pPr>
              <w:rPr>
                <w:lang w:eastAsia="en-IN"/>
              </w:rPr>
            </w:pPr>
            <w:r w:rsidRPr="00E86963">
              <w:rPr>
                <w:lang w:eastAsia="en-IN"/>
              </w:rPr>
              <w:t>Average Annual Cost of AML Compliance</w:t>
            </w:r>
          </w:p>
        </w:tc>
        <w:tc>
          <w:tcPr>
            <w:tcW w:w="0" w:type="auto"/>
            <w:tcBorders>
              <w:top w:val="single" w:sz="4" w:space="0" w:color="auto"/>
              <w:left w:val="single" w:sz="4" w:space="0" w:color="auto"/>
              <w:right w:val="single" w:sz="4" w:space="0" w:color="auto"/>
            </w:tcBorders>
            <w:vAlign w:val="center"/>
            <w:hideMark/>
          </w:tcPr>
          <w:p w14:paraId="62E2FC9D" w14:textId="77777777" w:rsidR="00417440" w:rsidRPr="00E86963" w:rsidRDefault="00417440" w:rsidP="00E86963">
            <w:pPr>
              <w:rPr>
                <w:lang w:eastAsia="en-IN"/>
              </w:rPr>
            </w:pPr>
            <w:r w:rsidRPr="00E86963">
              <w:rPr>
                <w:lang w:eastAsia="en-IN"/>
              </w:rPr>
              <w:t>$48 million per financial institution</w:t>
            </w:r>
          </w:p>
        </w:tc>
      </w:tr>
      <w:tr w:rsidR="00417440" w:rsidRPr="00E86963" w14:paraId="79509C55" w14:textId="77777777" w:rsidTr="00417440">
        <w:trPr>
          <w:tblCellSpacing w:w="15" w:type="dxa"/>
        </w:trPr>
        <w:tc>
          <w:tcPr>
            <w:tcW w:w="0" w:type="auto"/>
            <w:tcBorders>
              <w:top w:val="single" w:sz="4" w:space="0" w:color="auto"/>
              <w:left w:val="single" w:sz="4" w:space="0" w:color="auto"/>
            </w:tcBorders>
            <w:vAlign w:val="center"/>
            <w:hideMark/>
          </w:tcPr>
          <w:p w14:paraId="7D11F1F3" w14:textId="77777777" w:rsidR="00417440" w:rsidRPr="00E86963" w:rsidRDefault="00417440" w:rsidP="00E86963">
            <w:pPr>
              <w:rPr>
                <w:lang w:eastAsia="en-IN"/>
              </w:rPr>
            </w:pPr>
            <w:r w:rsidRPr="00E86963">
              <w:rPr>
                <w:lang w:eastAsia="en-IN"/>
              </w:rPr>
              <w:t>Increase in KYC Process Automation</w:t>
            </w:r>
          </w:p>
        </w:tc>
        <w:tc>
          <w:tcPr>
            <w:tcW w:w="0" w:type="auto"/>
            <w:tcBorders>
              <w:top w:val="single" w:sz="4" w:space="0" w:color="auto"/>
              <w:left w:val="single" w:sz="4" w:space="0" w:color="auto"/>
              <w:right w:val="single" w:sz="4" w:space="0" w:color="auto"/>
            </w:tcBorders>
            <w:vAlign w:val="center"/>
            <w:hideMark/>
          </w:tcPr>
          <w:p w14:paraId="347BF2C3" w14:textId="77777777" w:rsidR="00417440" w:rsidRPr="00E86963" w:rsidRDefault="00417440" w:rsidP="00E86963">
            <w:pPr>
              <w:rPr>
                <w:lang w:eastAsia="en-IN"/>
              </w:rPr>
            </w:pPr>
            <w:r w:rsidRPr="00E86963">
              <w:rPr>
                <w:lang w:eastAsia="en-IN"/>
              </w:rPr>
              <w:t>50% expected growth by 2025</w:t>
            </w:r>
          </w:p>
        </w:tc>
      </w:tr>
      <w:tr w:rsidR="00417440" w:rsidRPr="00E86963" w14:paraId="4014436B" w14:textId="77777777" w:rsidTr="00417440">
        <w:trPr>
          <w:tblCellSpacing w:w="15" w:type="dxa"/>
        </w:trPr>
        <w:tc>
          <w:tcPr>
            <w:tcW w:w="0" w:type="auto"/>
            <w:tcBorders>
              <w:top w:val="single" w:sz="4" w:space="0" w:color="auto"/>
              <w:left w:val="single" w:sz="4" w:space="0" w:color="auto"/>
            </w:tcBorders>
            <w:vAlign w:val="center"/>
            <w:hideMark/>
          </w:tcPr>
          <w:p w14:paraId="248A6C3B" w14:textId="77777777" w:rsidR="00417440" w:rsidRPr="00E86963" w:rsidRDefault="00417440" w:rsidP="00E86963">
            <w:pPr>
              <w:rPr>
                <w:lang w:eastAsia="en-IN"/>
              </w:rPr>
            </w:pPr>
            <w:r w:rsidRPr="00E86963">
              <w:rPr>
                <w:lang w:eastAsia="en-IN"/>
              </w:rPr>
              <w:t>Percentage of Financial Institutions Planning to Invest in AI for KYC</w:t>
            </w:r>
          </w:p>
        </w:tc>
        <w:tc>
          <w:tcPr>
            <w:tcW w:w="0" w:type="auto"/>
            <w:tcBorders>
              <w:top w:val="single" w:sz="4" w:space="0" w:color="auto"/>
              <w:left w:val="single" w:sz="4" w:space="0" w:color="auto"/>
              <w:right w:val="single" w:sz="4" w:space="0" w:color="auto"/>
            </w:tcBorders>
            <w:vAlign w:val="center"/>
            <w:hideMark/>
          </w:tcPr>
          <w:p w14:paraId="6D66D6F1" w14:textId="77777777" w:rsidR="00417440" w:rsidRPr="00E86963" w:rsidRDefault="00417440" w:rsidP="00E86963">
            <w:pPr>
              <w:rPr>
                <w:lang w:eastAsia="en-IN"/>
              </w:rPr>
            </w:pPr>
            <w:r w:rsidRPr="00E86963">
              <w:rPr>
                <w:lang w:eastAsia="en-IN"/>
              </w:rPr>
              <w:t>77%</w:t>
            </w:r>
          </w:p>
        </w:tc>
      </w:tr>
      <w:tr w:rsidR="00417440" w:rsidRPr="00E86963" w14:paraId="42DF660E" w14:textId="77777777" w:rsidTr="00417440">
        <w:trPr>
          <w:tblCellSpacing w:w="15" w:type="dxa"/>
        </w:trPr>
        <w:tc>
          <w:tcPr>
            <w:tcW w:w="0" w:type="auto"/>
            <w:tcBorders>
              <w:top w:val="single" w:sz="4" w:space="0" w:color="auto"/>
              <w:left w:val="single" w:sz="4" w:space="0" w:color="auto"/>
              <w:bottom w:val="single" w:sz="4" w:space="0" w:color="auto"/>
            </w:tcBorders>
            <w:vAlign w:val="center"/>
            <w:hideMark/>
          </w:tcPr>
          <w:p w14:paraId="646B318B" w14:textId="77777777" w:rsidR="00417440" w:rsidRPr="00E86963" w:rsidRDefault="00417440" w:rsidP="00E86963">
            <w:pPr>
              <w:rPr>
                <w:lang w:eastAsia="en-IN"/>
              </w:rPr>
            </w:pPr>
            <w:r w:rsidRPr="00E86963">
              <w:rPr>
                <w:lang w:eastAsia="en-IN"/>
              </w:rPr>
              <w:t>Global AML Software Market Size</w:t>
            </w:r>
          </w:p>
        </w:tc>
        <w:tc>
          <w:tcPr>
            <w:tcW w:w="0" w:type="auto"/>
            <w:tcBorders>
              <w:top w:val="single" w:sz="4" w:space="0" w:color="auto"/>
              <w:left w:val="single" w:sz="4" w:space="0" w:color="auto"/>
              <w:bottom w:val="single" w:sz="4" w:space="0" w:color="auto"/>
              <w:right w:val="single" w:sz="4" w:space="0" w:color="auto"/>
            </w:tcBorders>
            <w:vAlign w:val="center"/>
            <w:hideMark/>
          </w:tcPr>
          <w:p w14:paraId="7F587AE2" w14:textId="77777777" w:rsidR="00417440" w:rsidRPr="00E86963" w:rsidRDefault="00417440" w:rsidP="00E86963">
            <w:pPr>
              <w:rPr>
                <w:lang w:eastAsia="en-IN"/>
              </w:rPr>
            </w:pPr>
            <w:r w:rsidRPr="00E86963">
              <w:rPr>
                <w:lang w:eastAsia="en-IN"/>
              </w:rPr>
              <w:t>$3.1 billion by 2027</w:t>
            </w:r>
          </w:p>
        </w:tc>
      </w:tr>
    </w:tbl>
    <w:p w14:paraId="7944E110" w14:textId="77777777" w:rsidR="00417440" w:rsidRDefault="00417440" w:rsidP="00E86963">
      <w:pPr>
        <w:rPr>
          <w:b/>
          <w:bCs/>
          <w:lang w:eastAsia="en-IN"/>
        </w:rPr>
      </w:pPr>
    </w:p>
    <w:p w14:paraId="0632DCE6" w14:textId="77777777" w:rsidR="00417440" w:rsidRDefault="00417440" w:rsidP="00417440">
      <w:pPr>
        <w:rPr>
          <w:lang w:eastAsia="en-IN"/>
        </w:rPr>
      </w:pPr>
    </w:p>
    <w:p w14:paraId="07B43930" w14:textId="77777777" w:rsidR="00417440" w:rsidRDefault="00417440" w:rsidP="00417440">
      <w:pPr>
        <w:rPr>
          <w:lang w:eastAsia="en-IN"/>
        </w:rPr>
      </w:pPr>
    </w:p>
    <w:p w14:paraId="0852E69D" w14:textId="77777777" w:rsidR="00417440" w:rsidRDefault="00417440" w:rsidP="00417440">
      <w:pPr>
        <w:rPr>
          <w:lang w:eastAsia="en-IN"/>
        </w:rPr>
      </w:pPr>
    </w:p>
    <w:p w14:paraId="2DB067F0" w14:textId="1DCB68DA" w:rsidR="00417440" w:rsidRPr="00BF5F4C" w:rsidRDefault="00BF5F4C" w:rsidP="00417440">
      <w:pPr>
        <w:rPr>
          <w:b/>
          <w:bCs/>
          <w:lang w:eastAsia="en-IN"/>
        </w:rPr>
      </w:pPr>
      <w:r>
        <w:rPr>
          <w:b/>
          <w:bCs/>
          <w:lang w:eastAsia="en-IN"/>
        </w:rPr>
        <w:t>Risk associate with KYC</w:t>
      </w:r>
    </w:p>
    <w:p w14:paraId="34EF7E03" w14:textId="6F65C12A" w:rsidR="00417440" w:rsidRPr="00417440" w:rsidRDefault="00417440" w:rsidP="00417440">
      <w:pPr>
        <w:pStyle w:val="ListParagraph"/>
        <w:numPr>
          <w:ilvl w:val="0"/>
          <w:numId w:val="5"/>
        </w:numPr>
        <w:rPr>
          <w:b/>
          <w:bCs/>
          <w:lang w:eastAsia="en-IN"/>
        </w:rPr>
      </w:pPr>
      <w:r w:rsidRPr="00417440">
        <w:rPr>
          <w:b/>
          <w:bCs/>
          <w:lang w:eastAsia="en-IN"/>
        </w:rPr>
        <w:t>Data Privacy and Security Risks:</w:t>
      </w:r>
    </w:p>
    <w:p w14:paraId="62C20763" w14:textId="77777777" w:rsidR="00417440" w:rsidRPr="00417440" w:rsidRDefault="00417440" w:rsidP="00417440">
      <w:pPr>
        <w:pStyle w:val="ListParagraph"/>
        <w:numPr>
          <w:ilvl w:val="0"/>
          <w:numId w:val="4"/>
        </w:numPr>
        <w:rPr>
          <w:lang w:eastAsia="en-IN"/>
        </w:rPr>
      </w:pPr>
      <w:r w:rsidRPr="00417440">
        <w:rPr>
          <w:b/>
          <w:bCs/>
          <w:lang w:eastAsia="en-IN"/>
        </w:rPr>
        <w:t>Data Breaches:</w:t>
      </w:r>
      <w:r w:rsidRPr="00417440">
        <w:rPr>
          <w:lang w:eastAsia="en-IN"/>
        </w:rPr>
        <w:t xml:space="preserve"> KYC processes require the collection of sensitive personal information. If this data is not adequately protected, it can be vulnerable to breaches, leading to identity theft and financial fraud.</w:t>
      </w:r>
    </w:p>
    <w:p w14:paraId="48A25A0C" w14:textId="77777777" w:rsidR="00417440" w:rsidRDefault="00417440" w:rsidP="00417440">
      <w:pPr>
        <w:pStyle w:val="ListParagraph"/>
        <w:numPr>
          <w:ilvl w:val="0"/>
          <w:numId w:val="4"/>
        </w:numPr>
        <w:rPr>
          <w:lang w:eastAsia="en-IN"/>
        </w:rPr>
      </w:pPr>
      <w:r w:rsidRPr="00417440">
        <w:rPr>
          <w:lang w:eastAsia="en-IN"/>
        </w:rPr>
        <w:t>Unauthorized Access: Insufficient security measures can result in unauthorized access to personal information, putting customers' privacy at risk.</w:t>
      </w:r>
    </w:p>
    <w:p w14:paraId="7997214F" w14:textId="77777777" w:rsidR="00417440" w:rsidRPr="00417440" w:rsidRDefault="00417440" w:rsidP="00417440">
      <w:pPr>
        <w:pStyle w:val="ListParagraph"/>
        <w:rPr>
          <w:lang w:eastAsia="en-IN"/>
        </w:rPr>
      </w:pPr>
    </w:p>
    <w:p w14:paraId="17656C95" w14:textId="77777777" w:rsidR="00417440" w:rsidRPr="00417440" w:rsidRDefault="00417440" w:rsidP="00417440">
      <w:pPr>
        <w:pStyle w:val="ListParagraph"/>
        <w:numPr>
          <w:ilvl w:val="0"/>
          <w:numId w:val="5"/>
        </w:numPr>
        <w:rPr>
          <w:b/>
          <w:bCs/>
          <w:lang w:eastAsia="en-IN"/>
        </w:rPr>
      </w:pPr>
      <w:r w:rsidRPr="00417440">
        <w:rPr>
          <w:b/>
          <w:bCs/>
          <w:lang w:eastAsia="en-IN"/>
        </w:rPr>
        <w:t>Compliance and Regulatory Risks:</w:t>
      </w:r>
    </w:p>
    <w:p w14:paraId="29034B06" w14:textId="77777777" w:rsidR="00417440" w:rsidRPr="00417440" w:rsidRDefault="00417440" w:rsidP="00417440">
      <w:pPr>
        <w:pStyle w:val="ListParagraph"/>
        <w:numPr>
          <w:ilvl w:val="0"/>
          <w:numId w:val="4"/>
        </w:numPr>
        <w:rPr>
          <w:lang w:eastAsia="en-IN"/>
        </w:rPr>
      </w:pPr>
      <w:r w:rsidRPr="00417440">
        <w:rPr>
          <w:b/>
          <w:bCs/>
          <w:lang w:eastAsia="en-IN"/>
        </w:rPr>
        <w:t>Non-Compliance Penalties:</w:t>
      </w:r>
      <w:r w:rsidRPr="00417440">
        <w:rPr>
          <w:lang w:eastAsia="en-IN"/>
        </w:rPr>
        <w:t xml:space="preserve"> Failing to adhere to regulatory requirements can result in significant fines and legal penalties. Different jurisdictions have varying KYC requirements, and staying compliant can be challenging.</w:t>
      </w:r>
    </w:p>
    <w:p w14:paraId="7E61F62C" w14:textId="77777777" w:rsidR="00417440" w:rsidRDefault="00417440" w:rsidP="00417440">
      <w:pPr>
        <w:pStyle w:val="ListParagraph"/>
        <w:numPr>
          <w:ilvl w:val="0"/>
          <w:numId w:val="4"/>
        </w:numPr>
        <w:rPr>
          <w:lang w:eastAsia="en-IN"/>
        </w:rPr>
      </w:pPr>
      <w:r w:rsidRPr="00417440">
        <w:rPr>
          <w:b/>
          <w:bCs/>
          <w:lang w:eastAsia="en-IN"/>
        </w:rPr>
        <w:t xml:space="preserve">Regulatory Changes: </w:t>
      </w:r>
      <w:r w:rsidRPr="00417440">
        <w:rPr>
          <w:lang w:eastAsia="en-IN"/>
        </w:rPr>
        <w:t>Constant changes in regulations can make it difficult for institutions to keep their KYC procedures up to date, increasing the risk of non-compliance.</w:t>
      </w:r>
    </w:p>
    <w:p w14:paraId="49A95D26" w14:textId="77777777" w:rsidR="00417440" w:rsidRPr="00417440" w:rsidRDefault="00417440" w:rsidP="00417440">
      <w:pPr>
        <w:pStyle w:val="ListParagraph"/>
        <w:rPr>
          <w:lang w:eastAsia="en-IN"/>
        </w:rPr>
      </w:pPr>
    </w:p>
    <w:p w14:paraId="0F2E03C1" w14:textId="77777777" w:rsidR="00417440" w:rsidRPr="00417440" w:rsidRDefault="00417440" w:rsidP="00417440">
      <w:pPr>
        <w:pStyle w:val="ListParagraph"/>
        <w:numPr>
          <w:ilvl w:val="0"/>
          <w:numId w:val="5"/>
        </w:numPr>
        <w:rPr>
          <w:b/>
          <w:bCs/>
          <w:lang w:eastAsia="en-IN"/>
        </w:rPr>
      </w:pPr>
      <w:r w:rsidRPr="00417440">
        <w:rPr>
          <w:b/>
          <w:bCs/>
          <w:lang w:eastAsia="en-IN"/>
        </w:rPr>
        <w:t>Operational Risks:</w:t>
      </w:r>
    </w:p>
    <w:p w14:paraId="7352A9B3" w14:textId="77777777" w:rsidR="00417440" w:rsidRPr="00417440" w:rsidRDefault="00417440" w:rsidP="00417440">
      <w:pPr>
        <w:pStyle w:val="ListParagraph"/>
        <w:numPr>
          <w:ilvl w:val="0"/>
          <w:numId w:val="4"/>
        </w:numPr>
        <w:rPr>
          <w:lang w:eastAsia="en-IN"/>
        </w:rPr>
      </w:pPr>
      <w:r w:rsidRPr="00417440">
        <w:rPr>
          <w:b/>
          <w:bCs/>
          <w:lang w:eastAsia="en-IN"/>
        </w:rPr>
        <w:t>Process Inefficiencies:</w:t>
      </w:r>
      <w:r w:rsidRPr="00417440">
        <w:rPr>
          <w:lang w:eastAsia="en-IN"/>
        </w:rPr>
        <w:t xml:space="preserve"> Implementing KYC can be resource-intensive and time-consuming, potentially leading to inefficiencies and higher operational costs.</w:t>
      </w:r>
    </w:p>
    <w:p w14:paraId="454526C5" w14:textId="77777777" w:rsidR="00417440" w:rsidRDefault="00417440" w:rsidP="00417440">
      <w:pPr>
        <w:pStyle w:val="ListParagraph"/>
        <w:numPr>
          <w:ilvl w:val="0"/>
          <w:numId w:val="4"/>
        </w:numPr>
        <w:rPr>
          <w:lang w:eastAsia="en-IN"/>
        </w:rPr>
      </w:pPr>
      <w:r w:rsidRPr="00417440">
        <w:rPr>
          <w:b/>
          <w:bCs/>
          <w:lang w:eastAsia="en-IN"/>
        </w:rPr>
        <w:t>Inaccurate Data:</w:t>
      </w:r>
      <w:r w:rsidRPr="00417440">
        <w:rPr>
          <w:lang w:eastAsia="en-IN"/>
        </w:rPr>
        <w:t xml:space="preserve"> Errors in data collection or verification can result in incorrect customer information, affecting risk assessment and leading to potential financial losses.</w:t>
      </w:r>
    </w:p>
    <w:p w14:paraId="2A2F3C2B" w14:textId="77777777" w:rsidR="00417440" w:rsidRPr="00417440" w:rsidRDefault="00417440" w:rsidP="00417440">
      <w:pPr>
        <w:pStyle w:val="ListParagraph"/>
        <w:rPr>
          <w:lang w:eastAsia="en-IN"/>
        </w:rPr>
      </w:pPr>
    </w:p>
    <w:p w14:paraId="08ED3F64" w14:textId="77777777" w:rsidR="00417440" w:rsidRPr="00070EA8" w:rsidRDefault="00417440" w:rsidP="00070EA8">
      <w:pPr>
        <w:pStyle w:val="ListParagraph"/>
        <w:numPr>
          <w:ilvl w:val="0"/>
          <w:numId w:val="5"/>
        </w:numPr>
        <w:rPr>
          <w:b/>
          <w:bCs/>
          <w:lang w:eastAsia="en-IN"/>
        </w:rPr>
      </w:pPr>
      <w:r w:rsidRPr="00070EA8">
        <w:rPr>
          <w:b/>
          <w:bCs/>
          <w:lang w:eastAsia="en-IN"/>
        </w:rPr>
        <w:t>Customer Experience Risks:</w:t>
      </w:r>
    </w:p>
    <w:p w14:paraId="10A5A16B" w14:textId="77777777" w:rsidR="00417440" w:rsidRPr="00417440" w:rsidRDefault="00417440" w:rsidP="00417440">
      <w:pPr>
        <w:pStyle w:val="ListParagraph"/>
        <w:numPr>
          <w:ilvl w:val="0"/>
          <w:numId w:val="4"/>
        </w:numPr>
        <w:rPr>
          <w:lang w:eastAsia="en-IN"/>
        </w:rPr>
      </w:pPr>
      <w:r w:rsidRPr="00070EA8">
        <w:rPr>
          <w:b/>
          <w:bCs/>
          <w:lang w:eastAsia="en-IN"/>
        </w:rPr>
        <w:t>Customer Friction:</w:t>
      </w:r>
      <w:r w:rsidRPr="00417440">
        <w:rPr>
          <w:lang w:eastAsia="en-IN"/>
        </w:rPr>
        <w:t xml:space="preserve"> Extensive KYC procedures can create friction for customers, leading to dissatisfaction and potentially driving clients to competitors with more streamlined processes.</w:t>
      </w:r>
    </w:p>
    <w:p w14:paraId="3D2E414A" w14:textId="77777777" w:rsidR="00417440" w:rsidRDefault="00417440" w:rsidP="00417440">
      <w:pPr>
        <w:pStyle w:val="ListParagraph"/>
        <w:numPr>
          <w:ilvl w:val="0"/>
          <w:numId w:val="4"/>
        </w:numPr>
        <w:rPr>
          <w:lang w:eastAsia="en-IN"/>
        </w:rPr>
      </w:pPr>
      <w:r w:rsidRPr="00070EA8">
        <w:rPr>
          <w:b/>
          <w:bCs/>
          <w:lang w:eastAsia="en-IN"/>
        </w:rPr>
        <w:t>False Positives/Negatives:</w:t>
      </w:r>
      <w:r w:rsidRPr="00417440">
        <w:rPr>
          <w:lang w:eastAsia="en-IN"/>
        </w:rPr>
        <w:t xml:space="preserve"> Overly stringent KYC checks can result in legitimate customers being flagged as high-risk (false positives) or high-risk customers slipping through the cracks (false negatives).</w:t>
      </w:r>
    </w:p>
    <w:p w14:paraId="24C9C6C5" w14:textId="77777777" w:rsidR="00070EA8" w:rsidRPr="00417440" w:rsidRDefault="00070EA8" w:rsidP="00070EA8">
      <w:pPr>
        <w:pStyle w:val="ListParagraph"/>
        <w:rPr>
          <w:lang w:eastAsia="en-IN"/>
        </w:rPr>
      </w:pPr>
    </w:p>
    <w:p w14:paraId="328B8F4C" w14:textId="77777777" w:rsidR="00417440" w:rsidRPr="00070EA8" w:rsidRDefault="00417440" w:rsidP="00070EA8">
      <w:pPr>
        <w:pStyle w:val="ListParagraph"/>
        <w:numPr>
          <w:ilvl w:val="0"/>
          <w:numId w:val="5"/>
        </w:numPr>
        <w:rPr>
          <w:b/>
          <w:bCs/>
          <w:lang w:eastAsia="en-IN"/>
        </w:rPr>
      </w:pPr>
      <w:r w:rsidRPr="00070EA8">
        <w:rPr>
          <w:b/>
          <w:bCs/>
          <w:lang w:eastAsia="en-IN"/>
        </w:rPr>
        <w:t>Third-Party Risks:</w:t>
      </w:r>
    </w:p>
    <w:p w14:paraId="2F05212A" w14:textId="77777777" w:rsidR="00417440" w:rsidRPr="00417440" w:rsidRDefault="00417440" w:rsidP="00417440">
      <w:pPr>
        <w:pStyle w:val="ListParagraph"/>
        <w:numPr>
          <w:ilvl w:val="0"/>
          <w:numId w:val="4"/>
        </w:numPr>
        <w:rPr>
          <w:lang w:eastAsia="en-IN"/>
        </w:rPr>
      </w:pPr>
      <w:r w:rsidRPr="00070EA8">
        <w:rPr>
          <w:b/>
          <w:bCs/>
          <w:lang w:eastAsia="en-IN"/>
        </w:rPr>
        <w:t>Vendor Reliability:</w:t>
      </w:r>
      <w:r w:rsidRPr="00417440">
        <w:rPr>
          <w:lang w:eastAsia="en-IN"/>
        </w:rPr>
        <w:t xml:space="preserve"> Many institutions rely on third-party providers for KYC solutions. The reliability and security of these providers directly impact the institution’s own risk exposure.</w:t>
      </w:r>
    </w:p>
    <w:p w14:paraId="72D617D4" w14:textId="77777777" w:rsidR="00417440" w:rsidRDefault="00417440" w:rsidP="00417440">
      <w:pPr>
        <w:pStyle w:val="ListParagraph"/>
        <w:numPr>
          <w:ilvl w:val="0"/>
          <w:numId w:val="4"/>
        </w:numPr>
        <w:rPr>
          <w:lang w:eastAsia="en-IN"/>
        </w:rPr>
      </w:pPr>
      <w:r w:rsidRPr="00070EA8">
        <w:rPr>
          <w:b/>
          <w:bCs/>
          <w:lang w:eastAsia="en-IN"/>
        </w:rPr>
        <w:t>Outsourcing Risks:</w:t>
      </w:r>
      <w:r w:rsidRPr="00417440">
        <w:rPr>
          <w:lang w:eastAsia="en-IN"/>
        </w:rPr>
        <w:t xml:space="preserve"> Outsourcing KYC processes can lead to additional risks if the third-party provider fails to meet compliance standards or experiences security issues.</w:t>
      </w:r>
    </w:p>
    <w:p w14:paraId="1A54EAD5" w14:textId="77777777" w:rsidR="00070EA8" w:rsidRPr="00417440" w:rsidRDefault="00070EA8" w:rsidP="00070EA8">
      <w:pPr>
        <w:pStyle w:val="ListParagraph"/>
        <w:rPr>
          <w:lang w:eastAsia="en-IN"/>
        </w:rPr>
      </w:pPr>
    </w:p>
    <w:p w14:paraId="1A5D1C79" w14:textId="77777777" w:rsidR="00417440" w:rsidRPr="00070EA8" w:rsidRDefault="00417440" w:rsidP="00070EA8">
      <w:pPr>
        <w:pStyle w:val="ListParagraph"/>
        <w:numPr>
          <w:ilvl w:val="0"/>
          <w:numId w:val="5"/>
        </w:numPr>
        <w:rPr>
          <w:b/>
          <w:bCs/>
          <w:lang w:eastAsia="en-IN"/>
        </w:rPr>
      </w:pPr>
      <w:r w:rsidRPr="00070EA8">
        <w:rPr>
          <w:b/>
          <w:bCs/>
          <w:lang w:eastAsia="en-IN"/>
        </w:rPr>
        <w:t>Financial Risks:</w:t>
      </w:r>
    </w:p>
    <w:p w14:paraId="011A1C90" w14:textId="77777777" w:rsidR="00417440" w:rsidRPr="00417440" w:rsidRDefault="00417440" w:rsidP="00417440">
      <w:pPr>
        <w:pStyle w:val="ListParagraph"/>
        <w:numPr>
          <w:ilvl w:val="0"/>
          <w:numId w:val="4"/>
        </w:numPr>
        <w:rPr>
          <w:lang w:eastAsia="en-IN"/>
        </w:rPr>
      </w:pPr>
      <w:r w:rsidRPr="00070EA8">
        <w:rPr>
          <w:b/>
          <w:bCs/>
          <w:lang w:eastAsia="en-IN"/>
        </w:rPr>
        <w:t>Cost of Implementation:</w:t>
      </w:r>
      <w:r w:rsidRPr="00417440">
        <w:rPr>
          <w:lang w:eastAsia="en-IN"/>
        </w:rPr>
        <w:t xml:space="preserve"> Setting up and maintaining KYC processes can be costly, impacting the financial health of an organization, especially for smaller firms.</w:t>
      </w:r>
    </w:p>
    <w:p w14:paraId="61C6622E" w14:textId="77777777" w:rsidR="00417440" w:rsidRDefault="00417440" w:rsidP="00417440">
      <w:pPr>
        <w:pStyle w:val="ListParagraph"/>
        <w:numPr>
          <w:ilvl w:val="0"/>
          <w:numId w:val="4"/>
        </w:numPr>
        <w:rPr>
          <w:lang w:eastAsia="en-IN"/>
        </w:rPr>
      </w:pPr>
      <w:r w:rsidRPr="00070EA8">
        <w:rPr>
          <w:b/>
          <w:bCs/>
          <w:lang w:eastAsia="en-IN"/>
        </w:rPr>
        <w:t>Fraudulent Activities</w:t>
      </w:r>
      <w:r w:rsidRPr="00417440">
        <w:rPr>
          <w:lang w:eastAsia="en-IN"/>
        </w:rPr>
        <w:t>: Ineffective KYC measures can fail to detect fraudulent activities, leading to financial losses and reputational damage.</w:t>
      </w:r>
    </w:p>
    <w:p w14:paraId="7ABAD6E0" w14:textId="77777777" w:rsidR="00070EA8" w:rsidRPr="00417440" w:rsidRDefault="00070EA8" w:rsidP="00070EA8">
      <w:pPr>
        <w:pStyle w:val="ListParagraph"/>
        <w:rPr>
          <w:lang w:eastAsia="en-IN"/>
        </w:rPr>
      </w:pPr>
    </w:p>
    <w:p w14:paraId="63D24F73" w14:textId="77777777" w:rsidR="00BF5F4C" w:rsidRDefault="00BF5F4C" w:rsidP="00BF5F4C">
      <w:pPr>
        <w:pStyle w:val="ListParagraph"/>
        <w:rPr>
          <w:b/>
          <w:bCs/>
          <w:lang w:eastAsia="en-IN"/>
        </w:rPr>
      </w:pPr>
    </w:p>
    <w:p w14:paraId="04CAE2BC" w14:textId="77777777" w:rsidR="00BF5F4C" w:rsidRDefault="00BF5F4C" w:rsidP="00BF5F4C">
      <w:pPr>
        <w:pStyle w:val="ListParagraph"/>
        <w:rPr>
          <w:b/>
          <w:bCs/>
          <w:lang w:eastAsia="en-IN"/>
        </w:rPr>
      </w:pPr>
    </w:p>
    <w:p w14:paraId="12B15C73" w14:textId="33209FAA" w:rsidR="00417440" w:rsidRPr="00070EA8" w:rsidRDefault="00BF5F4C" w:rsidP="0053166B">
      <w:pPr>
        <w:pStyle w:val="ListParagraph"/>
        <w:ind w:left="360"/>
        <w:rPr>
          <w:b/>
          <w:bCs/>
          <w:lang w:eastAsia="en-IN"/>
        </w:rPr>
      </w:pPr>
      <w:r>
        <w:rPr>
          <w:b/>
          <w:bCs/>
          <w:lang w:eastAsia="en-IN"/>
        </w:rPr>
        <w:t>7.</w:t>
      </w:r>
      <w:r w:rsidR="00417440" w:rsidRPr="00070EA8">
        <w:rPr>
          <w:b/>
          <w:bCs/>
          <w:lang w:eastAsia="en-IN"/>
        </w:rPr>
        <w:t>Reputational Risks:</w:t>
      </w:r>
    </w:p>
    <w:p w14:paraId="39346FA2" w14:textId="77777777" w:rsidR="00417440" w:rsidRPr="00417440" w:rsidRDefault="00417440" w:rsidP="00417440">
      <w:pPr>
        <w:pStyle w:val="ListParagraph"/>
        <w:numPr>
          <w:ilvl w:val="0"/>
          <w:numId w:val="4"/>
        </w:numPr>
        <w:rPr>
          <w:lang w:eastAsia="en-IN"/>
        </w:rPr>
      </w:pPr>
      <w:r w:rsidRPr="00070EA8">
        <w:rPr>
          <w:b/>
          <w:bCs/>
          <w:lang w:eastAsia="en-IN"/>
        </w:rPr>
        <w:t xml:space="preserve">Public Trust: </w:t>
      </w:r>
      <w:r w:rsidRPr="00417440">
        <w:rPr>
          <w:lang w:eastAsia="en-IN"/>
        </w:rPr>
        <w:t>Any failure in the KYC process, such as a data breach or association with illegal activities due to inadequate screening, can severely damage an institution’s reputation.</w:t>
      </w:r>
    </w:p>
    <w:p w14:paraId="2BAB7B1C" w14:textId="77777777" w:rsidR="00417440" w:rsidRDefault="00417440" w:rsidP="00417440">
      <w:pPr>
        <w:pStyle w:val="ListParagraph"/>
        <w:numPr>
          <w:ilvl w:val="0"/>
          <w:numId w:val="4"/>
        </w:numPr>
        <w:rPr>
          <w:lang w:eastAsia="en-IN"/>
        </w:rPr>
      </w:pPr>
      <w:r w:rsidRPr="00070EA8">
        <w:rPr>
          <w:b/>
          <w:bCs/>
          <w:lang w:eastAsia="en-IN"/>
        </w:rPr>
        <w:t>Negative Publicity:</w:t>
      </w:r>
      <w:r w:rsidRPr="00417440">
        <w:rPr>
          <w:lang w:eastAsia="en-IN"/>
        </w:rPr>
        <w:t xml:space="preserve"> Media coverage of failures in KYC compliance can lead to loss of customer trust and investor confidence.</w:t>
      </w:r>
    </w:p>
    <w:p w14:paraId="732967BC" w14:textId="77777777" w:rsidR="00070EA8" w:rsidRPr="00417440" w:rsidRDefault="00070EA8" w:rsidP="00070EA8">
      <w:pPr>
        <w:pStyle w:val="ListParagraph"/>
        <w:rPr>
          <w:lang w:eastAsia="en-IN"/>
        </w:rPr>
      </w:pPr>
    </w:p>
    <w:p w14:paraId="6C9EB22B" w14:textId="77777777" w:rsidR="00417440" w:rsidRPr="00070EA8" w:rsidRDefault="00417440" w:rsidP="00070EA8">
      <w:pPr>
        <w:pStyle w:val="ListParagraph"/>
        <w:numPr>
          <w:ilvl w:val="0"/>
          <w:numId w:val="5"/>
        </w:numPr>
        <w:rPr>
          <w:b/>
          <w:bCs/>
          <w:lang w:eastAsia="en-IN"/>
        </w:rPr>
      </w:pPr>
      <w:r w:rsidRPr="00070EA8">
        <w:rPr>
          <w:b/>
          <w:bCs/>
          <w:lang w:eastAsia="en-IN"/>
        </w:rPr>
        <w:t>Legal Risks:</w:t>
      </w:r>
    </w:p>
    <w:p w14:paraId="1F260306" w14:textId="77777777" w:rsidR="00417440" w:rsidRPr="00417440" w:rsidRDefault="00417440" w:rsidP="00417440">
      <w:pPr>
        <w:pStyle w:val="ListParagraph"/>
        <w:numPr>
          <w:ilvl w:val="0"/>
          <w:numId w:val="4"/>
        </w:numPr>
        <w:rPr>
          <w:lang w:eastAsia="en-IN"/>
        </w:rPr>
      </w:pPr>
      <w:r w:rsidRPr="00070EA8">
        <w:rPr>
          <w:b/>
          <w:bCs/>
          <w:lang w:eastAsia="en-IN"/>
        </w:rPr>
        <w:t>Lawsuits:</w:t>
      </w:r>
      <w:r w:rsidRPr="00417440">
        <w:rPr>
          <w:lang w:eastAsia="en-IN"/>
        </w:rPr>
        <w:t xml:space="preserve"> Non-compliance or data breaches can lead to legal actions from customers or regulatory bodies, resulting in costly litigation and settlements.</w:t>
      </w:r>
    </w:p>
    <w:p w14:paraId="104ECA22" w14:textId="77777777" w:rsidR="00417440" w:rsidRPr="00417440" w:rsidRDefault="00417440" w:rsidP="00417440">
      <w:pPr>
        <w:pStyle w:val="ListParagraph"/>
        <w:numPr>
          <w:ilvl w:val="0"/>
          <w:numId w:val="4"/>
        </w:numPr>
        <w:rPr>
          <w:lang w:eastAsia="en-IN"/>
        </w:rPr>
      </w:pPr>
      <w:r w:rsidRPr="00070EA8">
        <w:rPr>
          <w:b/>
          <w:bCs/>
          <w:lang w:eastAsia="en-IN"/>
        </w:rPr>
        <w:t>International Jurisdiction Issues:</w:t>
      </w:r>
      <w:r w:rsidRPr="00417440">
        <w:rPr>
          <w:lang w:eastAsia="en-IN"/>
        </w:rPr>
        <w:t xml:space="preserve"> Operating across multiple jurisdictions with different KYC requirements can create legal complexities and risks of non-compliance in certain regions.</w:t>
      </w:r>
    </w:p>
    <w:p w14:paraId="39AD42BC" w14:textId="77777777" w:rsidR="00417440" w:rsidRPr="00417440" w:rsidRDefault="00417440" w:rsidP="00417440">
      <w:pPr>
        <w:rPr>
          <w:lang w:eastAsia="en-IN"/>
        </w:rPr>
      </w:pPr>
      <w:r w:rsidRPr="00417440">
        <w:rPr>
          <w:lang w:eastAsia="en-IN"/>
        </w:rPr>
        <w:t>Mitigating these risks involves implementing robust data security measures, regularly updating KYC processes to align with regulatory changes, training staff adequately, and ensuring effective oversight of third-party providers.</w:t>
      </w:r>
    </w:p>
    <w:p w14:paraId="46E5EB9B" w14:textId="487D95E6" w:rsidR="00417440" w:rsidRPr="00417440" w:rsidRDefault="00417440" w:rsidP="00417440">
      <w:pPr>
        <w:rPr>
          <w:lang w:eastAsia="en-IN"/>
        </w:rPr>
      </w:pPr>
    </w:p>
    <w:p w14:paraId="43FBFFF6" w14:textId="77777777" w:rsidR="00417440" w:rsidRDefault="00417440" w:rsidP="00E86963">
      <w:pPr>
        <w:rPr>
          <w:b/>
          <w:bCs/>
          <w:lang w:eastAsia="en-IN"/>
        </w:rPr>
      </w:pPr>
    </w:p>
    <w:p w14:paraId="0F5AF311" w14:textId="579E919C" w:rsidR="00E86963" w:rsidRPr="00E86963" w:rsidRDefault="00E86963" w:rsidP="00E86963">
      <w:pPr>
        <w:rPr>
          <w:b/>
          <w:bCs/>
          <w:lang w:eastAsia="en-IN"/>
        </w:rPr>
      </w:pPr>
      <w:r w:rsidRPr="00E86963">
        <w:rPr>
          <w:b/>
          <w:bCs/>
          <w:lang w:eastAsia="en-IN"/>
        </w:rPr>
        <w:t>Summary</w:t>
      </w:r>
    </w:p>
    <w:p w14:paraId="2F2B9929" w14:textId="627B2962" w:rsidR="00E86963" w:rsidRPr="00E86963" w:rsidRDefault="00E86963" w:rsidP="00E86963">
      <w:pPr>
        <w:rPr>
          <w:lang w:eastAsia="en-IN"/>
        </w:rPr>
      </w:pPr>
      <w:r w:rsidRPr="00E86963">
        <w:rPr>
          <w:lang w:eastAsia="en-IN"/>
        </w:rPr>
        <w:t xml:space="preserve">KYC is a crucial practice in the financial sector to ensure regulatory compliance, manage risk, and build trust. It involves various processes and terminologies that are essential for identifying and verifying customers and their activities. </w:t>
      </w:r>
    </w:p>
    <w:p w14:paraId="19B0F70C" w14:textId="77777777" w:rsidR="006C0044" w:rsidRDefault="006C0044" w:rsidP="00E86963"/>
    <w:p w14:paraId="3F43E384" w14:textId="77777777" w:rsidR="00070EA8" w:rsidRDefault="00070EA8" w:rsidP="00E86963"/>
    <w:p w14:paraId="72F01686" w14:textId="77777777" w:rsidR="00070EA8" w:rsidRDefault="00070EA8" w:rsidP="00E86963"/>
    <w:p w14:paraId="44F91BBB" w14:textId="77777777" w:rsidR="00070EA8" w:rsidRDefault="00070EA8" w:rsidP="00E86963"/>
    <w:p w14:paraId="41745EA7" w14:textId="77777777" w:rsidR="00070EA8" w:rsidRDefault="00070EA8" w:rsidP="00E86963"/>
    <w:p w14:paraId="04851652" w14:textId="77777777" w:rsidR="00070EA8" w:rsidRDefault="00070EA8" w:rsidP="00E86963"/>
    <w:p w14:paraId="5F168127" w14:textId="77777777" w:rsidR="00070EA8" w:rsidRDefault="00070EA8" w:rsidP="00E86963"/>
    <w:p w14:paraId="3CB616A8" w14:textId="77777777" w:rsidR="00070EA8" w:rsidRDefault="00070EA8" w:rsidP="00E86963"/>
    <w:p w14:paraId="1DEFC984" w14:textId="77777777" w:rsidR="00070EA8" w:rsidRDefault="00070EA8" w:rsidP="00E86963"/>
    <w:p w14:paraId="4B5C6506" w14:textId="77777777" w:rsidR="00070EA8" w:rsidRDefault="00070EA8" w:rsidP="00E86963"/>
    <w:p w14:paraId="38240D6B" w14:textId="77777777" w:rsidR="00070EA8" w:rsidRDefault="00070EA8" w:rsidP="00E86963"/>
    <w:p w14:paraId="21FFB377" w14:textId="77777777" w:rsidR="00070EA8" w:rsidRDefault="00070EA8" w:rsidP="00E86963"/>
    <w:p w14:paraId="0650C24A" w14:textId="77777777" w:rsidR="00070EA8" w:rsidRDefault="00070EA8" w:rsidP="00E86963"/>
    <w:p w14:paraId="4B3B27AA" w14:textId="77777777" w:rsidR="00070EA8" w:rsidRDefault="00070EA8" w:rsidP="00E86963"/>
    <w:p w14:paraId="00E8EAE0" w14:textId="6D6EEC75" w:rsidR="00070EA8" w:rsidRPr="0053166B" w:rsidRDefault="0053166B" w:rsidP="00E86963">
      <w:pPr>
        <w:rPr>
          <w:b/>
          <w:bCs/>
          <w:sz w:val="48"/>
          <w:szCs w:val="48"/>
          <w:u w:val="single"/>
        </w:rPr>
      </w:pPr>
      <w:r w:rsidRPr="00070EA8">
        <w:rPr>
          <w:b/>
          <w:bCs/>
          <w:sz w:val="48"/>
          <w:szCs w:val="48"/>
          <w:u w:val="single"/>
          <w:lang w:eastAsia="en-IN"/>
        </w:rPr>
        <w:lastRenderedPageBreak/>
        <w:t>Consumer Financial Protection Bureau</w:t>
      </w:r>
    </w:p>
    <w:p w14:paraId="1B2325F5" w14:textId="77777777" w:rsidR="00070EA8" w:rsidRDefault="00070EA8" w:rsidP="00E86963"/>
    <w:p w14:paraId="49CBADF6" w14:textId="77777777" w:rsidR="00070EA8" w:rsidRDefault="00070EA8" w:rsidP="00E86963"/>
    <w:p w14:paraId="6BDA7686" w14:textId="0126C5E6" w:rsidR="00070EA8" w:rsidRPr="00070EA8" w:rsidRDefault="00070EA8" w:rsidP="00070EA8">
      <w:pPr>
        <w:rPr>
          <w:lang w:eastAsia="en-IN"/>
        </w:rPr>
      </w:pPr>
      <w:r w:rsidRPr="00070EA8">
        <w:rPr>
          <w:lang w:eastAsia="en-IN"/>
        </w:rPr>
        <w:t>The Consumer Financial Protection Bureau (CFPB) is a U.S. government agency created by the Dodd-Frank Wall Street Reform and Consumer Protection Act of 2010. It aims to ensure that consumers are treated fairly by banks, lenders, and other financial institutions. The CFPB's responsibilities include enforcing federal consumer financial laws, handling consumer complaints, enhancing financial education, and monitoring financial markets for new risks to consumers</w:t>
      </w:r>
      <w:r w:rsidRPr="00070EA8">
        <w:rPr>
          <w:rFonts w:ascii="Arial" w:hAnsi="Arial" w:cs="Arial"/>
          <w:lang w:eastAsia="en-IN"/>
        </w:rPr>
        <w:t>​</w:t>
      </w:r>
      <w:r>
        <w:rPr>
          <w:lang w:eastAsia="en-IN"/>
        </w:rPr>
        <w:t>.</w:t>
      </w:r>
    </w:p>
    <w:p w14:paraId="3701EDF0" w14:textId="77777777" w:rsidR="00070EA8" w:rsidRPr="00070EA8" w:rsidRDefault="00070EA8" w:rsidP="00070EA8">
      <w:pPr>
        <w:rPr>
          <w:b/>
          <w:bCs/>
          <w:lang w:eastAsia="en-IN"/>
        </w:rPr>
      </w:pPr>
      <w:r w:rsidRPr="00070EA8">
        <w:rPr>
          <w:b/>
          <w:bCs/>
          <w:lang w:eastAsia="en-IN"/>
        </w:rPr>
        <w:t>Key Functions and Structure</w:t>
      </w:r>
    </w:p>
    <w:p w14:paraId="6011E262" w14:textId="77777777" w:rsidR="00070EA8" w:rsidRPr="00070EA8" w:rsidRDefault="00070EA8" w:rsidP="00070EA8">
      <w:pPr>
        <w:pStyle w:val="ListParagraph"/>
        <w:numPr>
          <w:ilvl w:val="0"/>
          <w:numId w:val="14"/>
        </w:numPr>
        <w:rPr>
          <w:lang w:eastAsia="en-IN"/>
        </w:rPr>
      </w:pPr>
      <w:r w:rsidRPr="00070EA8">
        <w:rPr>
          <w:lang w:eastAsia="en-IN"/>
        </w:rPr>
        <w:t>Enforcement and Supervision: The CFPB has authority to supervise and enforce federal consumer financial laws, which includes taking action against companies that engage in unfair, deceptive, or abusive practices.</w:t>
      </w:r>
    </w:p>
    <w:p w14:paraId="2926AD68" w14:textId="77777777" w:rsidR="00070EA8" w:rsidRPr="00070EA8" w:rsidRDefault="00070EA8" w:rsidP="00070EA8">
      <w:pPr>
        <w:pStyle w:val="ListParagraph"/>
        <w:numPr>
          <w:ilvl w:val="0"/>
          <w:numId w:val="14"/>
        </w:numPr>
        <w:rPr>
          <w:lang w:eastAsia="en-IN"/>
        </w:rPr>
      </w:pPr>
      <w:r w:rsidRPr="00070EA8">
        <w:rPr>
          <w:lang w:eastAsia="en-IN"/>
        </w:rPr>
        <w:t>Consumer Education: The Bureau provides tools and resources to help consumers make informed financial decisions.</w:t>
      </w:r>
    </w:p>
    <w:p w14:paraId="4BD74686" w14:textId="77777777" w:rsidR="00070EA8" w:rsidRPr="00070EA8" w:rsidRDefault="00070EA8" w:rsidP="00070EA8">
      <w:pPr>
        <w:pStyle w:val="ListParagraph"/>
        <w:numPr>
          <w:ilvl w:val="0"/>
          <w:numId w:val="14"/>
        </w:numPr>
        <w:rPr>
          <w:lang w:eastAsia="en-IN"/>
        </w:rPr>
      </w:pPr>
      <w:r w:rsidRPr="00070EA8">
        <w:rPr>
          <w:lang w:eastAsia="en-IN"/>
        </w:rPr>
        <w:t>Research and Monitoring: It conducts research on consumer financial behavior and markets, publishing reports and data to inform policy decisions.</w:t>
      </w:r>
    </w:p>
    <w:p w14:paraId="393E3845" w14:textId="77777777" w:rsidR="00070EA8" w:rsidRDefault="00070EA8" w:rsidP="0075143F">
      <w:pPr>
        <w:pStyle w:val="ListParagraph"/>
        <w:numPr>
          <w:ilvl w:val="0"/>
          <w:numId w:val="14"/>
        </w:numPr>
        <w:rPr>
          <w:lang w:eastAsia="en-IN"/>
        </w:rPr>
      </w:pPr>
      <w:r w:rsidRPr="00070EA8">
        <w:rPr>
          <w:lang w:eastAsia="en-IN"/>
        </w:rPr>
        <w:t>Consumer Complaints: The CFPB maintains a complaint database where consumers can report issues with financial products and services</w:t>
      </w:r>
      <w:r w:rsidRPr="00070EA8">
        <w:rPr>
          <w:rFonts w:ascii="Arial" w:hAnsi="Arial" w:cs="Arial"/>
          <w:lang w:eastAsia="en-IN"/>
        </w:rPr>
        <w:t>​</w:t>
      </w:r>
      <w:r w:rsidRPr="00070EA8">
        <w:rPr>
          <w:lang w:eastAsia="en-IN"/>
        </w:rPr>
        <w:t xml:space="preserve"> </w:t>
      </w:r>
      <w:r>
        <w:rPr>
          <w:lang w:eastAsia="en-IN"/>
        </w:rPr>
        <w:t>.</w:t>
      </w:r>
    </w:p>
    <w:p w14:paraId="0AD0265F" w14:textId="77777777" w:rsidR="00070EA8" w:rsidRDefault="00070EA8" w:rsidP="00070EA8">
      <w:pPr>
        <w:pStyle w:val="ListParagraph"/>
        <w:ind w:left="360"/>
        <w:rPr>
          <w:lang w:eastAsia="en-IN"/>
        </w:rPr>
      </w:pPr>
    </w:p>
    <w:p w14:paraId="0C675FC7" w14:textId="57BC3EF2" w:rsidR="00070EA8" w:rsidRPr="00070EA8" w:rsidRDefault="00070EA8" w:rsidP="00070EA8">
      <w:pPr>
        <w:pStyle w:val="ListParagraph"/>
        <w:ind w:left="0"/>
        <w:rPr>
          <w:b/>
          <w:bCs/>
          <w:lang w:eastAsia="en-IN"/>
        </w:rPr>
      </w:pPr>
      <w:r w:rsidRPr="00070EA8">
        <w:rPr>
          <w:b/>
          <w:bCs/>
          <w:lang w:eastAsia="en-IN"/>
        </w:rPr>
        <w:t xml:space="preserve">Impact </w:t>
      </w:r>
      <w:r w:rsidRPr="00070EA8">
        <w:rPr>
          <w:b/>
          <w:bCs/>
          <w:lang w:eastAsia="en-IN"/>
        </w:rPr>
        <w:t>:</w:t>
      </w:r>
    </w:p>
    <w:p w14:paraId="74D21906" w14:textId="2DE35B15" w:rsidR="00070EA8" w:rsidRPr="00070EA8" w:rsidRDefault="00070EA8" w:rsidP="00070EA8">
      <w:pPr>
        <w:pStyle w:val="ListParagraph"/>
        <w:numPr>
          <w:ilvl w:val="0"/>
          <w:numId w:val="15"/>
        </w:numPr>
        <w:rPr>
          <w:lang w:eastAsia="en-IN"/>
        </w:rPr>
      </w:pPr>
      <w:r w:rsidRPr="00070EA8">
        <w:rPr>
          <w:lang w:eastAsia="en-IN"/>
        </w:rPr>
        <w:t>Monetary Relief: The CFPB has provided over $20.7 billion in financial relief to consumers through enforcement actions and supervisory work. This includes monetary compensation, principal reductions, canceled debts, and other forms of consumer relief</w:t>
      </w:r>
      <w:r w:rsidRPr="00070EA8">
        <w:rPr>
          <w:rFonts w:ascii="Arial" w:hAnsi="Arial" w:cs="Arial"/>
          <w:lang w:eastAsia="en-IN"/>
        </w:rPr>
        <w:t>​</w:t>
      </w:r>
      <w:r w:rsidRPr="00070EA8">
        <w:rPr>
          <w:lang w:eastAsia="en-IN"/>
        </w:rPr>
        <w:t xml:space="preserve"> </w:t>
      </w:r>
      <w:r>
        <w:rPr>
          <w:lang w:eastAsia="en-IN"/>
        </w:rPr>
        <w:t>.</w:t>
      </w:r>
    </w:p>
    <w:p w14:paraId="3B17032D" w14:textId="3F102DC8" w:rsidR="00070EA8" w:rsidRPr="00070EA8" w:rsidRDefault="00070EA8" w:rsidP="00070EA8">
      <w:pPr>
        <w:pStyle w:val="ListParagraph"/>
        <w:numPr>
          <w:ilvl w:val="0"/>
          <w:numId w:val="15"/>
        </w:numPr>
        <w:rPr>
          <w:lang w:eastAsia="en-IN"/>
        </w:rPr>
      </w:pPr>
      <w:r w:rsidRPr="00070EA8">
        <w:rPr>
          <w:lang w:eastAsia="en-IN"/>
        </w:rPr>
        <w:t>Civil Penalties: The Bureau has imposed over $4.8 billion in civil money penalties on companies and individuals violating consumer financial protection laws. These penalties fund the victims relief fund to compensate affected consumers</w:t>
      </w:r>
      <w:r>
        <w:rPr>
          <w:rFonts w:ascii="Arial" w:hAnsi="Arial" w:cs="Arial"/>
          <w:lang w:eastAsia="en-IN"/>
        </w:rPr>
        <w:t>.</w:t>
      </w:r>
    </w:p>
    <w:p w14:paraId="7CE1A2E5" w14:textId="37882A2F" w:rsidR="00070EA8" w:rsidRPr="00070EA8" w:rsidRDefault="00070EA8" w:rsidP="00070EA8">
      <w:pPr>
        <w:pStyle w:val="ListParagraph"/>
        <w:numPr>
          <w:ilvl w:val="0"/>
          <w:numId w:val="15"/>
        </w:numPr>
        <w:rPr>
          <w:lang w:eastAsia="en-IN"/>
        </w:rPr>
      </w:pPr>
      <w:r w:rsidRPr="00070EA8">
        <w:rPr>
          <w:lang w:eastAsia="en-IN"/>
        </w:rPr>
        <w:t>Consumer Complaints: Since its inception, the CFPB has handled over 4 million consumer complaints, addressing a wide range of issues from credit reports to debt collection and mortgages</w:t>
      </w:r>
      <w:r w:rsidRPr="00070EA8">
        <w:rPr>
          <w:rFonts w:ascii="Arial" w:hAnsi="Arial" w:cs="Arial"/>
          <w:lang w:eastAsia="en-IN"/>
        </w:rPr>
        <w:t>​</w:t>
      </w:r>
      <w:r w:rsidRPr="00070EA8">
        <w:rPr>
          <w:lang w:eastAsia="en-IN"/>
        </w:rPr>
        <w:t>.</w:t>
      </w:r>
    </w:p>
    <w:p w14:paraId="77332B51" w14:textId="76911965" w:rsidR="00070EA8" w:rsidRPr="00070EA8" w:rsidRDefault="00070EA8" w:rsidP="00070EA8">
      <w:pPr>
        <w:pStyle w:val="ListParagraph"/>
        <w:numPr>
          <w:ilvl w:val="0"/>
          <w:numId w:val="15"/>
        </w:numPr>
        <w:rPr>
          <w:lang w:eastAsia="en-IN"/>
        </w:rPr>
      </w:pPr>
      <w:r w:rsidRPr="00070EA8">
        <w:rPr>
          <w:lang w:eastAsia="en-IN"/>
        </w:rPr>
        <w:t>Financial Savings: Changes in bank policies regarding overdraft and non-sufficient funds (NSF) fees, influenced by the CFPB’s work, are estimated to save consumers $6.1 billion annually</w:t>
      </w:r>
      <w:r w:rsidRPr="00070EA8">
        <w:rPr>
          <w:rFonts w:ascii="Arial" w:hAnsi="Arial" w:cs="Arial"/>
          <w:lang w:eastAsia="en-IN"/>
        </w:rPr>
        <w:t>​</w:t>
      </w:r>
      <w:r w:rsidRPr="00070EA8">
        <w:rPr>
          <w:lang w:eastAsia="en-IN"/>
        </w:rPr>
        <w:t>.</w:t>
      </w:r>
    </w:p>
    <w:p w14:paraId="2BF151B2" w14:textId="6C388978" w:rsidR="00070EA8" w:rsidRDefault="00070EA8" w:rsidP="003F689B">
      <w:pPr>
        <w:pStyle w:val="ListParagraph"/>
        <w:numPr>
          <w:ilvl w:val="0"/>
          <w:numId w:val="15"/>
        </w:numPr>
        <w:rPr>
          <w:lang w:eastAsia="en-IN"/>
        </w:rPr>
      </w:pPr>
      <w:r w:rsidRPr="00070EA8">
        <w:rPr>
          <w:lang w:eastAsia="en-IN"/>
        </w:rPr>
        <w:t>Service</w:t>
      </w:r>
      <w:r>
        <w:rPr>
          <w:lang w:eastAsia="en-IN"/>
        </w:rPr>
        <w:t xml:space="preserve"> </w:t>
      </w:r>
      <w:r w:rsidRPr="00070EA8">
        <w:rPr>
          <w:lang w:eastAsia="en-IN"/>
        </w:rPr>
        <w:t>members and Veterans: The CFPB has provided $183 million in relief through enforcement actions related to the Military Lending Act and other laws protecting servicemembers and veterans</w:t>
      </w:r>
      <w:r w:rsidRPr="00070EA8">
        <w:rPr>
          <w:rFonts w:ascii="Arial" w:hAnsi="Arial" w:cs="Arial"/>
          <w:lang w:eastAsia="en-IN"/>
        </w:rPr>
        <w:t>​</w:t>
      </w:r>
      <w:r>
        <w:rPr>
          <w:rFonts w:ascii="Arial" w:hAnsi="Arial" w:cs="Arial"/>
          <w:lang w:eastAsia="en-IN"/>
        </w:rPr>
        <w:t>.</w:t>
      </w:r>
      <w:r w:rsidRPr="00070EA8">
        <w:rPr>
          <w:lang w:eastAsia="en-IN"/>
        </w:rPr>
        <w:t xml:space="preserve"> </w:t>
      </w:r>
    </w:p>
    <w:p w14:paraId="14159ED1" w14:textId="77777777" w:rsidR="00070EA8" w:rsidRDefault="00070EA8" w:rsidP="00070EA8">
      <w:pPr>
        <w:pStyle w:val="ListParagraph"/>
        <w:ind w:left="360"/>
        <w:rPr>
          <w:lang w:eastAsia="en-IN"/>
        </w:rPr>
      </w:pPr>
    </w:p>
    <w:p w14:paraId="1F25861A" w14:textId="6DBC0522" w:rsidR="00070EA8" w:rsidRPr="00070EA8" w:rsidRDefault="00070EA8" w:rsidP="00203CE5">
      <w:pPr>
        <w:pStyle w:val="ListParagraph"/>
        <w:ind w:left="0"/>
        <w:rPr>
          <w:b/>
          <w:bCs/>
          <w:lang w:eastAsia="en-IN"/>
        </w:rPr>
      </w:pPr>
      <w:r w:rsidRPr="00070EA8">
        <w:rPr>
          <w:b/>
          <w:bCs/>
          <w:lang w:eastAsia="en-IN"/>
        </w:rPr>
        <w:t>Organizational Structure</w:t>
      </w:r>
    </w:p>
    <w:p w14:paraId="7D966005" w14:textId="5402F96B" w:rsidR="00070EA8" w:rsidRPr="00070EA8" w:rsidRDefault="00070EA8" w:rsidP="00070EA8">
      <w:pPr>
        <w:rPr>
          <w:lang w:eastAsia="en-IN"/>
        </w:rPr>
      </w:pPr>
      <w:r w:rsidRPr="00070EA8">
        <w:rPr>
          <w:lang w:eastAsia="en-IN"/>
        </w:rPr>
        <w:t>The CFPB operates under the Federal Reserve System and is divided into six main divisions focusing on various aspects such as consumer education, research, supervision, enforcement, and fair lending</w:t>
      </w:r>
      <w:r w:rsidRPr="00070EA8">
        <w:rPr>
          <w:rFonts w:ascii="Arial" w:hAnsi="Arial" w:cs="Arial"/>
          <w:lang w:eastAsia="en-IN"/>
        </w:rPr>
        <w:t>​</w:t>
      </w:r>
      <w:r w:rsidRPr="00070EA8">
        <w:rPr>
          <w:lang w:eastAsia="en-IN"/>
        </w:rPr>
        <w:t xml:space="preserve"> </w:t>
      </w:r>
      <w:r w:rsidR="00203CE5">
        <w:rPr>
          <w:lang w:eastAsia="en-IN"/>
        </w:rPr>
        <w:t>.</w:t>
      </w:r>
    </w:p>
    <w:p w14:paraId="1045A20D" w14:textId="77777777" w:rsidR="0053166B" w:rsidRDefault="0053166B" w:rsidP="00070EA8">
      <w:pPr>
        <w:rPr>
          <w:b/>
          <w:bCs/>
          <w:lang w:eastAsia="en-IN"/>
        </w:rPr>
      </w:pPr>
    </w:p>
    <w:p w14:paraId="0CEE9D96" w14:textId="4B622C2D" w:rsidR="00070EA8" w:rsidRPr="00070EA8" w:rsidRDefault="00070EA8" w:rsidP="00070EA8">
      <w:pPr>
        <w:rPr>
          <w:b/>
          <w:bCs/>
          <w:lang w:eastAsia="en-IN"/>
        </w:rPr>
      </w:pPr>
      <w:r w:rsidRPr="00070EA8">
        <w:rPr>
          <w:b/>
          <w:bCs/>
          <w:lang w:eastAsia="en-IN"/>
        </w:rPr>
        <w:lastRenderedPageBreak/>
        <w:t>Recent Recommendations and Audits</w:t>
      </w:r>
    </w:p>
    <w:p w14:paraId="392045CE" w14:textId="11275B16" w:rsidR="00070EA8" w:rsidRPr="00070EA8" w:rsidRDefault="00070EA8" w:rsidP="00070EA8">
      <w:pPr>
        <w:rPr>
          <w:lang w:eastAsia="en-IN"/>
        </w:rPr>
      </w:pPr>
      <w:r w:rsidRPr="00070EA8">
        <w:rPr>
          <w:lang w:eastAsia="en-IN"/>
        </w:rPr>
        <w:t>The Government Accountability Office (GAO) audits the CFPB’s financial statements annually and has made over 60 recommendations to improve its operations, 15 of which have not been fully addressed as of recent reports. Recent recommendations include better strategic workforce planning and coordination on financial technology and blockchain-related risks</w:t>
      </w:r>
      <w:r w:rsidRPr="00070EA8">
        <w:rPr>
          <w:rFonts w:ascii="Arial" w:hAnsi="Arial" w:cs="Arial"/>
          <w:lang w:eastAsia="en-IN"/>
        </w:rPr>
        <w:t>​</w:t>
      </w:r>
      <w:r w:rsidRPr="00070EA8">
        <w:rPr>
          <w:lang w:eastAsia="en-IN"/>
        </w:rPr>
        <w:t xml:space="preserve"> </w:t>
      </w:r>
    </w:p>
    <w:p w14:paraId="3FAD1608" w14:textId="77777777" w:rsidR="00070EA8" w:rsidRDefault="00070EA8" w:rsidP="00070EA8"/>
    <w:p w14:paraId="3AA465DA" w14:textId="092F999E" w:rsidR="00203CE5" w:rsidRDefault="00203CE5" w:rsidP="00070EA8">
      <w:pPr>
        <w:rPr>
          <w:b/>
          <w:bCs/>
        </w:rPr>
      </w:pPr>
      <w:r>
        <w:rPr>
          <w:b/>
          <w:bCs/>
        </w:rPr>
        <w:t>Key terminologies related to CFPB:-</w:t>
      </w:r>
    </w:p>
    <w:p w14:paraId="01BFCB37" w14:textId="23BB9007" w:rsidR="00203CE5" w:rsidRPr="00203CE5" w:rsidRDefault="00203CE5" w:rsidP="00203CE5">
      <w:pPr>
        <w:pStyle w:val="ListParagraph"/>
        <w:numPr>
          <w:ilvl w:val="0"/>
          <w:numId w:val="15"/>
        </w:numPr>
      </w:pPr>
      <w:r w:rsidRPr="00203CE5">
        <w:rPr>
          <w:b/>
          <w:bCs/>
        </w:rPr>
        <w:t>Consumer Financial Protection Bureau (CFPB):</w:t>
      </w:r>
      <w:r w:rsidRPr="00203CE5">
        <w:t xml:space="preserve"> A regulatory agency tasked with overseeing financial products and services that are offered to consumers, ensuring they are fair and transparent.</w:t>
      </w:r>
    </w:p>
    <w:p w14:paraId="35E3AE36" w14:textId="2FE8CF38" w:rsidR="00203CE5" w:rsidRPr="00203CE5" w:rsidRDefault="00203CE5" w:rsidP="00203CE5">
      <w:pPr>
        <w:pStyle w:val="ListParagraph"/>
        <w:numPr>
          <w:ilvl w:val="0"/>
          <w:numId w:val="15"/>
        </w:numPr>
      </w:pPr>
      <w:r w:rsidRPr="00203CE5">
        <w:rPr>
          <w:b/>
          <w:bCs/>
        </w:rPr>
        <w:t>Dodd-Frank Wall Street Reform and Consumer Protection Act:</w:t>
      </w:r>
      <w:r w:rsidRPr="00203CE5">
        <w:t xml:space="preserve"> The 2010 legislation that created the CFPB in response to the financial crisis of 2007-2008.</w:t>
      </w:r>
    </w:p>
    <w:p w14:paraId="7A9F0E0E" w14:textId="066C0634" w:rsidR="00203CE5" w:rsidRPr="00203CE5" w:rsidRDefault="00203CE5" w:rsidP="00203CE5">
      <w:pPr>
        <w:pStyle w:val="ListParagraph"/>
        <w:numPr>
          <w:ilvl w:val="0"/>
          <w:numId w:val="15"/>
        </w:numPr>
      </w:pPr>
      <w:r w:rsidRPr="00203CE5">
        <w:rPr>
          <w:b/>
          <w:bCs/>
        </w:rPr>
        <w:t>Regulation Z:</w:t>
      </w:r>
      <w:r w:rsidRPr="00203CE5">
        <w:t xml:space="preserve"> Part of the Truth in Lending Act (TILA), this regulation covers credit-related disclosures and advertising.</w:t>
      </w:r>
    </w:p>
    <w:p w14:paraId="42EB2805" w14:textId="4722D1DC" w:rsidR="00203CE5" w:rsidRPr="00203CE5" w:rsidRDefault="00203CE5" w:rsidP="00203CE5">
      <w:pPr>
        <w:pStyle w:val="ListParagraph"/>
        <w:numPr>
          <w:ilvl w:val="0"/>
          <w:numId w:val="15"/>
        </w:numPr>
      </w:pPr>
      <w:r w:rsidRPr="00203CE5">
        <w:rPr>
          <w:b/>
          <w:bCs/>
        </w:rPr>
        <w:t xml:space="preserve">Regulation E: </w:t>
      </w:r>
      <w:r w:rsidRPr="00203CE5">
        <w:t>Part of the Electronic Fund Transfer Act (EFTA), it provides protections for electronic fund transfers, including ATM, debit card, and automatic withdrawal transactions.</w:t>
      </w:r>
    </w:p>
    <w:p w14:paraId="526B2840" w14:textId="0F415CD8" w:rsidR="00203CE5" w:rsidRPr="00203CE5" w:rsidRDefault="00203CE5" w:rsidP="00203CE5">
      <w:pPr>
        <w:pStyle w:val="ListParagraph"/>
        <w:numPr>
          <w:ilvl w:val="0"/>
          <w:numId w:val="15"/>
        </w:numPr>
      </w:pPr>
      <w:r w:rsidRPr="00203CE5">
        <w:rPr>
          <w:b/>
          <w:bCs/>
        </w:rPr>
        <w:t xml:space="preserve">Regulation X: </w:t>
      </w:r>
      <w:r w:rsidRPr="00203CE5">
        <w:t>Under the Real Estate Settlement Procedures Act (RESPA), this regulation covers the process of obtaining mortgages and mortgage servicing.</w:t>
      </w:r>
    </w:p>
    <w:p w14:paraId="73F3F052" w14:textId="08F0ECD9" w:rsidR="00203CE5" w:rsidRPr="00203CE5" w:rsidRDefault="00203CE5" w:rsidP="00203CE5">
      <w:pPr>
        <w:pStyle w:val="ListParagraph"/>
        <w:numPr>
          <w:ilvl w:val="0"/>
          <w:numId w:val="15"/>
        </w:numPr>
      </w:pPr>
      <w:r w:rsidRPr="00203CE5">
        <w:rPr>
          <w:b/>
          <w:bCs/>
        </w:rPr>
        <w:t>Regulation F:</w:t>
      </w:r>
      <w:r w:rsidRPr="00203CE5">
        <w:t xml:space="preserve"> Enforces the Fair Debt Collection Practices Act (FDCPA), which aims to eliminate abusive practices in the collection of consumer debts.</w:t>
      </w:r>
    </w:p>
    <w:p w14:paraId="70576828" w14:textId="5AF2A002" w:rsidR="00203CE5" w:rsidRPr="00203CE5" w:rsidRDefault="00203CE5" w:rsidP="00203CE5">
      <w:pPr>
        <w:pStyle w:val="ListParagraph"/>
        <w:numPr>
          <w:ilvl w:val="0"/>
          <w:numId w:val="15"/>
        </w:numPr>
      </w:pPr>
      <w:r w:rsidRPr="00203CE5">
        <w:rPr>
          <w:b/>
          <w:bCs/>
        </w:rPr>
        <w:t>Regulation P:</w:t>
      </w:r>
      <w:r w:rsidRPr="00203CE5">
        <w:t xml:space="preserve"> Under the Gramm-Leach-Bliley Act (GLBA), this regulation addresses the privacy of consumer financial information.</w:t>
      </w:r>
    </w:p>
    <w:p w14:paraId="6443B5CC" w14:textId="3FDA4AF5" w:rsidR="00203CE5" w:rsidRPr="00203CE5" w:rsidRDefault="00203CE5" w:rsidP="00203CE5">
      <w:pPr>
        <w:pStyle w:val="ListParagraph"/>
        <w:numPr>
          <w:ilvl w:val="0"/>
          <w:numId w:val="15"/>
        </w:numPr>
      </w:pPr>
      <w:r w:rsidRPr="00203CE5">
        <w:rPr>
          <w:b/>
          <w:bCs/>
        </w:rPr>
        <w:t>Regulation B:</w:t>
      </w:r>
      <w:r w:rsidRPr="00203CE5">
        <w:t xml:space="preserve"> Part of the Equal Credit Opportunity Act (ECOA), this regulation prohibits discrimination in credit transactions.</w:t>
      </w:r>
    </w:p>
    <w:p w14:paraId="14A24946" w14:textId="6B231743" w:rsidR="00203CE5" w:rsidRPr="00203CE5" w:rsidRDefault="00203CE5" w:rsidP="00203CE5">
      <w:pPr>
        <w:pStyle w:val="ListParagraph"/>
        <w:numPr>
          <w:ilvl w:val="0"/>
          <w:numId w:val="15"/>
        </w:numPr>
      </w:pPr>
      <w:r w:rsidRPr="00203CE5">
        <w:rPr>
          <w:b/>
          <w:bCs/>
        </w:rPr>
        <w:t>Truth in Lending Act (TILA):</w:t>
      </w:r>
      <w:r w:rsidRPr="00203CE5">
        <w:t xml:space="preserve"> A federal law designed to promote informed use of consumer credit by requiring disclosures about terms and costs.</w:t>
      </w:r>
    </w:p>
    <w:p w14:paraId="30E1C711" w14:textId="686603BE" w:rsidR="00203CE5" w:rsidRPr="00203CE5" w:rsidRDefault="00203CE5" w:rsidP="00203CE5">
      <w:pPr>
        <w:pStyle w:val="ListParagraph"/>
        <w:numPr>
          <w:ilvl w:val="0"/>
          <w:numId w:val="15"/>
        </w:numPr>
      </w:pPr>
      <w:r w:rsidRPr="00203CE5">
        <w:rPr>
          <w:b/>
          <w:bCs/>
        </w:rPr>
        <w:t>Fair Credit Reporting Act (FCRA):</w:t>
      </w:r>
      <w:r w:rsidRPr="00203CE5">
        <w:t xml:space="preserve"> A federal law designed to ensure accuracy, fairness, and privacy of consumer information in credit reporting.</w:t>
      </w:r>
    </w:p>
    <w:p w14:paraId="609E9956" w14:textId="6118B4F3" w:rsidR="00203CE5" w:rsidRPr="00203CE5" w:rsidRDefault="00203CE5" w:rsidP="00203CE5">
      <w:pPr>
        <w:pStyle w:val="ListParagraph"/>
        <w:numPr>
          <w:ilvl w:val="0"/>
          <w:numId w:val="15"/>
        </w:numPr>
      </w:pPr>
      <w:r w:rsidRPr="00203CE5">
        <w:rPr>
          <w:b/>
          <w:bCs/>
        </w:rPr>
        <w:t>Fair Debt Collection Practices Act (FDCPA):</w:t>
      </w:r>
      <w:r w:rsidRPr="00203CE5">
        <w:t xml:space="preserve"> A federal law that limits the behavior and actions of third-party debt collectors.</w:t>
      </w:r>
    </w:p>
    <w:p w14:paraId="3F6D60FE" w14:textId="6C6FA337" w:rsidR="00203CE5" w:rsidRPr="00203CE5" w:rsidRDefault="00203CE5" w:rsidP="00203CE5">
      <w:pPr>
        <w:pStyle w:val="ListParagraph"/>
        <w:numPr>
          <w:ilvl w:val="0"/>
          <w:numId w:val="15"/>
        </w:numPr>
      </w:pPr>
      <w:r w:rsidRPr="00203CE5">
        <w:rPr>
          <w:b/>
          <w:bCs/>
        </w:rPr>
        <w:t xml:space="preserve">Electronic Fund Transfer Act (EFTA): </w:t>
      </w:r>
      <w:r w:rsidRPr="00203CE5">
        <w:t>A federal law that provides consumer protections for electronic fund transfers.</w:t>
      </w:r>
    </w:p>
    <w:p w14:paraId="622EC790" w14:textId="02EA8C37" w:rsidR="00203CE5" w:rsidRPr="00203CE5" w:rsidRDefault="00203CE5" w:rsidP="00203CE5">
      <w:pPr>
        <w:pStyle w:val="ListParagraph"/>
        <w:numPr>
          <w:ilvl w:val="0"/>
          <w:numId w:val="15"/>
        </w:numPr>
      </w:pPr>
      <w:r w:rsidRPr="00203CE5">
        <w:rPr>
          <w:b/>
          <w:bCs/>
        </w:rPr>
        <w:t>Gramm-Leach-Bliley Act (GLBA):</w:t>
      </w:r>
      <w:r w:rsidRPr="00203CE5">
        <w:t xml:space="preserve"> A federal law that requires financial institutions to explain their information-sharing practices and to safeguard sensitive data.</w:t>
      </w:r>
    </w:p>
    <w:p w14:paraId="37AAD09B" w14:textId="09FC8715" w:rsidR="00203CE5" w:rsidRPr="00203CE5" w:rsidRDefault="00203CE5" w:rsidP="00203CE5">
      <w:pPr>
        <w:pStyle w:val="ListParagraph"/>
        <w:numPr>
          <w:ilvl w:val="0"/>
          <w:numId w:val="15"/>
        </w:numPr>
      </w:pPr>
      <w:r w:rsidRPr="00203CE5">
        <w:rPr>
          <w:b/>
          <w:bCs/>
        </w:rPr>
        <w:t>Home Mortgage Disclosure Act (HMDA):</w:t>
      </w:r>
      <w:r w:rsidRPr="00203CE5">
        <w:t xml:space="preserve"> A federal law that requires financial institutions to provide mortgage data to the public.</w:t>
      </w:r>
    </w:p>
    <w:p w14:paraId="2F11965D" w14:textId="670FD1B9" w:rsidR="00203CE5" w:rsidRPr="00203CE5" w:rsidRDefault="00203CE5" w:rsidP="00203CE5">
      <w:pPr>
        <w:pStyle w:val="ListParagraph"/>
        <w:numPr>
          <w:ilvl w:val="0"/>
          <w:numId w:val="15"/>
        </w:numPr>
      </w:pPr>
      <w:r w:rsidRPr="00203CE5">
        <w:rPr>
          <w:b/>
          <w:bCs/>
        </w:rPr>
        <w:t>Real Estate Settlement Procedures Act (RESPA):</w:t>
      </w:r>
      <w:r w:rsidRPr="00203CE5">
        <w:t xml:space="preserve"> A federal law that aims to protect consumers during the home buying process by requiring disclosures about settlement costs.</w:t>
      </w:r>
    </w:p>
    <w:p w14:paraId="50C22F46" w14:textId="1232CDD8" w:rsidR="00203CE5" w:rsidRPr="00203CE5" w:rsidRDefault="00203CE5" w:rsidP="00203CE5">
      <w:pPr>
        <w:pStyle w:val="ListParagraph"/>
        <w:numPr>
          <w:ilvl w:val="0"/>
          <w:numId w:val="15"/>
        </w:numPr>
      </w:pPr>
      <w:r w:rsidRPr="00203CE5">
        <w:rPr>
          <w:b/>
          <w:bCs/>
        </w:rPr>
        <w:t>Consumer Complaint Database:</w:t>
      </w:r>
      <w:r w:rsidRPr="00203CE5">
        <w:t xml:space="preserve"> A public database maintained by the CFPB where consumers can submit and view complaints about financial products and services.</w:t>
      </w:r>
    </w:p>
    <w:p w14:paraId="449C60D4" w14:textId="114EB419" w:rsidR="00203CE5" w:rsidRPr="00203CE5" w:rsidRDefault="00203CE5" w:rsidP="00203CE5">
      <w:pPr>
        <w:pStyle w:val="ListParagraph"/>
        <w:numPr>
          <w:ilvl w:val="0"/>
          <w:numId w:val="15"/>
        </w:numPr>
      </w:pPr>
      <w:r w:rsidRPr="00203CE5">
        <w:rPr>
          <w:b/>
          <w:bCs/>
        </w:rPr>
        <w:t>Office of Enforcement:</w:t>
      </w:r>
      <w:r w:rsidRPr="00203CE5">
        <w:t xml:space="preserve"> A division within the CFPB responsible for investigating and taking legal action against entities that violate consumer financial protection laws.</w:t>
      </w:r>
    </w:p>
    <w:p w14:paraId="3E3B7B09" w14:textId="15B9A658" w:rsidR="00203CE5" w:rsidRPr="00203CE5" w:rsidRDefault="00203CE5" w:rsidP="00203CE5">
      <w:pPr>
        <w:pStyle w:val="ListParagraph"/>
        <w:numPr>
          <w:ilvl w:val="0"/>
          <w:numId w:val="15"/>
        </w:numPr>
      </w:pPr>
      <w:r w:rsidRPr="00203CE5">
        <w:rPr>
          <w:b/>
          <w:bCs/>
        </w:rPr>
        <w:lastRenderedPageBreak/>
        <w:t>Supervisory Authority:</w:t>
      </w:r>
      <w:r w:rsidRPr="00203CE5">
        <w:t xml:space="preserve"> The CFPB's power to oversee and examine financial institutions to ensure compliance with federal consumer financial laws.</w:t>
      </w:r>
    </w:p>
    <w:p w14:paraId="0AEBCFD4" w14:textId="7465D451" w:rsidR="00203CE5" w:rsidRPr="00203CE5" w:rsidRDefault="00203CE5" w:rsidP="00203CE5">
      <w:pPr>
        <w:pStyle w:val="ListParagraph"/>
        <w:numPr>
          <w:ilvl w:val="0"/>
          <w:numId w:val="15"/>
        </w:numPr>
      </w:pPr>
      <w:r w:rsidRPr="00203CE5">
        <w:rPr>
          <w:b/>
          <w:bCs/>
        </w:rPr>
        <w:t>Consumer Financial Civil Penalty Fund:</w:t>
      </w:r>
      <w:r w:rsidRPr="00203CE5">
        <w:t xml:space="preserve"> A fund established by the CFPB to compensate consumers harmed by violations of consumer financial protection laws and for consumer education and financial literacy programs.</w:t>
      </w:r>
    </w:p>
    <w:p w14:paraId="07A4984B" w14:textId="6B76F431" w:rsidR="00203CE5" w:rsidRPr="00203CE5" w:rsidRDefault="00203CE5" w:rsidP="00203CE5">
      <w:pPr>
        <w:pStyle w:val="ListParagraph"/>
        <w:numPr>
          <w:ilvl w:val="0"/>
          <w:numId w:val="15"/>
        </w:numPr>
      </w:pPr>
      <w:r w:rsidRPr="00203CE5">
        <w:rPr>
          <w:b/>
          <w:bCs/>
        </w:rPr>
        <w:t>Know Before You Owe:</w:t>
      </w:r>
      <w:r w:rsidRPr="00203CE5">
        <w:t xml:space="preserve"> An initiative by the CFPB to improve transparency in the mortgage process by making it easier for consumers to understand loan terms.</w:t>
      </w:r>
    </w:p>
    <w:p w14:paraId="32BED38A" w14:textId="653C0893" w:rsidR="00203CE5" w:rsidRPr="00203CE5" w:rsidRDefault="00203CE5" w:rsidP="00203CE5">
      <w:pPr>
        <w:pStyle w:val="ListParagraph"/>
        <w:numPr>
          <w:ilvl w:val="0"/>
          <w:numId w:val="15"/>
        </w:numPr>
      </w:pPr>
      <w:r w:rsidRPr="00203CE5">
        <w:rPr>
          <w:b/>
          <w:bCs/>
        </w:rPr>
        <w:t xml:space="preserve">Qualified Mortgage (QM): </w:t>
      </w:r>
      <w:r w:rsidRPr="00203CE5">
        <w:t>A category of loans that have certain, more stable features that help make it more likely that consumers can afford their loans.</w:t>
      </w:r>
    </w:p>
    <w:p w14:paraId="5DC614AC" w14:textId="52925C1F" w:rsidR="00203CE5" w:rsidRPr="00203CE5" w:rsidRDefault="00203CE5" w:rsidP="00203CE5">
      <w:pPr>
        <w:pStyle w:val="ListParagraph"/>
        <w:numPr>
          <w:ilvl w:val="0"/>
          <w:numId w:val="15"/>
        </w:numPr>
      </w:pPr>
      <w:r w:rsidRPr="00203CE5">
        <w:rPr>
          <w:b/>
          <w:bCs/>
        </w:rPr>
        <w:t xml:space="preserve">Ability to Repay (ATR): </w:t>
      </w:r>
      <w:r w:rsidRPr="00203CE5">
        <w:t>A rule requiring lenders to make a reasonable and good faith determination that the borrower can repay the loan.</w:t>
      </w:r>
    </w:p>
    <w:p w14:paraId="1313E586" w14:textId="06FB0B67" w:rsidR="00203CE5" w:rsidRPr="00203CE5" w:rsidRDefault="00203CE5" w:rsidP="00203CE5">
      <w:pPr>
        <w:pStyle w:val="ListParagraph"/>
        <w:numPr>
          <w:ilvl w:val="0"/>
          <w:numId w:val="15"/>
        </w:numPr>
      </w:pPr>
      <w:r w:rsidRPr="00203CE5">
        <w:rPr>
          <w:b/>
          <w:bCs/>
        </w:rPr>
        <w:t xml:space="preserve">Prepaid Rule: </w:t>
      </w:r>
      <w:r w:rsidRPr="00203CE5">
        <w:t>A CFPB regulation that establishes consumer protections for prepaid accounts, including disclosure, error resolution, and liability limits.</w:t>
      </w:r>
    </w:p>
    <w:p w14:paraId="7D5913C0" w14:textId="49BC0950" w:rsidR="00203CE5" w:rsidRPr="00203CE5" w:rsidRDefault="00203CE5" w:rsidP="00203CE5">
      <w:pPr>
        <w:pStyle w:val="ListParagraph"/>
        <w:numPr>
          <w:ilvl w:val="0"/>
          <w:numId w:val="15"/>
        </w:numPr>
      </w:pPr>
      <w:r w:rsidRPr="00203CE5">
        <w:rPr>
          <w:b/>
          <w:bCs/>
        </w:rPr>
        <w:t>Arbitration Rule:</w:t>
      </w:r>
      <w:r w:rsidRPr="00203CE5">
        <w:t xml:space="preserve"> A CFPB rule limiting the use of mandatory arbitration clauses in consumer financial contracts, later repealed by Congress.</w:t>
      </w:r>
    </w:p>
    <w:p w14:paraId="5D57B74A" w14:textId="63E5A79E" w:rsidR="00203CE5" w:rsidRPr="00203CE5" w:rsidRDefault="00203CE5" w:rsidP="00203CE5">
      <w:pPr>
        <w:pStyle w:val="ListParagraph"/>
        <w:numPr>
          <w:ilvl w:val="0"/>
          <w:numId w:val="15"/>
        </w:numPr>
      </w:pPr>
      <w:r w:rsidRPr="00203CE5">
        <w:rPr>
          <w:b/>
          <w:bCs/>
        </w:rPr>
        <w:t>Payday, Vehicle Title, and Certain High-Cost Installment Loans Rule:</w:t>
      </w:r>
      <w:r w:rsidRPr="00203CE5">
        <w:t xml:space="preserve"> A rule aimed at curbing predatory lending practices associated with payday and vehicle title loans.</w:t>
      </w:r>
    </w:p>
    <w:p w14:paraId="20A4FDC9" w14:textId="77777777" w:rsidR="00203CE5" w:rsidRDefault="00203CE5" w:rsidP="00203CE5"/>
    <w:p w14:paraId="31616E46" w14:textId="77777777" w:rsidR="00203CE5" w:rsidRDefault="00203CE5" w:rsidP="00203CE5"/>
    <w:p w14:paraId="2A883769" w14:textId="77777777" w:rsidR="00203CE5" w:rsidRDefault="00203CE5" w:rsidP="00203CE5"/>
    <w:p w14:paraId="2EC5B8CE" w14:textId="77777777" w:rsidR="00203CE5" w:rsidRDefault="00203CE5" w:rsidP="00203CE5"/>
    <w:p w14:paraId="6E82B024" w14:textId="77777777" w:rsidR="00203CE5" w:rsidRDefault="00203CE5" w:rsidP="00203CE5"/>
    <w:p w14:paraId="3BDD8214" w14:textId="77777777" w:rsidR="00203CE5" w:rsidRDefault="00203CE5" w:rsidP="00203CE5"/>
    <w:p w14:paraId="4EDD07C9" w14:textId="77777777" w:rsidR="00203CE5" w:rsidRDefault="00203CE5" w:rsidP="00203CE5"/>
    <w:p w14:paraId="2F1E2BC6" w14:textId="77777777" w:rsidR="00203CE5" w:rsidRDefault="00203CE5" w:rsidP="00203CE5"/>
    <w:p w14:paraId="21061F8B" w14:textId="77777777" w:rsidR="00203CE5" w:rsidRDefault="00203CE5" w:rsidP="00203CE5"/>
    <w:p w14:paraId="0903AB9E" w14:textId="77777777" w:rsidR="00203CE5" w:rsidRDefault="00203CE5" w:rsidP="00203CE5"/>
    <w:p w14:paraId="3C07BA11" w14:textId="77777777" w:rsidR="00203CE5" w:rsidRDefault="00203CE5" w:rsidP="00203CE5"/>
    <w:p w14:paraId="5485CAA0" w14:textId="77777777" w:rsidR="00203CE5" w:rsidRDefault="00203CE5" w:rsidP="00203CE5"/>
    <w:p w14:paraId="495407EB" w14:textId="77777777" w:rsidR="00203CE5" w:rsidRDefault="00203CE5" w:rsidP="00203CE5"/>
    <w:p w14:paraId="72F65822" w14:textId="77777777" w:rsidR="00203CE5" w:rsidRDefault="00203CE5" w:rsidP="00203CE5"/>
    <w:p w14:paraId="66ED9444" w14:textId="77777777" w:rsidR="00203CE5" w:rsidRDefault="00203CE5" w:rsidP="00203CE5"/>
    <w:p w14:paraId="0597C4D2" w14:textId="77777777" w:rsidR="00203CE5" w:rsidRDefault="00203CE5" w:rsidP="00203CE5"/>
    <w:p w14:paraId="3485F31A" w14:textId="77777777" w:rsidR="00203CE5" w:rsidRDefault="00203CE5" w:rsidP="00203CE5"/>
    <w:p w14:paraId="57541BA5" w14:textId="77777777" w:rsidR="00203CE5" w:rsidRDefault="00203CE5" w:rsidP="00203CE5"/>
    <w:p w14:paraId="5A141EE5" w14:textId="77777777" w:rsidR="00203CE5" w:rsidRDefault="00203CE5" w:rsidP="00203CE5"/>
    <w:p w14:paraId="74419205" w14:textId="77777777" w:rsidR="00203CE5" w:rsidRDefault="00203CE5" w:rsidP="00203CE5"/>
    <w:p w14:paraId="168A424F" w14:textId="4904960D" w:rsidR="00203CE5" w:rsidRPr="0053166B" w:rsidRDefault="0053166B" w:rsidP="00203CE5">
      <w:pPr>
        <w:rPr>
          <w:b/>
          <w:bCs/>
          <w:sz w:val="48"/>
          <w:szCs w:val="48"/>
          <w:u w:val="single"/>
        </w:rPr>
      </w:pPr>
      <w:r w:rsidRPr="00BF5F4C">
        <w:rPr>
          <w:b/>
          <w:bCs/>
          <w:sz w:val="48"/>
          <w:szCs w:val="48"/>
          <w:u w:val="single"/>
          <w:lang w:eastAsia="en-IN"/>
        </w:rPr>
        <w:t>Anti-Money Laundering</w:t>
      </w:r>
    </w:p>
    <w:p w14:paraId="32F50113" w14:textId="77777777" w:rsidR="00BF5F4C" w:rsidRPr="00BF5F4C" w:rsidRDefault="00BF5F4C" w:rsidP="00BF5F4C">
      <w:pPr>
        <w:rPr>
          <w:lang w:eastAsia="en-IN"/>
        </w:rPr>
      </w:pPr>
      <w:r w:rsidRPr="00BF5F4C">
        <w:rPr>
          <w:lang w:eastAsia="en-IN"/>
        </w:rPr>
        <w:t>Anti-Money Laundering (AML) is a set of laws, regulations, and procedures designed to prevent criminals from disguising the illegal origins of their money. Money laundering undermines the integrity of financial systems and can be used to fund terrorism and other crimes.</w:t>
      </w:r>
    </w:p>
    <w:p w14:paraId="66BFE511" w14:textId="77777777" w:rsidR="00BF5F4C" w:rsidRPr="00BF5F4C" w:rsidRDefault="00BF5F4C" w:rsidP="00BF5F4C">
      <w:pPr>
        <w:rPr>
          <w:b/>
          <w:bCs/>
          <w:lang w:eastAsia="en-IN"/>
        </w:rPr>
      </w:pPr>
      <w:r w:rsidRPr="00BF5F4C">
        <w:rPr>
          <w:b/>
          <w:bCs/>
          <w:lang w:eastAsia="en-IN"/>
        </w:rPr>
        <w:t>Objectives</w:t>
      </w:r>
    </w:p>
    <w:p w14:paraId="6AC39B5C" w14:textId="77777777" w:rsidR="00BF5F4C" w:rsidRPr="00BF5F4C" w:rsidRDefault="00BF5F4C" w:rsidP="00BF5F4C">
      <w:pPr>
        <w:pStyle w:val="ListParagraph"/>
        <w:numPr>
          <w:ilvl w:val="0"/>
          <w:numId w:val="18"/>
        </w:numPr>
        <w:rPr>
          <w:lang w:eastAsia="en-IN"/>
        </w:rPr>
      </w:pPr>
      <w:r w:rsidRPr="00BF5F4C">
        <w:rPr>
          <w:lang w:eastAsia="en-IN"/>
        </w:rPr>
        <w:t>Prevent criminals from laundering illegal funds</w:t>
      </w:r>
    </w:p>
    <w:p w14:paraId="6D2BFE9F" w14:textId="77777777" w:rsidR="00BF5F4C" w:rsidRPr="00BF5F4C" w:rsidRDefault="00BF5F4C" w:rsidP="00BF5F4C">
      <w:pPr>
        <w:pStyle w:val="ListParagraph"/>
        <w:numPr>
          <w:ilvl w:val="0"/>
          <w:numId w:val="18"/>
        </w:numPr>
        <w:rPr>
          <w:lang w:eastAsia="en-IN"/>
        </w:rPr>
      </w:pPr>
      <w:r w:rsidRPr="00BF5F4C">
        <w:rPr>
          <w:lang w:eastAsia="en-IN"/>
        </w:rPr>
        <w:t>Identify suspicious activity</w:t>
      </w:r>
    </w:p>
    <w:p w14:paraId="4BD410AC" w14:textId="77777777" w:rsidR="00BF5F4C" w:rsidRPr="00BF5F4C" w:rsidRDefault="00BF5F4C" w:rsidP="00BF5F4C">
      <w:pPr>
        <w:pStyle w:val="ListParagraph"/>
        <w:numPr>
          <w:ilvl w:val="0"/>
          <w:numId w:val="18"/>
        </w:numPr>
        <w:rPr>
          <w:lang w:eastAsia="en-IN"/>
        </w:rPr>
      </w:pPr>
      <w:r w:rsidRPr="00BF5F4C">
        <w:rPr>
          <w:lang w:eastAsia="en-IN"/>
        </w:rPr>
        <w:t>Report potential money laundering to the authorities</w:t>
      </w:r>
    </w:p>
    <w:p w14:paraId="21907A84" w14:textId="77777777" w:rsidR="00BF5F4C" w:rsidRPr="00BF5F4C" w:rsidRDefault="00BF5F4C" w:rsidP="00BF5F4C">
      <w:pPr>
        <w:rPr>
          <w:b/>
          <w:bCs/>
          <w:lang w:eastAsia="en-IN"/>
        </w:rPr>
      </w:pPr>
      <w:r w:rsidRPr="00BF5F4C">
        <w:rPr>
          <w:b/>
          <w:bCs/>
          <w:lang w:eastAsia="en-IN"/>
        </w:rPr>
        <w:t>The Three Stages of Money Laundering</w:t>
      </w:r>
    </w:p>
    <w:p w14:paraId="3EB8E03C" w14:textId="77777777" w:rsidR="00BF5F4C" w:rsidRPr="00BF5F4C" w:rsidRDefault="00BF5F4C" w:rsidP="00BF5F4C">
      <w:pPr>
        <w:pStyle w:val="ListParagraph"/>
        <w:numPr>
          <w:ilvl w:val="0"/>
          <w:numId w:val="19"/>
        </w:numPr>
        <w:rPr>
          <w:lang w:eastAsia="en-IN"/>
        </w:rPr>
      </w:pPr>
      <w:r w:rsidRPr="00BF5F4C">
        <w:rPr>
          <w:b/>
          <w:bCs/>
          <w:lang w:eastAsia="en-IN"/>
        </w:rPr>
        <w:t>Placement:</w:t>
      </w:r>
      <w:r w:rsidRPr="00BF5F4C">
        <w:rPr>
          <w:lang w:eastAsia="en-IN"/>
        </w:rPr>
        <w:t xml:space="preserve"> Criminals physically introduce illegal cash into the financial system. This might involve structuring deposits to avoid reporting thresholds or using shell companies to disguise the source of the funds.</w:t>
      </w:r>
    </w:p>
    <w:p w14:paraId="557F462C" w14:textId="77777777" w:rsidR="00BF5F4C" w:rsidRPr="00BF5F4C" w:rsidRDefault="00BF5F4C" w:rsidP="00BF5F4C">
      <w:pPr>
        <w:pStyle w:val="ListParagraph"/>
        <w:numPr>
          <w:ilvl w:val="0"/>
          <w:numId w:val="19"/>
        </w:numPr>
        <w:rPr>
          <w:lang w:eastAsia="en-IN"/>
        </w:rPr>
      </w:pPr>
      <w:r w:rsidRPr="00BF5F4C">
        <w:rPr>
          <w:b/>
          <w:bCs/>
          <w:lang w:eastAsia="en-IN"/>
        </w:rPr>
        <w:t>Layering:</w:t>
      </w:r>
      <w:r w:rsidRPr="00BF5F4C">
        <w:rPr>
          <w:lang w:eastAsia="en-IN"/>
        </w:rPr>
        <w:t xml:space="preserve"> Criminals move the illicit funds around the financial system through a series of complex transactions to obscure the audit trail. This might involve wire transfers, foreign exchange transactions, or the purchase of high-value assets like real estate or precious metals.</w:t>
      </w:r>
    </w:p>
    <w:p w14:paraId="0EB3E0CD" w14:textId="77777777" w:rsidR="00BF5F4C" w:rsidRPr="00BF5F4C" w:rsidRDefault="00BF5F4C" w:rsidP="00BF5F4C">
      <w:pPr>
        <w:pStyle w:val="ListParagraph"/>
        <w:numPr>
          <w:ilvl w:val="0"/>
          <w:numId w:val="19"/>
        </w:numPr>
        <w:rPr>
          <w:lang w:eastAsia="en-IN"/>
        </w:rPr>
      </w:pPr>
      <w:r w:rsidRPr="00BF5F4C">
        <w:rPr>
          <w:b/>
          <w:bCs/>
          <w:lang w:eastAsia="en-IN"/>
        </w:rPr>
        <w:t>Integration:</w:t>
      </w:r>
      <w:r w:rsidRPr="00BF5F4C">
        <w:rPr>
          <w:lang w:eastAsia="en-IN"/>
        </w:rPr>
        <w:t xml:space="preserve"> Criminals reintegrate the laundered funds back into the legitimate economy, making them appear legitimate. This might involve using the laundered funds to invest in businesses or to purchase luxury goods.</w:t>
      </w:r>
    </w:p>
    <w:p w14:paraId="25C3D1A5" w14:textId="77777777" w:rsidR="00BF5F4C" w:rsidRPr="00BF5F4C" w:rsidRDefault="00BF5F4C" w:rsidP="00BF5F4C">
      <w:pPr>
        <w:rPr>
          <w:b/>
          <w:bCs/>
          <w:lang w:eastAsia="en-IN"/>
        </w:rPr>
      </w:pPr>
      <w:r w:rsidRPr="00BF5F4C">
        <w:rPr>
          <w:b/>
          <w:bCs/>
          <w:lang w:eastAsia="en-IN"/>
        </w:rPr>
        <w:t>AML Programs</w:t>
      </w:r>
    </w:p>
    <w:p w14:paraId="644E711E" w14:textId="77777777" w:rsidR="00BF5F4C" w:rsidRPr="00BF5F4C" w:rsidRDefault="00BF5F4C" w:rsidP="00BF5F4C">
      <w:pPr>
        <w:pStyle w:val="ListParagraph"/>
        <w:numPr>
          <w:ilvl w:val="0"/>
          <w:numId w:val="20"/>
        </w:numPr>
        <w:rPr>
          <w:lang w:eastAsia="en-IN"/>
        </w:rPr>
      </w:pPr>
      <w:r w:rsidRPr="00BF5F4C">
        <w:rPr>
          <w:lang w:eastAsia="en-IN"/>
        </w:rPr>
        <w:t>Financial institutions are required to have AML programs in place to identify and report suspicious activity. These programs typically include:</w:t>
      </w:r>
    </w:p>
    <w:p w14:paraId="3056855C" w14:textId="77777777" w:rsidR="00BF5F4C" w:rsidRPr="00BF5F4C" w:rsidRDefault="00BF5F4C" w:rsidP="00BF5F4C">
      <w:pPr>
        <w:pStyle w:val="ListParagraph"/>
        <w:numPr>
          <w:ilvl w:val="0"/>
          <w:numId w:val="20"/>
        </w:numPr>
        <w:rPr>
          <w:lang w:eastAsia="en-IN"/>
        </w:rPr>
      </w:pPr>
      <w:r w:rsidRPr="00BF5F4C">
        <w:rPr>
          <w:lang w:eastAsia="en-IN"/>
        </w:rPr>
        <w:t>Know Your Customer (KYC): KYC is a process that financial institutions use to verify the identity of their customers. This includes collecting customer identification information, such as name, address, date of birth, and government-issued ID, and verifying this information against a reliable source.</w:t>
      </w:r>
    </w:p>
    <w:p w14:paraId="0246DEC3" w14:textId="77777777" w:rsidR="00BF5F4C" w:rsidRPr="00BF5F4C" w:rsidRDefault="00BF5F4C" w:rsidP="00BF5F4C">
      <w:pPr>
        <w:pStyle w:val="ListParagraph"/>
        <w:numPr>
          <w:ilvl w:val="0"/>
          <w:numId w:val="20"/>
        </w:numPr>
        <w:rPr>
          <w:lang w:eastAsia="en-IN"/>
        </w:rPr>
      </w:pPr>
      <w:r w:rsidRPr="00BF5F4C">
        <w:rPr>
          <w:lang w:eastAsia="en-IN"/>
        </w:rPr>
        <w:t>Customer Due Diligence (CDD): CDD is a process that financial institutions use to assess the money laundering risks associated with their customers. This includes considering the customer's business, source of funds, and transaction patterns.</w:t>
      </w:r>
    </w:p>
    <w:p w14:paraId="73DC8520" w14:textId="77777777" w:rsidR="00BF5F4C" w:rsidRPr="00BF5F4C" w:rsidRDefault="00BF5F4C" w:rsidP="00BF5F4C">
      <w:pPr>
        <w:pStyle w:val="ListParagraph"/>
        <w:numPr>
          <w:ilvl w:val="0"/>
          <w:numId w:val="20"/>
        </w:numPr>
        <w:rPr>
          <w:lang w:eastAsia="en-IN"/>
        </w:rPr>
      </w:pPr>
      <w:r w:rsidRPr="00BF5F4C">
        <w:rPr>
          <w:lang w:eastAsia="en-IN"/>
        </w:rPr>
        <w:t>Transaction Monitoring: Financial institutions monitor customer transactions for suspicious activity. This might involve looking for transactions that are inconsistent with the customer's profile or that are structured to avoid reporting thresholds.</w:t>
      </w:r>
    </w:p>
    <w:p w14:paraId="6DEC15DC" w14:textId="77777777" w:rsidR="00BF5F4C" w:rsidRPr="00BF5F4C" w:rsidRDefault="00BF5F4C" w:rsidP="00BF5F4C">
      <w:pPr>
        <w:pStyle w:val="ListParagraph"/>
        <w:numPr>
          <w:ilvl w:val="0"/>
          <w:numId w:val="20"/>
        </w:numPr>
        <w:rPr>
          <w:lang w:eastAsia="en-IN"/>
        </w:rPr>
      </w:pPr>
      <w:r w:rsidRPr="00BF5F4C">
        <w:rPr>
          <w:lang w:eastAsia="en-IN"/>
        </w:rPr>
        <w:t>Reporting: Financial institutions are required to report suspicious activity to the authorities.</w:t>
      </w:r>
    </w:p>
    <w:p w14:paraId="150F85CC" w14:textId="77777777" w:rsidR="00BF5F4C" w:rsidRPr="00BF5F4C" w:rsidRDefault="00BF5F4C" w:rsidP="00BF5F4C">
      <w:pPr>
        <w:rPr>
          <w:b/>
          <w:bCs/>
          <w:lang w:eastAsia="en-IN"/>
        </w:rPr>
      </w:pPr>
      <w:r w:rsidRPr="00BF5F4C">
        <w:rPr>
          <w:b/>
          <w:bCs/>
          <w:lang w:eastAsia="en-IN"/>
        </w:rPr>
        <w:t>Benefits of AML</w:t>
      </w:r>
    </w:p>
    <w:p w14:paraId="0F8C93BE" w14:textId="77777777" w:rsidR="00BF5F4C" w:rsidRPr="00BF5F4C" w:rsidRDefault="00BF5F4C" w:rsidP="00BF5F4C">
      <w:pPr>
        <w:pStyle w:val="ListParagraph"/>
        <w:numPr>
          <w:ilvl w:val="0"/>
          <w:numId w:val="21"/>
        </w:numPr>
        <w:rPr>
          <w:lang w:eastAsia="en-IN"/>
        </w:rPr>
      </w:pPr>
      <w:r w:rsidRPr="00BF5F4C">
        <w:rPr>
          <w:lang w:eastAsia="en-IN"/>
        </w:rPr>
        <w:t>Protects the financial system from criminal abuse</w:t>
      </w:r>
    </w:p>
    <w:p w14:paraId="1F0C8F15" w14:textId="77777777" w:rsidR="00BF5F4C" w:rsidRPr="00BF5F4C" w:rsidRDefault="00BF5F4C" w:rsidP="00BF5F4C">
      <w:pPr>
        <w:pStyle w:val="ListParagraph"/>
        <w:numPr>
          <w:ilvl w:val="0"/>
          <w:numId w:val="21"/>
        </w:numPr>
        <w:rPr>
          <w:lang w:eastAsia="en-IN"/>
        </w:rPr>
      </w:pPr>
      <w:r w:rsidRPr="00BF5F4C">
        <w:rPr>
          <w:lang w:eastAsia="en-IN"/>
        </w:rPr>
        <w:t>Helps to deter crime</w:t>
      </w:r>
    </w:p>
    <w:p w14:paraId="3FD9CECD" w14:textId="77777777" w:rsidR="00BF5F4C" w:rsidRPr="00BF5F4C" w:rsidRDefault="00BF5F4C" w:rsidP="00BF5F4C">
      <w:pPr>
        <w:pStyle w:val="ListParagraph"/>
        <w:numPr>
          <w:ilvl w:val="0"/>
          <w:numId w:val="21"/>
        </w:numPr>
        <w:rPr>
          <w:lang w:eastAsia="en-IN"/>
        </w:rPr>
      </w:pPr>
      <w:r w:rsidRPr="00BF5F4C">
        <w:rPr>
          <w:lang w:eastAsia="en-IN"/>
        </w:rPr>
        <w:t>Promotes financial stability</w:t>
      </w:r>
    </w:p>
    <w:p w14:paraId="21DF74D4" w14:textId="77777777" w:rsidR="00BF5F4C" w:rsidRPr="00BF5F4C" w:rsidRDefault="00BF5F4C" w:rsidP="00BF5F4C">
      <w:pPr>
        <w:pStyle w:val="ListParagraph"/>
        <w:numPr>
          <w:ilvl w:val="0"/>
          <w:numId w:val="21"/>
        </w:numPr>
        <w:rPr>
          <w:lang w:eastAsia="en-IN"/>
        </w:rPr>
      </w:pPr>
      <w:r w:rsidRPr="00BF5F4C">
        <w:rPr>
          <w:lang w:eastAsia="en-IN"/>
        </w:rPr>
        <w:t>Protects national security</w:t>
      </w:r>
    </w:p>
    <w:p w14:paraId="1491A124" w14:textId="77777777" w:rsidR="00BF5F4C" w:rsidRPr="00BF5F4C" w:rsidRDefault="00BF5F4C" w:rsidP="00BF5F4C">
      <w:pPr>
        <w:rPr>
          <w:lang w:eastAsia="en-IN"/>
        </w:rPr>
      </w:pPr>
      <w:r w:rsidRPr="00BF5F4C">
        <w:rPr>
          <w:lang w:eastAsia="en-IN"/>
        </w:rPr>
        <w:lastRenderedPageBreak/>
        <w:t>AML is an important tool in the fight against crime and terrorism. By working together, financial institutions, law enforcement agencies, and governments can help to keep our financial system safe and sound.</w:t>
      </w:r>
    </w:p>
    <w:p w14:paraId="0444E085" w14:textId="77777777" w:rsidR="00203CE5" w:rsidRPr="00203CE5" w:rsidRDefault="00203CE5" w:rsidP="00203CE5"/>
    <w:sectPr w:rsidR="00203CE5" w:rsidRPr="00203C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17758"/>
    <w:multiLevelType w:val="multilevel"/>
    <w:tmpl w:val="61D49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13D0C"/>
    <w:multiLevelType w:val="hybridMultilevel"/>
    <w:tmpl w:val="5D0C1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C5275D"/>
    <w:multiLevelType w:val="multilevel"/>
    <w:tmpl w:val="AB10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E1353D"/>
    <w:multiLevelType w:val="hybridMultilevel"/>
    <w:tmpl w:val="269C75D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77B50ED"/>
    <w:multiLevelType w:val="hybridMultilevel"/>
    <w:tmpl w:val="15CEF51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94750D0"/>
    <w:multiLevelType w:val="multilevel"/>
    <w:tmpl w:val="0270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4D0314"/>
    <w:multiLevelType w:val="hybridMultilevel"/>
    <w:tmpl w:val="3DBCD04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1FB20F7"/>
    <w:multiLevelType w:val="hybridMultilevel"/>
    <w:tmpl w:val="BE16C1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6A1F79"/>
    <w:multiLevelType w:val="hybridMultilevel"/>
    <w:tmpl w:val="2C807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804F0D"/>
    <w:multiLevelType w:val="hybridMultilevel"/>
    <w:tmpl w:val="463036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47584739"/>
    <w:multiLevelType w:val="hybridMultilevel"/>
    <w:tmpl w:val="2BBC384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3DA0741"/>
    <w:multiLevelType w:val="hybridMultilevel"/>
    <w:tmpl w:val="DE54C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606F7B"/>
    <w:multiLevelType w:val="multilevel"/>
    <w:tmpl w:val="00A87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D65ACE"/>
    <w:multiLevelType w:val="hybridMultilevel"/>
    <w:tmpl w:val="8E642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C03205E"/>
    <w:multiLevelType w:val="multilevel"/>
    <w:tmpl w:val="F1B8D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4D42A9"/>
    <w:multiLevelType w:val="hybridMultilevel"/>
    <w:tmpl w:val="EDB4A46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7626611"/>
    <w:multiLevelType w:val="hybridMultilevel"/>
    <w:tmpl w:val="D4D21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9E517D"/>
    <w:multiLevelType w:val="hybridMultilevel"/>
    <w:tmpl w:val="E2EE8A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D2030ED"/>
    <w:multiLevelType w:val="hybridMultilevel"/>
    <w:tmpl w:val="5EE4C6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6E43561B"/>
    <w:multiLevelType w:val="hybridMultilevel"/>
    <w:tmpl w:val="386CF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66B3D7F"/>
    <w:multiLevelType w:val="hybridMultilevel"/>
    <w:tmpl w:val="33A22FC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73663213">
    <w:abstractNumId w:val="12"/>
  </w:num>
  <w:num w:numId="2" w16cid:durableId="331839092">
    <w:abstractNumId w:val="1"/>
  </w:num>
  <w:num w:numId="3" w16cid:durableId="1074548223">
    <w:abstractNumId w:val="14"/>
  </w:num>
  <w:num w:numId="4" w16cid:durableId="490173082">
    <w:abstractNumId w:val="13"/>
  </w:num>
  <w:num w:numId="5" w16cid:durableId="8533560">
    <w:abstractNumId w:val="7"/>
  </w:num>
  <w:num w:numId="6" w16cid:durableId="1579292513">
    <w:abstractNumId w:val="4"/>
  </w:num>
  <w:num w:numId="7" w16cid:durableId="891380769">
    <w:abstractNumId w:val="3"/>
  </w:num>
  <w:num w:numId="8" w16cid:durableId="1922176341">
    <w:abstractNumId w:val="20"/>
  </w:num>
  <w:num w:numId="9" w16cid:durableId="875388768">
    <w:abstractNumId w:val="6"/>
  </w:num>
  <w:num w:numId="10" w16cid:durableId="548223223">
    <w:abstractNumId w:val="10"/>
  </w:num>
  <w:num w:numId="11" w16cid:durableId="237133906">
    <w:abstractNumId w:val="15"/>
  </w:num>
  <w:num w:numId="12" w16cid:durableId="1959068505">
    <w:abstractNumId w:val="5"/>
  </w:num>
  <w:num w:numId="13" w16cid:durableId="129903338">
    <w:abstractNumId w:val="2"/>
  </w:num>
  <w:num w:numId="14" w16cid:durableId="1397165813">
    <w:abstractNumId w:val="18"/>
  </w:num>
  <w:num w:numId="15" w16cid:durableId="521675652">
    <w:abstractNumId w:val="9"/>
  </w:num>
  <w:num w:numId="16" w16cid:durableId="778985961">
    <w:abstractNumId w:val="16"/>
  </w:num>
  <w:num w:numId="17" w16cid:durableId="857621651">
    <w:abstractNumId w:val="0"/>
  </w:num>
  <w:num w:numId="18" w16cid:durableId="49690676">
    <w:abstractNumId w:val="11"/>
  </w:num>
  <w:num w:numId="19" w16cid:durableId="1647514819">
    <w:abstractNumId w:val="8"/>
  </w:num>
  <w:num w:numId="20" w16cid:durableId="1895656851">
    <w:abstractNumId w:val="17"/>
  </w:num>
  <w:num w:numId="21" w16cid:durableId="17600619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963"/>
    <w:rsid w:val="00070EA8"/>
    <w:rsid w:val="00203CE5"/>
    <w:rsid w:val="00417440"/>
    <w:rsid w:val="0053166B"/>
    <w:rsid w:val="006C0044"/>
    <w:rsid w:val="008819A5"/>
    <w:rsid w:val="00B10D6B"/>
    <w:rsid w:val="00B16EC4"/>
    <w:rsid w:val="00B50A47"/>
    <w:rsid w:val="00BF5F4C"/>
    <w:rsid w:val="00D44B8A"/>
    <w:rsid w:val="00DD4EA9"/>
    <w:rsid w:val="00E869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F1429"/>
  <w15:chartTrackingRefBased/>
  <w15:docId w15:val="{6D940386-E3E7-4C72-8B68-93B68D7B5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9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69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869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869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69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69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69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69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69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9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69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69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869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69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69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69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69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6963"/>
    <w:rPr>
      <w:rFonts w:eastAsiaTheme="majorEastAsia" w:cstheme="majorBidi"/>
      <w:color w:val="272727" w:themeColor="text1" w:themeTint="D8"/>
    </w:rPr>
  </w:style>
  <w:style w:type="paragraph" w:styleId="Title">
    <w:name w:val="Title"/>
    <w:basedOn w:val="Normal"/>
    <w:next w:val="Normal"/>
    <w:link w:val="TitleChar"/>
    <w:uiPriority w:val="10"/>
    <w:qFormat/>
    <w:rsid w:val="00E869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9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69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69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6963"/>
    <w:pPr>
      <w:spacing w:before="160"/>
      <w:jc w:val="center"/>
    </w:pPr>
    <w:rPr>
      <w:i/>
      <w:iCs/>
      <w:color w:val="404040" w:themeColor="text1" w:themeTint="BF"/>
    </w:rPr>
  </w:style>
  <w:style w:type="character" w:customStyle="1" w:styleId="QuoteChar">
    <w:name w:val="Quote Char"/>
    <w:basedOn w:val="DefaultParagraphFont"/>
    <w:link w:val="Quote"/>
    <w:uiPriority w:val="29"/>
    <w:rsid w:val="00E86963"/>
    <w:rPr>
      <w:i/>
      <w:iCs/>
      <w:color w:val="404040" w:themeColor="text1" w:themeTint="BF"/>
    </w:rPr>
  </w:style>
  <w:style w:type="paragraph" w:styleId="ListParagraph">
    <w:name w:val="List Paragraph"/>
    <w:basedOn w:val="Normal"/>
    <w:uiPriority w:val="34"/>
    <w:qFormat/>
    <w:rsid w:val="00E86963"/>
    <w:pPr>
      <w:ind w:left="720"/>
      <w:contextualSpacing/>
    </w:pPr>
  </w:style>
  <w:style w:type="character" w:styleId="IntenseEmphasis">
    <w:name w:val="Intense Emphasis"/>
    <w:basedOn w:val="DefaultParagraphFont"/>
    <w:uiPriority w:val="21"/>
    <w:qFormat/>
    <w:rsid w:val="00E86963"/>
    <w:rPr>
      <w:i/>
      <w:iCs/>
      <w:color w:val="0F4761" w:themeColor="accent1" w:themeShade="BF"/>
    </w:rPr>
  </w:style>
  <w:style w:type="paragraph" w:styleId="IntenseQuote">
    <w:name w:val="Intense Quote"/>
    <w:basedOn w:val="Normal"/>
    <w:next w:val="Normal"/>
    <w:link w:val="IntenseQuoteChar"/>
    <w:uiPriority w:val="30"/>
    <w:qFormat/>
    <w:rsid w:val="00E869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6963"/>
    <w:rPr>
      <w:i/>
      <w:iCs/>
      <w:color w:val="0F4761" w:themeColor="accent1" w:themeShade="BF"/>
    </w:rPr>
  </w:style>
  <w:style w:type="character" w:styleId="IntenseReference">
    <w:name w:val="Intense Reference"/>
    <w:basedOn w:val="DefaultParagraphFont"/>
    <w:uiPriority w:val="32"/>
    <w:qFormat/>
    <w:rsid w:val="00E86963"/>
    <w:rPr>
      <w:b/>
      <w:bCs/>
      <w:smallCaps/>
      <w:color w:val="0F4761" w:themeColor="accent1" w:themeShade="BF"/>
      <w:spacing w:val="5"/>
    </w:rPr>
  </w:style>
  <w:style w:type="paragraph" w:styleId="NormalWeb">
    <w:name w:val="Normal (Web)"/>
    <w:basedOn w:val="Normal"/>
    <w:uiPriority w:val="99"/>
    <w:semiHidden/>
    <w:unhideWhenUsed/>
    <w:rsid w:val="00E8696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86963"/>
    <w:rPr>
      <w:b/>
      <w:bCs/>
    </w:rPr>
  </w:style>
  <w:style w:type="character" w:customStyle="1" w:styleId="line-clamp-1">
    <w:name w:val="line-clamp-1"/>
    <w:basedOn w:val="DefaultParagraphFont"/>
    <w:rsid w:val="00417440"/>
  </w:style>
  <w:style w:type="character" w:customStyle="1" w:styleId="text-token-text-secondary">
    <w:name w:val="text-token-text-secondary"/>
    <w:basedOn w:val="DefaultParagraphFont"/>
    <w:rsid w:val="00070EA8"/>
  </w:style>
  <w:style w:type="character" w:styleId="Hyperlink">
    <w:name w:val="Hyperlink"/>
    <w:basedOn w:val="DefaultParagraphFont"/>
    <w:uiPriority w:val="99"/>
    <w:unhideWhenUsed/>
    <w:rsid w:val="00070EA8"/>
    <w:rPr>
      <w:color w:val="0000FF"/>
      <w:u w:val="single"/>
    </w:rPr>
  </w:style>
  <w:style w:type="paragraph" w:customStyle="1" w:styleId="first-token">
    <w:name w:val="first-token"/>
    <w:basedOn w:val="Normal"/>
    <w:rsid w:val="00BF5F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330915">
      <w:bodyDiv w:val="1"/>
      <w:marLeft w:val="0"/>
      <w:marRight w:val="0"/>
      <w:marTop w:val="0"/>
      <w:marBottom w:val="0"/>
      <w:divBdr>
        <w:top w:val="none" w:sz="0" w:space="0" w:color="auto"/>
        <w:left w:val="none" w:sz="0" w:space="0" w:color="auto"/>
        <w:bottom w:val="none" w:sz="0" w:space="0" w:color="auto"/>
        <w:right w:val="none" w:sz="0" w:space="0" w:color="auto"/>
      </w:divBdr>
    </w:div>
    <w:div w:id="703948161">
      <w:bodyDiv w:val="1"/>
      <w:marLeft w:val="0"/>
      <w:marRight w:val="0"/>
      <w:marTop w:val="0"/>
      <w:marBottom w:val="0"/>
      <w:divBdr>
        <w:top w:val="none" w:sz="0" w:space="0" w:color="auto"/>
        <w:left w:val="none" w:sz="0" w:space="0" w:color="auto"/>
        <w:bottom w:val="none" w:sz="0" w:space="0" w:color="auto"/>
        <w:right w:val="none" w:sz="0" w:space="0" w:color="auto"/>
      </w:divBdr>
    </w:div>
    <w:div w:id="1387559020">
      <w:bodyDiv w:val="1"/>
      <w:marLeft w:val="0"/>
      <w:marRight w:val="0"/>
      <w:marTop w:val="0"/>
      <w:marBottom w:val="0"/>
      <w:divBdr>
        <w:top w:val="none" w:sz="0" w:space="0" w:color="auto"/>
        <w:left w:val="none" w:sz="0" w:space="0" w:color="auto"/>
        <w:bottom w:val="none" w:sz="0" w:space="0" w:color="auto"/>
        <w:right w:val="none" w:sz="0" w:space="0" w:color="auto"/>
      </w:divBdr>
      <w:divsChild>
        <w:div w:id="336034764">
          <w:marLeft w:val="0"/>
          <w:marRight w:val="0"/>
          <w:marTop w:val="0"/>
          <w:marBottom w:val="0"/>
          <w:divBdr>
            <w:top w:val="none" w:sz="0" w:space="0" w:color="auto"/>
            <w:left w:val="none" w:sz="0" w:space="0" w:color="auto"/>
            <w:bottom w:val="none" w:sz="0" w:space="0" w:color="auto"/>
            <w:right w:val="none" w:sz="0" w:space="0" w:color="auto"/>
          </w:divBdr>
          <w:divsChild>
            <w:div w:id="1200124823">
              <w:marLeft w:val="0"/>
              <w:marRight w:val="0"/>
              <w:marTop w:val="0"/>
              <w:marBottom w:val="0"/>
              <w:divBdr>
                <w:top w:val="none" w:sz="0" w:space="0" w:color="auto"/>
                <w:left w:val="none" w:sz="0" w:space="0" w:color="auto"/>
                <w:bottom w:val="none" w:sz="0" w:space="0" w:color="auto"/>
                <w:right w:val="none" w:sz="0" w:space="0" w:color="auto"/>
              </w:divBdr>
              <w:divsChild>
                <w:div w:id="1002659191">
                  <w:marLeft w:val="0"/>
                  <w:marRight w:val="0"/>
                  <w:marTop w:val="0"/>
                  <w:marBottom w:val="0"/>
                  <w:divBdr>
                    <w:top w:val="none" w:sz="0" w:space="0" w:color="auto"/>
                    <w:left w:val="none" w:sz="0" w:space="0" w:color="auto"/>
                    <w:bottom w:val="none" w:sz="0" w:space="0" w:color="auto"/>
                    <w:right w:val="none" w:sz="0" w:space="0" w:color="auto"/>
                  </w:divBdr>
                  <w:divsChild>
                    <w:div w:id="200108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877065">
          <w:marLeft w:val="0"/>
          <w:marRight w:val="0"/>
          <w:marTop w:val="0"/>
          <w:marBottom w:val="0"/>
          <w:divBdr>
            <w:top w:val="none" w:sz="0" w:space="0" w:color="auto"/>
            <w:left w:val="none" w:sz="0" w:space="0" w:color="auto"/>
            <w:bottom w:val="none" w:sz="0" w:space="0" w:color="auto"/>
            <w:right w:val="none" w:sz="0" w:space="0" w:color="auto"/>
          </w:divBdr>
          <w:divsChild>
            <w:div w:id="1671760081">
              <w:marLeft w:val="0"/>
              <w:marRight w:val="0"/>
              <w:marTop w:val="0"/>
              <w:marBottom w:val="0"/>
              <w:divBdr>
                <w:top w:val="none" w:sz="0" w:space="0" w:color="auto"/>
                <w:left w:val="none" w:sz="0" w:space="0" w:color="auto"/>
                <w:bottom w:val="none" w:sz="0" w:space="0" w:color="auto"/>
                <w:right w:val="none" w:sz="0" w:space="0" w:color="auto"/>
              </w:divBdr>
              <w:divsChild>
                <w:div w:id="1981880774">
                  <w:marLeft w:val="0"/>
                  <w:marRight w:val="0"/>
                  <w:marTop w:val="0"/>
                  <w:marBottom w:val="0"/>
                  <w:divBdr>
                    <w:top w:val="none" w:sz="0" w:space="0" w:color="auto"/>
                    <w:left w:val="none" w:sz="0" w:space="0" w:color="auto"/>
                    <w:bottom w:val="none" w:sz="0" w:space="0" w:color="auto"/>
                    <w:right w:val="none" w:sz="0" w:space="0" w:color="auto"/>
                  </w:divBdr>
                  <w:divsChild>
                    <w:div w:id="209099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520783">
      <w:bodyDiv w:val="1"/>
      <w:marLeft w:val="0"/>
      <w:marRight w:val="0"/>
      <w:marTop w:val="0"/>
      <w:marBottom w:val="0"/>
      <w:divBdr>
        <w:top w:val="none" w:sz="0" w:space="0" w:color="auto"/>
        <w:left w:val="none" w:sz="0" w:space="0" w:color="auto"/>
        <w:bottom w:val="none" w:sz="0" w:space="0" w:color="auto"/>
        <w:right w:val="none" w:sz="0" w:space="0" w:color="auto"/>
      </w:divBdr>
    </w:div>
    <w:div w:id="213748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9</Pages>
  <Words>2335</Words>
  <Characters>13316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SINGH</dc:creator>
  <cp:keywords/>
  <dc:description/>
  <cp:lastModifiedBy>RISHIKA SINGH</cp:lastModifiedBy>
  <cp:revision>1</cp:revision>
  <dcterms:created xsi:type="dcterms:W3CDTF">2024-06-12T10:17:00Z</dcterms:created>
  <dcterms:modified xsi:type="dcterms:W3CDTF">2024-06-12T11:10:00Z</dcterms:modified>
</cp:coreProperties>
</file>