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C3ECF" w14:textId="3AB4891B" w:rsidR="005F3212" w:rsidRPr="005F3212" w:rsidRDefault="005F3212" w:rsidP="005F3212">
      <w:pPr>
        <w:rPr>
          <w:b/>
          <w:bCs/>
          <w:sz w:val="36"/>
          <w:szCs w:val="36"/>
          <w:lang w:eastAsia="en-IN"/>
        </w:rPr>
      </w:pPr>
      <w:r>
        <w:rPr>
          <w:b/>
          <w:bCs/>
          <w:sz w:val="36"/>
          <w:szCs w:val="36"/>
          <w:lang w:eastAsia="en-IN"/>
        </w:rPr>
        <w:t>1.Banking System Globalization in US banking sector</w:t>
      </w:r>
    </w:p>
    <w:p w14:paraId="0B8DAC44" w14:textId="77777777" w:rsidR="005F3212" w:rsidRDefault="005F3212" w:rsidP="005F3212">
      <w:pPr>
        <w:rPr>
          <w:lang w:eastAsia="en-IN"/>
        </w:rPr>
      </w:pPr>
    </w:p>
    <w:p w14:paraId="37D7ED10" w14:textId="13825F46" w:rsidR="00CB44C5" w:rsidRPr="00CB44C5" w:rsidRDefault="00CB44C5" w:rsidP="005F3212">
      <w:pPr>
        <w:rPr>
          <w:lang w:eastAsia="en-IN"/>
        </w:rPr>
      </w:pPr>
      <w:r w:rsidRPr="00CB44C5">
        <w:rPr>
          <w:lang w:eastAsia="en-IN"/>
        </w:rPr>
        <w:t>Banking system globalization has significantly impacted the U.S. banking system over the past few decades. This process involves the integration of domestic banking markets with international financial markets, allowing for greater capital flows, cross-border lending, and foreign investments in domestic banks. Below is an analysis of the globalization of the U.S. banking system, supported by facts, figures, and tables.</w:t>
      </w:r>
    </w:p>
    <w:p w14:paraId="71AE4B16" w14:textId="77777777" w:rsidR="00CB44C5" w:rsidRPr="00CB44C5" w:rsidRDefault="00CB44C5" w:rsidP="005F3212">
      <w:pPr>
        <w:rPr>
          <w:b/>
          <w:bCs/>
          <w:lang w:eastAsia="en-IN"/>
        </w:rPr>
      </w:pPr>
      <w:r w:rsidRPr="00CB44C5">
        <w:rPr>
          <w:b/>
          <w:bCs/>
          <w:lang w:eastAsia="en-IN"/>
        </w:rPr>
        <w:t>Key Aspects of Banking System Globalization</w:t>
      </w:r>
    </w:p>
    <w:p w14:paraId="468387BF" w14:textId="77777777" w:rsidR="00CB44C5" w:rsidRPr="00CB44C5" w:rsidRDefault="00CB44C5" w:rsidP="005F3212">
      <w:pPr>
        <w:rPr>
          <w:b/>
          <w:bCs/>
          <w:lang w:eastAsia="en-IN"/>
        </w:rPr>
      </w:pPr>
      <w:r w:rsidRPr="00CB44C5">
        <w:rPr>
          <w:b/>
          <w:bCs/>
          <w:lang w:eastAsia="en-IN"/>
        </w:rPr>
        <w:t>Foreign Bank Penetration:</w:t>
      </w:r>
    </w:p>
    <w:p w14:paraId="3EFB94DC" w14:textId="77777777" w:rsidR="00CB44C5" w:rsidRPr="00CB44C5" w:rsidRDefault="00CB44C5" w:rsidP="005F3212">
      <w:pPr>
        <w:rPr>
          <w:lang w:eastAsia="en-IN"/>
        </w:rPr>
      </w:pPr>
      <w:r w:rsidRPr="00CB44C5">
        <w:rPr>
          <w:lang w:eastAsia="en-IN"/>
        </w:rPr>
        <w:t>The number of foreign banks operating in the U.S. has grown over the years. As of 2023, there are approximately 144 foreign banks from 51 countries operating branches, agencies, and representative offices in the U.S.</w:t>
      </w:r>
    </w:p>
    <w:p w14:paraId="548A9A08" w14:textId="77777777" w:rsidR="00CB44C5" w:rsidRPr="00CB44C5" w:rsidRDefault="00CB44C5" w:rsidP="005F3212">
      <w:pPr>
        <w:rPr>
          <w:lang w:eastAsia="en-IN"/>
        </w:rPr>
      </w:pPr>
      <w:r w:rsidRPr="00CB44C5">
        <w:rPr>
          <w:lang w:eastAsia="en-IN"/>
        </w:rPr>
        <w:t>Assets held by foreign banks in the U.S. have increased significantly, with foreign-related institutions holding about $4 trillion in assets as of the end of 2022.</w:t>
      </w:r>
    </w:p>
    <w:p w14:paraId="64440423" w14:textId="77777777" w:rsidR="00CB44C5" w:rsidRPr="00CB44C5" w:rsidRDefault="00CB44C5" w:rsidP="005F3212">
      <w:pPr>
        <w:rPr>
          <w:b/>
          <w:bCs/>
          <w:lang w:eastAsia="en-IN"/>
        </w:rPr>
      </w:pPr>
      <w:r w:rsidRPr="00CB44C5">
        <w:rPr>
          <w:b/>
          <w:bCs/>
          <w:lang w:eastAsia="en-IN"/>
        </w:rPr>
        <w:t>Cross-Border Lending:</w:t>
      </w:r>
    </w:p>
    <w:p w14:paraId="205FADC0" w14:textId="77777777" w:rsidR="00CB44C5" w:rsidRPr="00CB44C5" w:rsidRDefault="00CB44C5" w:rsidP="005F3212">
      <w:pPr>
        <w:rPr>
          <w:lang w:eastAsia="en-IN"/>
        </w:rPr>
      </w:pPr>
      <w:r w:rsidRPr="00CB44C5">
        <w:rPr>
          <w:lang w:eastAsia="en-IN"/>
        </w:rPr>
        <w:t>Cross-border lending by U.S. banks has surged. According to the Bank for International Settlements (BIS), U.S. banks' cross-border claims were about $4.5 trillion at the end of 2022.</w:t>
      </w:r>
    </w:p>
    <w:p w14:paraId="11995BF8" w14:textId="77777777" w:rsidR="00CB44C5" w:rsidRPr="00CB44C5" w:rsidRDefault="00CB44C5" w:rsidP="005F3212">
      <w:pPr>
        <w:rPr>
          <w:lang w:eastAsia="en-IN"/>
        </w:rPr>
      </w:pPr>
      <w:r w:rsidRPr="00CB44C5">
        <w:rPr>
          <w:lang w:eastAsia="en-IN"/>
        </w:rPr>
        <w:t>U.S. banks have also increased their foreign assets, which were valued at approximately $10 trillion in 2023.</w:t>
      </w:r>
    </w:p>
    <w:p w14:paraId="4369FBEE" w14:textId="77777777" w:rsidR="00CB44C5" w:rsidRPr="00CB44C5" w:rsidRDefault="00CB44C5" w:rsidP="005F3212">
      <w:pPr>
        <w:rPr>
          <w:b/>
          <w:bCs/>
          <w:lang w:eastAsia="en-IN"/>
        </w:rPr>
      </w:pPr>
      <w:r w:rsidRPr="00CB44C5">
        <w:rPr>
          <w:b/>
          <w:bCs/>
          <w:lang w:eastAsia="en-IN"/>
        </w:rPr>
        <w:t>Foreign Direct Investment (FDI) in U.S. Banks:</w:t>
      </w:r>
    </w:p>
    <w:p w14:paraId="53F2B433" w14:textId="77777777" w:rsidR="00CB44C5" w:rsidRPr="00CB44C5" w:rsidRDefault="00CB44C5" w:rsidP="005F3212">
      <w:pPr>
        <w:rPr>
          <w:lang w:eastAsia="en-IN"/>
        </w:rPr>
      </w:pPr>
      <w:r w:rsidRPr="00CB44C5">
        <w:rPr>
          <w:lang w:eastAsia="en-IN"/>
        </w:rPr>
        <w:t>The total stock of FDI in the U.S. banking sector stood at approximately $500 billion in 2022. This indicates a strong interest from foreign investors in the U.S. banking market.</w:t>
      </w:r>
    </w:p>
    <w:p w14:paraId="20F7E118" w14:textId="77777777" w:rsidR="00CB44C5" w:rsidRPr="00CB44C5" w:rsidRDefault="00CB44C5" w:rsidP="005F3212">
      <w:pPr>
        <w:rPr>
          <w:lang w:eastAsia="en-IN"/>
        </w:rPr>
      </w:pPr>
      <w:r w:rsidRPr="00CB44C5">
        <w:rPr>
          <w:lang w:eastAsia="en-IN"/>
        </w:rPr>
        <w:t>Major investors include countries like the UK, Japan, and Canada.</w:t>
      </w:r>
    </w:p>
    <w:p w14:paraId="60832404" w14:textId="77777777" w:rsidR="00CB44C5" w:rsidRPr="00CB44C5" w:rsidRDefault="00CB44C5" w:rsidP="005F3212">
      <w:pPr>
        <w:rPr>
          <w:b/>
          <w:bCs/>
          <w:lang w:eastAsia="en-IN"/>
        </w:rPr>
      </w:pPr>
      <w:r w:rsidRPr="00CB44C5">
        <w:rPr>
          <w:b/>
          <w:bCs/>
          <w:lang w:eastAsia="en-IN"/>
        </w:rPr>
        <w:t>Global Financial Institutions:</w:t>
      </w:r>
    </w:p>
    <w:p w14:paraId="2209A68A" w14:textId="77777777" w:rsidR="00CB44C5" w:rsidRPr="00CB44C5" w:rsidRDefault="00CB44C5" w:rsidP="005F3212">
      <w:pPr>
        <w:rPr>
          <w:lang w:eastAsia="en-IN"/>
        </w:rPr>
      </w:pPr>
      <w:r w:rsidRPr="00CB44C5">
        <w:rPr>
          <w:lang w:eastAsia="en-IN"/>
        </w:rPr>
        <w:t>Several U.S. banks are among the largest in the world by assets. As of 2023, JPMorgan Chase, Bank of America, and Citigroup are in the top 10 global banks.</w:t>
      </w:r>
    </w:p>
    <w:p w14:paraId="6746C3FD" w14:textId="77777777" w:rsidR="00CB44C5" w:rsidRPr="00CB44C5" w:rsidRDefault="00CB44C5" w:rsidP="005F3212">
      <w:pPr>
        <w:rPr>
          <w:lang w:eastAsia="en-IN"/>
        </w:rPr>
      </w:pPr>
      <w:r w:rsidRPr="00CB44C5">
        <w:rPr>
          <w:lang w:eastAsia="en-IN"/>
        </w:rPr>
        <w:t>These banks have extensive international operations, with significant portions of their revenue coming from abroad. For instance, about 30% of Citigroup's revenue comes from international operations.</w:t>
      </w:r>
    </w:p>
    <w:p w14:paraId="20D9A22B" w14:textId="77777777" w:rsidR="00CB44C5" w:rsidRPr="00CB44C5" w:rsidRDefault="00CB44C5" w:rsidP="005F3212">
      <w:pPr>
        <w:rPr>
          <w:b/>
          <w:bCs/>
          <w:lang w:eastAsia="en-IN"/>
        </w:rPr>
      </w:pPr>
      <w:r w:rsidRPr="00CB44C5">
        <w:rPr>
          <w:b/>
          <w:bCs/>
          <w:lang w:eastAsia="en-IN"/>
        </w:rPr>
        <w:t>Facts and Figures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0"/>
        <w:gridCol w:w="4416"/>
      </w:tblGrid>
      <w:tr w:rsidR="00CB44C5" w:rsidRPr="00CB44C5" w14:paraId="4E16456C" w14:textId="77777777" w:rsidTr="005F3212">
        <w:trPr>
          <w:tblHeader/>
          <w:tblCellSpacing w:w="15" w:type="dxa"/>
        </w:trPr>
        <w:tc>
          <w:tcPr>
            <w:tcW w:w="0" w:type="auto"/>
            <w:tcBorders>
              <w:top w:val="single" w:sz="4" w:space="0" w:color="auto"/>
              <w:left w:val="single" w:sz="4" w:space="0" w:color="auto"/>
            </w:tcBorders>
            <w:vAlign w:val="center"/>
            <w:hideMark/>
          </w:tcPr>
          <w:p w14:paraId="582F1C9E" w14:textId="77777777" w:rsidR="00CB44C5" w:rsidRPr="00CB44C5" w:rsidRDefault="00CB44C5" w:rsidP="005F3212">
            <w:pPr>
              <w:rPr>
                <w:b/>
                <w:bCs/>
                <w:lang w:eastAsia="en-IN"/>
              </w:rPr>
            </w:pPr>
            <w:r w:rsidRPr="00CB44C5">
              <w:rPr>
                <w:b/>
                <w:bCs/>
                <w:lang w:eastAsia="en-IN"/>
              </w:rPr>
              <w:t>Metric</w:t>
            </w:r>
          </w:p>
        </w:tc>
        <w:tc>
          <w:tcPr>
            <w:tcW w:w="0" w:type="auto"/>
            <w:tcBorders>
              <w:top w:val="single" w:sz="4" w:space="0" w:color="auto"/>
              <w:left w:val="single" w:sz="4" w:space="0" w:color="auto"/>
              <w:right w:val="single" w:sz="4" w:space="0" w:color="auto"/>
            </w:tcBorders>
            <w:vAlign w:val="center"/>
            <w:hideMark/>
          </w:tcPr>
          <w:p w14:paraId="2269C0CD" w14:textId="77777777" w:rsidR="00CB44C5" w:rsidRPr="00CB44C5" w:rsidRDefault="00CB44C5" w:rsidP="005F3212">
            <w:pPr>
              <w:rPr>
                <w:b/>
                <w:bCs/>
                <w:lang w:eastAsia="en-IN"/>
              </w:rPr>
            </w:pPr>
            <w:r w:rsidRPr="00CB44C5">
              <w:rPr>
                <w:b/>
                <w:bCs/>
                <w:lang w:eastAsia="en-IN"/>
              </w:rPr>
              <w:t>Value (2023)</w:t>
            </w:r>
          </w:p>
        </w:tc>
      </w:tr>
      <w:tr w:rsidR="00CB44C5" w:rsidRPr="00CB44C5" w14:paraId="2D95744A" w14:textId="77777777" w:rsidTr="005F3212">
        <w:trPr>
          <w:tblCellSpacing w:w="15" w:type="dxa"/>
        </w:trPr>
        <w:tc>
          <w:tcPr>
            <w:tcW w:w="0" w:type="auto"/>
            <w:tcBorders>
              <w:top w:val="single" w:sz="4" w:space="0" w:color="auto"/>
              <w:left w:val="single" w:sz="4" w:space="0" w:color="auto"/>
            </w:tcBorders>
            <w:vAlign w:val="center"/>
            <w:hideMark/>
          </w:tcPr>
          <w:p w14:paraId="47722EFA" w14:textId="77777777" w:rsidR="00CB44C5" w:rsidRPr="00CB44C5" w:rsidRDefault="00CB44C5" w:rsidP="005F3212">
            <w:pPr>
              <w:rPr>
                <w:lang w:eastAsia="en-IN"/>
              </w:rPr>
            </w:pPr>
            <w:r w:rsidRPr="00CB44C5">
              <w:rPr>
                <w:lang w:eastAsia="en-IN"/>
              </w:rPr>
              <w:t>Foreign banks operating in the U.S.</w:t>
            </w:r>
          </w:p>
        </w:tc>
        <w:tc>
          <w:tcPr>
            <w:tcW w:w="0" w:type="auto"/>
            <w:tcBorders>
              <w:top w:val="single" w:sz="4" w:space="0" w:color="auto"/>
              <w:left w:val="single" w:sz="4" w:space="0" w:color="auto"/>
              <w:right w:val="single" w:sz="4" w:space="0" w:color="auto"/>
            </w:tcBorders>
            <w:vAlign w:val="center"/>
            <w:hideMark/>
          </w:tcPr>
          <w:p w14:paraId="0281187F" w14:textId="77777777" w:rsidR="00CB44C5" w:rsidRPr="00CB44C5" w:rsidRDefault="00CB44C5" w:rsidP="005F3212">
            <w:pPr>
              <w:rPr>
                <w:lang w:eastAsia="en-IN"/>
              </w:rPr>
            </w:pPr>
            <w:r w:rsidRPr="00CB44C5">
              <w:rPr>
                <w:lang w:eastAsia="en-IN"/>
              </w:rPr>
              <w:t>144</w:t>
            </w:r>
          </w:p>
        </w:tc>
      </w:tr>
      <w:tr w:rsidR="00CB44C5" w:rsidRPr="00CB44C5" w14:paraId="43F36FCA" w14:textId="77777777" w:rsidTr="005F3212">
        <w:trPr>
          <w:tblCellSpacing w:w="15" w:type="dxa"/>
        </w:trPr>
        <w:tc>
          <w:tcPr>
            <w:tcW w:w="0" w:type="auto"/>
            <w:tcBorders>
              <w:top w:val="single" w:sz="4" w:space="0" w:color="auto"/>
              <w:left w:val="single" w:sz="4" w:space="0" w:color="auto"/>
            </w:tcBorders>
            <w:vAlign w:val="center"/>
            <w:hideMark/>
          </w:tcPr>
          <w:p w14:paraId="599AFE8B" w14:textId="77777777" w:rsidR="00CB44C5" w:rsidRPr="00CB44C5" w:rsidRDefault="00CB44C5" w:rsidP="005F3212">
            <w:pPr>
              <w:rPr>
                <w:lang w:eastAsia="en-IN"/>
              </w:rPr>
            </w:pPr>
            <w:r w:rsidRPr="00CB44C5">
              <w:rPr>
                <w:lang w:eastAsia="en-IN"/>
              </w:rPr>
              <w:t>Assets held by foreign banks in the U.S.</w:t>
            </w:r>
          </w:p>
        </w:tc>
        <w:tc>
          <w:tcPr>
            <w:tcW w:w="0" w:type="auto"/>
            <w:tcBorders>
              <w:top w:val="single" w:sz="4" w:space="0" w:color="auto"/>
              <w:left w:val="single" w:sz="4" w:space="0" w:color="auto"/>
              <w:right w:val="single" w:sz="4" w:space="0" w:color="auto"/>
            </w:tcBorders>
            <w:vAlign w:val="center"/>
            <w:hideMark/>
          </w:tcPr>
          <w:p w14:paraId="2A240C2A" w14:textId="77777777" w:rsidR="00CB44C5" w:rsidRPr="00CB44C5" w:rsidRDefault="00CB44C5" w:rsidP="005F3212">
            <w:pPr>
              <w:rPr>
                <w:lang w:eastAsia="en-IN"/>
              </w:rPr>
            </w:pPr>
            <w:r w:rsidRPr="00CB44C5">
              <w:rPr>
                <w:lang w:eastAsia="en-IN"/>
              </w:rPr>
              <w:t>$4 trillion</w:t>
            </w:r>
          </w:p>
        </w:tc>
      </w:tr>
      <w:tr w:rsidR="00CB44C5" w:rsidRPr="00CB44C5" w14:paraId="0088EA67" w14:textId="77777777" w:rsidTr="005F3212">
        <w:trPr>
          <w:tblCellSpacing w:w="15" w:type="dxa"/>
        </w:trPr>
        <w:tc>
          <w:tcPr>
            <w:tcW w:w="0" w:type="auto"/>
            <w:tcBorders>
              <w:top w:val="single" w:sz="4" w:space="0" w:color="auto"/>
              <w:left w:val="single" w:sz="4" w:space="0" w:color="auto"/>
            </w:tcBorders>
            <w:vAlign w:val="center"/>
            <w:hideMark/>
          </w:tcPr>
          <w:p w14:paraId="6D146BA0" w14:textId="77777777" w:rsidR="00CB44C5" w:rsidRPr="00CB44C5" w:rsidRDefault="00CB44C5" w:rsidP="005F3212">
            <w:pPr>
              <w:rPr>
                <w:lang w:eastAsia="en-IN"/>
              </w:rPr>
            </w:pPr>
            <w:r w:rsidRPr="00CB44C5">
              <w:rPr>
                <w:lang w:eastAsia="en-IN"/>
              </w:rPr>
              <w:t>U.S. banks' cross-border claims</w:t>
            </w:r>
          </w:p>
        </w:tc>
        <w:tc>
          <w:tcPr>
            <w:tcW w:w="0" w:type="auto"/>
            <w:tcBorders>
              <w:top w:val="single" w:sz="4" w:space="0" w:color="auto"/>
              <w:left w:val="single" w:sz="4" w:space="0" w:color="auto"/>
              <w:right w:val="single" w:sz="4" w:space="0" w:color="auto"/>
            </w:tcBorders>
            <w:vAlign w:val="center"/>
            <w:hideMark/>
          </w:tcPr>
          <w:p w14:paraId="4371D1C2" w14:textId="77777777" w:rsidR="00CB44C5" w:rsidRPr="00CB44C5" w:rsidRDefault="00CB44C5" w:rsidP="005F3212">
            <w:pPr>
              <w:rPr>
                <w:lang w:eastAsia="en-IN"/>
              </w:rPr>
            </w:pPr>
            <w:r w:rsidRPr="00CB44C5">
              <w:rPr>
                <w:lang w:eastAsia="en-IN"/>
              </w:rPr>
              <w:t>$4.5 trillion</w:t>
            </w:r>
          </w:p>
        </w:tc>
      </w:tr>
      <w:tr w:rsidR="00CB44C5" w:rsidRPr="00CB44C5" w14:paraId="1C5B3BEB" w14:textId="77777777" w:rsidTr="005F3212">
        <w:trPr>
          <w:tblCellSpacing w:w="15" w:type="dxa"/>
        </w:trPr>
        <w:tc>
          <w:tcPr>
            <w:tcW w:w="0" w:type="auto"/>
            <w:tcBorders>
              <w:top w:val="single" w:sz="4" w:space="0" w:color="auto"/>
              <w:left w:val="single" w:sz="4" w:space="0" w:color="auto"/>
            </w:tcBorders>
            <w:vAlign w:val="center"/>
            <w:hideMark/>
          </w:tcPr>
          <w:p w14:paraId="1F952C9D" w14:textId="77777777" w:rsidR="00CB44C5" w:rsidRPr="00CB44C5" w:rsidRDefault="00CB44C5" w:rsidP="005F3212">
            <w:pPr>
              <w:rPr>
                <w:lang w:eastAsia="en-IN"/>
              </w:rPr>
            </w:pPr>
            <w:r w:rsidRPr="00CB44C5">
              <w:rPr>
                <w:lang w:eastAsia="en-IN"/>
              </w:rPr>
              <w:lastRenderedPageBreak/>
              <w:t>U.S. banks' foreign assets</w:t>
            </w:r>
          </w:p>
        </w:tc>
        <w:tc>
          <w:tcPr>
            <w:tcW w:w="0" w:type="auto"/>
            <w:tcBorders>
              <w:top w:val="single" w:sz="4" w:space="0" w:color="auto"/>
              <w:left w:val="single" w:sz="4" w:space="0" w:color="auto"/>
              <w:right w:val="single" w:sz="4" w:space="0" w:color="auto"/>
            </w:tcBorders>
            <w:vAlign w:val="center"/>
            <w:hideMark/>
          </w:tcPr>
          <w:p w14:paraId="38DD498B" w14:textId="77777777" w:rsidR="00CB44C5" w:rsidRPr="00CB44C5" w:rsidRDefault="00CB44C5" w:rsidP="005F3212">
            <w:pPr>
              <w:rPr>
                <w:lang w:eastAsia="en-IN"/>
              </w:rPr>
            </w:pPr>
            <w:r w:rsidRPr="00CB44C5">
              <w:rPr>
                <w:lang w:eastAsia="en-IN"/>
              </w:rPr>
              <w:t>$10 trillion</w:t>
            </w:r>
          </w:p>
        </w:tc>
      </w:tr>
      <w:tr w:rsidR="00CB44C5" w:rsidRPr="00CB44C5" w14:paraId="7E71169F" w14:textId="77777777" w:rsidTr="005F3212">
        <w:trPr>
          <w:tblCellSpacing w:w="15" w:type="dxa"/>
        </w:trPr>
        <w:tc>
          <w:tcPr>
            <w:tcW w:w="0" w:type="auto"/>
            <w:tcBorders>
              <w:top w:val="single" w:sz="4" w:space="0" w:color="auto"/>
              <w:left w:val="single" w:sz="4" w:space="0" w:color="auto"/>
            </w:tcBorders>
            <w:vAlign w:val="center"/>
            <w:hideMark/>
          </w:tcPr>
          <w:p w14:paraId="73165D11" w14:textId="77777777" w:rsidR="00CB44C5" w:rsidRPr="00CB44C5" w:rsidRDefault="00CB44C5" w:rsidP="005F3212">
            <w:pPr>
              <w:rPr>
                <w:lang w:eastAsia="en-IN"/>
              </w:rPr>
            </w:pPr>
            <w:r w:rsidRPr="00CB44C5">
              <w:rPr>
                <w:lang w:eastAsia="en-IN"/>
              </w:rPr>
              <w:t>FDI stock in U.S. banking sector</w:t>
            </w:r>
          </w:p>
        </w:tc>
        <w:tc>
          <w:tcPr>
            <w:tcW w:w="0" w:type="auto"/>
            <w:tcBorders>
              <w:top w:val="single" w:sz="4" w:space="0" w:color="auto"/>
              <w:left w:val="single" w:sz="4" w:space="0" w:color="auto"/>
              <w:right w:val="single" w:sz="4" w:space="0" w:color="auto"/>
            </w:tcBorders>
            <w:vAlign w:val="center"/>
            <w:hideMark/>
          </w:tcPr>
          <w:p w14:paraId="3BFD45F2" w14:textId="77777777" w:rsidR="00CB44C5" w:rsidRPr="00CB44C5" w:rsidRDefault="00CB44C5" w:rsidP="005F3212">
            <w:pPr>
              <w:rPr>
                <w:lang w:eastAsia="en-IN"/>
              </w:rPr>
            </w:pPr>
            <w:r w:rsidRPr="00CB44C5">
              <w:rPr>
                <w:lang w:eastAsia="en-IN"/>
              </w:rPr>
              <w:t>$500 billion</w:t>
            </w:r>
          </w:p>
        </w:tc>
      </w:tr>
      <w:tr w:rsidR="00CB44C5" w:rsidRPr="00CB44C5" w14:paraId="2A000C15" w14:textId="77777777" w:rsidTr="005F3212">
        <w:trPr>
          <w:tblCellSpacing w:w="15" w:type="dxa"/>
        </w:trPr>
        <w:tc>
          <w:tcPr>
            <w:tcW w:w="0" w:type="auto"/>
            <w:tcBorders>
              <w:top w:val="single" w:sz="4" w:space="0" w:color="auto"/>
              <w:left w:val="single" w:sz="4" w:space="0" w:color="auto"/>
            </w:tcBorders>
            <w:vAlign w:val="center"/>
            <w:hideMark/>
          </w:tcPr>
          <w:p w14:paraId="537DDD6D" w14:textId="77777777" w:rsidR="00CB44C5" w:rsidRPr="00CB44C5" w:rsidRDefault="00CB44C5" w:rsidP="005F3212">
            <w:pPr>
              <w:rPr>
                <w:lang w:eastAsia="en-IN"/>
              </w:rPr>
            </w:pPr>
            <w:r w:rsidRPr="00CB44C5">
              <w:rPr>
                <w:lang w:eastAsia="en-IN"/>
              </w:rPr>
              <w:t>U.S. banks in top 10 global banks</w:t>
            </w:r>
          </w:p>
        </w:tc>
        <w:tc>
          <w:tcPr>
            <w:tcW w:w="0" w:type="auto"/>
            <w:tcBorders>
              <w:top w:val="single" w:sz="4" w:space="0" w:color="auto"/>
              <w:left w:val="single" w:sz="4" w:space="0" w:color="auto"/>
              <w:right w:val="single" w:sz="4" w:space="0" w:color="auto"/>
            </w:tcBorders>
            <w:vAlign w:val="center"/>
            <w:hideMark/>
          </w:tcPr>
          <w:p w14:paraId="1EA48E9E" w14:textId="77777777" w:rsidR="00CB44C5" w:rsidRPr="00CB44C5" w:rsidRDefault="00CB44C5" w:rsidP="005F3212">
            <w:pPr>
              <w:rPr>
                <w:lang w:eastAsia="en-IN"/>
              </w:rPr>
            </w:pPr>
            <w:r w:rsidRPr="00CB44C5">
              <w:rPr>
                <w:lang w:eastAsia="en-IN"/>
              </w:rPr>
              <w:t>3 (JPMorgan Chase, Bank of America, Citigroup)</w:t>
            </w:r>
          </w:p>
        </w:tc>
      </w:tr>
      <w:tr w:rsidR="00CB44C5" w:rsidRPr="00CB44C5" w14:paraId="4108B75C" w14:textId="77777777" w:rsidTr="005F3212">
        <w:trPr>
          <w:tblCellSpacing w:w="15" w:type="dxa"/>
        </w:trPr>
        <w:tc>
          <w:tcPr>
            <w:tcW w:w="0" w:type="auto"/>
            <w:tcBorders>
              <w:top w:val="single" w:sz="4" w:space="0" w:color="auto"/>
              <w:left w:val="single" w:sz="4" w:space="0" w:color="auto"/>
              <w:bottom w:val="single" w:sz="4" w:space="0" w:color="auto"/>
            </w:tcBorders>
            <w:vAlign w:val="center"/>
            <w:hideMark/>
          </w:tcPr>
          <w:p w14:paraId="5EDC3C72" w14:textId="77777777" w:rsidR="00CB44C5" w:rsidRPr="00CB44C5" w:rsidRDefault="00CB44C5" w:rsidP="005F3212">
            <w:pPr>
              <w:rPr>
                <w:lang w:eastAsia="en-IN"/>
              </w:rPr>
            </w:pPr>
            <w:r w:rsidRPr="00CB44C5">
              <w:rPr>
                <w:lang w:eastAsia="en-IN"/>
              </w:rPr>
              <w:t>Revenue from international operations (Citigroup)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4207D1CF" w14:textId="77777777" w:rsidR="00CB44C5" w:rsidRPr="00CB44C5" w:rsidRDefault="00CB44C5" w:rsidP="005F3212">
            <w:pPr>
              <w:rPr>
                <w:lang w:eastAsia="en-IN"/>
              </w:rPr>
            </w:pPr>
            <w:r w:rsidRPr="00CB44C5">
              <w:rPr>
                <w:lang w:eastAsia="en-IN"/>
              </w:rPr>
              <w:t>30%</w:t>
            </w:r>
          </w:p>
        </w:tc>
      </w:tr>
    </w:tbl>
    <w:p w14:paraId="066F1101" w14:textId="77777777" w:rsidR="00CB44C5" w:rsidRPr="00CB44C5" w:rsidRDefault="00CB44C5" w:rsidP="005F3212">
      <w:pPr>
        <w:rPr>
          <w:b/>
          <w:bCs/>
          <w:lang w:eastAsia="en-IN"/>
        </w:rPr>
      </w:pPr>
      <w:r w:rsidRPr="00CB44C5">
        <w:rPr>
          <w:b/>
          <w:bCs/>
          <w:lang w:eastAsia="en-IN"/>
        </w:rPr>
        <w:t>Impact on the U.S. Banking System</w:t>
      </w:r>
    </w:p>
    <w:p w14:paraId="6DEBF8E6" w14:textId="77777777" w:rsidR="00CB44C5" w:rsidRPr="00CB44C5" w:rsidRDefault="00CB44C5" w:rsidP="005F3212">
      <w:pPr>
        <w:rPr>
          <w:b/>
          <w:bCs/>
          <w:lang w:eastAsia="en-IN"/>
        </w:rPr>
      </w:pPr>
      <w:r w:rsidRPr="00CB44C5">
        <w:rPr>
          <w:b/>
          <w:bCs/>
          <w:lang w:eastAsia="en-IN"/>
        </w:rPr>
        <w:t>Increased Competition:</w:t>
      </w:r>
    </w:p>
    <w:p w14:paraId="10B88FD6" w14:textId="77777777" w:rsidR="00CB44C5" w:rsidRPr="00CB44C5" w:rsidRDefault="00CB44C5" w:rsidP="005F3212">
      <w:pPr>
        <w:rPr>
          <w:lang w:eastAsia="en-IN"/>
        </w:rPr>
      </w:pPr>
      <w:r w:rsidRPr="00CB44C5">
        <w:rPr>
          <w:lang w:eastAsia="en-IN"/>
        </w:rPr>
        <w:t>The entry of foreign banks has increased competition in the U.S. banking market, leading to better services and more innovative financial products.</w:t>
      </w:r>
    </w:p>
    <w:p w14:paraId="1372B706" w14:textId="77777777" w:rsidR="00CB44C5" w:rsidRPr="00CB44C5" w:rsidRDefault="00CB44C5" w:rsidP="005F3212">
      <w:pPr>
        <w:rPr>
          <w:lang w:eastAsia="en-IN"/>
        </w:rPr>
      </w:pPr>
      <w:r w:rsidRPr="00CB44C5">
        <w:rPr>
          <w:lang w:eastAsia="en-IN"/>
        </w:rPr>
        <w:t>U.S. banks have responded by expanding their international presence and enhancing their global operations.</w:t>
      </w:r>
    </w:p>
    <w:p w14:paraId="32E41016" w14:textId="77777777" w:rsidR="00CB44C5" w:rsidRPr="00CB44C5" w:rsidRDefault="00CB44C5" w:rsidP="005F3212">
      <w:pPr>
        <w:rPr>
          <w:b/>
          <w:bCs/>
          <w:lang w:eastAsia="en-IN"/>
        </w:rPr>
      </w:pPr>
      <w:r w:rsidRPr="00CB44C5">
        <w:rPr>
          <w:b/>
          <w:bCs/>
          <w:lang w:eastAsia="en-IN"/>
        </w:rPr>
        <w:t>Regulatory Changes:</w:t>
      </w:r>
    </w:p>
    <w:p w14:paraId="7249EA97" w14:textId="77777777" w:rsidR="00CB44C5" w:rsidRPr="00CB44C5" w:rsidRDefault="00CB44C5" w:rsidP="005F3212">
      <w:pPr>
        <w:rPr>
          <w:lang w:eastAsia="en-IN"/>
        </w:rPr>
      </w:pPr>
      <w:r w:rsidRPr="00CB44C5">
        <w:rPr>
          <w:lang w:eastAsia="en-IN"/>
        </w:rPr>
        <w:t>The globalization of banking has led to changes in the regulatory framework. U.S. banks are subject to both domestic regulations and international standards such as Basel III.</w:t>
      </w:r>
    </w:p>
    <w:p w14:paraId="18B99174" w14:textId="77777777" w:rsidR="00CB44C5" w:rsidRPr="00CB44C5" w:rsidRDefault="00CB44C5" w:rsidP="005F3212">
      <w:pPr>
        <w:rPr>
          <w:lang w:eastAsia="en-IN"/>
        </w:rPr>
      </w:pPr>
      <w:r w:rsidRPr="00CB44C5">
        <w:rPr>
          <w:lang w:eastAsia="en-IN"/>
        </w:rPr>
        <w:t>The Federal Reserve and other regulatory bodies have increased their focus on managing systemic risks associated with global banking activities.</w:t>
      </w:r>
    </w:p>
    <w:p w14:paraId="220DC684" w14:textId="77777777" w:rsidR="00CB44C5" w:rsidRPr="00CB44C5" w:rsidRDefault="00CB44C5" w:rsidP="005F3212">
      <w:pPr>
        <w:rPr>
          <w:b/>
          <w:bCs/>
          <w:lang w:eastAsia="en-IN"/>
        </w:rPr>
      </w:pPr>
      <w:r w:rsidRPr="00CB44C5">
        <w:rPr>
          <w:b/>
          <w:bCs/>
          <w:lang w:eastAsia="en-IN"/>
        </w:rPr>
        <w:t>Risk Diversification:</w:t>
      </w:r>
    </w:p>
    <w:p w14:paraId="05857259" w14:textId="77777777" w:rsidR="00CB44C5" w:rsidRPr="00CB44C5" w:rsidRDefault="00CB44C5" w:rsidP="005F3212">
      <w:pPr>
        <w:rPr>
          <w:lang w:eastAsia="en-IN"/>
        </w:rPr>
      </w:pPr>
      <w:r w:rsidRPr="00CB44C5">
        <w:rPr>
          <w:lang w:eastAsia="en-IN"/>
        </w:rPr>
        <w:t>By operating internationally, U.S. banks have been able to diversify their risk profiles. Exposure to different markets helps in spreading risk and reducing dependency on the domestic economy.</w:t>
      </w:r>
    </w:p>
    <w:p w14:paraId="6B80833E" w14:textId="77777777" w:rsidR="00CB44C5" w:rsidRPr="00CB44C5" w:rsidRDefault="00CB44C5" w:rsidP="005F3212">
      <w:pPr>
        <w:rPr>
          <w:lang w:eastAsia="en-IN"/>
        </w:rPr>
      </w:pPr>
      <w:r w:rsidRPr="00CB44C5">
        <w:rPr>
          <w:lang w:eastAsia="en-IN"/>
        </w:rPr>
        <w:t>However, it also exposes banks to global financial crises, as seen during the 2008 financial meltdown.</w:t>
      </w:r>
    </w:p>
    <w:p w14:paraId="3C37C33B" w14:textId="77777777" w:rsidR="00CB44C5" w:rsidRPr="00CB44C5" w:rsidRDefault="00CB44C5" w:rsidP="005F3212">
      <w:pPr>
        <w:rPr>
          <w:b/>
          <w:bCs/>
          <w:lang w:eastAsia="en-IN"/>
        </w:rPr>
      </w:pPr>
      <w:r w:rsidRPr="00CB44C5">
        <w:rPr>
          <w:b/>
          <w:bCs/>
          <w:lang w:eastAsia="en-IN"/>
        </w:rPr>
        <w:t>Technological Advancements:</w:t>
      </w:r>
    </w:p>
    <w:p w14:paraId="424982E1" w14:textId="77777777" w:rsidR="00CB44C5" w:rsidRPr="00CB44C5" w:rsidRDefault="00CB44C5" w:rsidP="005F3212">
      <w:pPr>
        <w:rPr>
          <w:lang w:eastAsia="en-IN"/>
        </w:rPr>
      </w:pPr>
      <w:r w:rsidRPr="00CB44C5">
        <w:rPr>
          <w:lang w:eastAsia="en-IN"/>
        </w:rPr>
        <w:t>Globalization has driven technological advancements in the U.S. banking system. There is increased adoption of fintech solutions to meet global standards and customer expectations.</w:t>
      </w:r>
    </w:p>
    <w:p w14:paraId="192EC06A" w14:textId="77777777" w:rsidR="00CB44C5" w:rsidRPr="00CB44C5" w:rsidRDefault="00CB44C5" w:rsidP="005F3212">
      <w:pPr>
        <w:rPr>
          <w:lang w:eastAsia="en-IN"/>
        </w:rPr>
      </w:pPr>
      <w:r w:rsidRPr="00CB44C5">
        <w:rPr>
          <w:lang w:eastAsia="en-IN"/>
        </w:rPr>
        <w:t>Innovations such as blockchain, digital currencies, and online banking have been propelled by the need to remain competitive in the global market.</w:t>
      </w:r>
    </w:p>
    <w:p w14:paraId="404F065E" w14:textId="77777777" w:rsidR="00CB44C5" w:rsidRPr="00CB44C5" w:rsidRDefault="00CB44C5" w:rsidP="005F3212">
      <w:pPr>
        <w:rPr>
          <w:lang w:eastAsia="en-IN"/>
        </w:rPr>
      </w:pPr>
      <w:r w:rsidRPr="00CB44C5">
        <w:rPr>
          <w:lang w:eastAsia="en-IN"/>
        </w:rPr>
        <w:t>Table 1: Assets of Foreign Banks in the U.S. (2010-2023)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
        <w:gridCol w:w="1778"/>
      </w:tblGrid>
      <w:tr w:rsidR="00CB44C5" w:rsidRPr="00CB44C5" w14:paraId="5A422BF6" w14:textId="77777777" w:rsidTr="00CB44C5">
        <w:trPr>
          <w:tblHeader/>
          <w:tblCellSpacing w:w="15" w:type="dxa"/>
        </w:trPr>
        <w:tc>
          <w:tcPr>
            <w:tcW w:w="0" w:type="auto"/>
            <w:tcBorders>
              <w:top w:val="single" w:sz="4" w:space="0" w:color="auto"/>
              <w:left w:val="single" w:sz="4" w:space="0" w:color="auto"/>
              <w:right w:val="single" w:sz="4" w:space="0" w:color="auto"/>
            </w:tcBorders>
            <w:vAlign w:val="center"/>
            <w:hideMark/>
          </w:tcPr>
          <w:p w14:paraId="32B42748" w14:textId="77777777" w:rsidR="00CB44C5" w:rsidRPr="00CB44C5" w:rsidRDefault="00CB44C5" w:rsidP="005F3212">
            <w:pPr>
              <w:rPr>
                <w:b/>
                <w:bCs/>
                <w:lang w:eastAsia="en-IN"/>
              </w:rPr>
            </w:pPr>
            <w:r w:rsidRPr="00CB44C5">
              <w:rPr>
                <w:b/>
                <w:bCs/>
                <w:lang w:eastAsia="en-IN"/>
              </w:rPr>
              <w:t>Year</w:t>
            </w:r>
          </w:p>
        </w:tc>
        <w:tc>
          <w:tcPr>
            <w:tcW w:w="0" w:type="auto"/>
            <w:tcBorders>
              <w:top w:val="single" w:sz="4" w:space="0" w:color="auto"/>
              <w:right w:val="single" w:sz="4" w:space="0" w:color="auto"/>
            </w:tcBorders>
            <w:vAlign w:val="center"/>
            <w:hideMark/>
          </w:tcPr>
          <w:p w14:paraId="4453B48C" w14:textId="77777777" w:rsidR="00CB44C5" w:rsidRPr="00CB44C5" w:rsidRDefault="00CB44C5" w:rsidP="005F3212">
            <w:pPr>
              <w:rPr>
                <w:b/>
                <w:bCs/>
                <w:lang w:eastAsia="en-IN"/>
              </w:rPr>
            </w:pPr>
            <w:r w:rsidRPr="00CB44C5">
              <w:rPr>
                <w:b/>
                <w:bCs/>
                <w:lang w:eastAsia="en-IN"/>
              </w:rPr>
              <w:t>Assets ($ Trillion)</w:t>
            </w:r>
          </w:p>
        </w:tc>
      </w:tr>
      <w:tr w:rsidR="00CB44C5" w:rsidRPr="00CB44C5" w14:paraId="449FECA0" w14:textId="77777777" w:rsidTr="00CB44C5">
        <w:trPr>
          <w:tblCellSpacing w:w="15" w:type="dxa"/>
        </w:trPr>
        <w:tc>
          <w:tcPr>
            <w:tcW w:w="0" w:type="auto"/>
            <w:tcBorders>
              <w:top w:val="single" w:sz="4" w:space="0" w:color="auto"/>
              <w:left w:val="single" w:sz="4" w:space="0" w:color="auto"/>
              <w:right w:val="single" w:sz="4" w:space="0" w:color="auto"/>
            </w:tcBorders>
            <w:vAlign w:val="center"/>
            <w:hideMark/>
          </w:tcPr>
          <w:p w14:paraId="379D52AF" w14:textId="77777777" w:rsidR="00CB44C5" w:rsidRPr="00CB44C5" w:rsidRDefault="00CB44C5" w:rsidP="005F3212">
            <w:pPr>
              <w:rPr>
                <w:lang w:eastAsia="en-IN"/>
              </w:rPr>
            </w:pPr>
            <w:r w:rsidRPr="00CB44C5">
              <w:rPr>
                <w:lang w:eastAsia="en-IN"/>
              </w:rPr>
              <w:t>2010</w:t>
            </w:r>
          </w:p>
        </w:tc>
        <w:tc>
          <w:tcPr>
            <w:tcW w:w="0" w:type="auto"/>
            <w:tcBorders>
              <w:top w:val="single" w:sz="4" w:space="0" w:color="auto"/>
              <w:right w:val="single" w:sz="4" w:space="0" w:color="auto"/>
            </w:tcBorders>
            <w:vAlign w:val="center"/>
            <w:hideMark/>
          </w:tcPr>
          <w:p w14:paraId="2979E701" w14:textId="77777777" w:rsidR="00CB44C5" w:rsidRPr="00CB44C5" w:rsidRDefault="00CB44C5" w:rsidP="005F3212">
            <w:pPr>
              <w:rPr>
                <w:lang w:eastAsia="en-IN"/>
              </w:rPr>
            </w:pPr>
            <w:r w:rsidRPr="00CB44C5">
              <w:rPr>
                <w:lang w:eastAsia="en-IN"/>
              </w:rPr>
              <w:t>2.0</w:t>
            </w:r>
          </w:p>
        </w:tc>
      </w:tr>
      <w:tr w:rsidR="00CB44C5" w:rsidRPr="00CB44C5" w14:paraId="27936778" w14:textId="77777777" w:rsidTr="00CB44C5">
        <w:trPr>
          <w:tblCellSpacing w:w="15" w:type="dxa"/>
        </w:trPr>
        <w:tc>
          <w:tcPr>
            <w:tcW w:w="0" w:type="auto"/>
            <w:tcBorders>
              <w:top w:val="single" w:sz="4" w:space="0" w:color="auto"/>
              <w:left w:val="single" w:sz="4" w:space="0" w:color="auto"/>
              <w:right w:val="single" w:sz="4" w:space="0" w:color="auto"/>
            </w:tcBorders>
            <w:vAlign w:val="center"/>
            <w:hideMark/>
          </w:tcPr>
          <w:p w14:paraId="4645991B" w14:textId="77777777" w:rsidR="00CB44C5" w:rsidRPr="00CB44C5" w:rsidRDefault="00CB44C5" w:rsidP="005F3212">
            <w:pPr>
              <w:rPr>
                <w:lang w:eastAsia="en-IN"/>
              </w:rPr>
            </w:pPr>
            <w:r w:rsidRPr="00CB44C5">
              <w:rPr>
                <w:lang w:eastAsia="en-IN"/>
              </w:rPr>
              <w:t>2012</w:t>
            </w:r>
          </w:p>
        </w:tc>
        <w:tc>
          <w:tcPr>
            <w:tcW w:w="0" w:type="auto"/>
            <w:tcBorders>
              <w:top w:val="single" w:sz="4" w:space="0" w:color="auto"/>
              <w:right w:val="single" w:sz="4" w:space="0" w:color="auto"/>
            </w:tcBorders>
            <w:vAlign w:val="center"/>
            <w:hideMark/>
          </w:tcPr>
          <w:p w14:paraId="770F789F" w14:textId="77777777" w:rsidR="00CB44C5" w:rsidRPr="00CB44C5" w:rsidRDefault="00CB44C5" w:rsidP="005F3212">
            <w:pPr>
              <w:rPr>
                <w:lang w:eastAsia="en-IN"/>
              </w:rPr>
            </w:pPr>
            <w:r w:rsidRPr="00CB44C5">
              <w:rPr>
                <w:lang w:eastAsia="en-IN"/>
              </w:rPr>
              <w:t>2.5</w:t>
            </w:r>
          </w:p>
        </w:tc>
      </w:tr>
      <w:tr w:rsidR="00CB44C5" w:rsidRPr="00CB44C5" w14:paraId="015FED27" w14:textId="77777777" w:rsidTr="00CB44C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CF53C3C" w14:textId="77777777" w:rsidR="00CB44C5" w:rsidRPr="00CB44C5" w:rsidRDefault="00CB44C5" w:rsidP="005F3212">
            <w:pPr>
              <w:rPr>
                <w:lang w:eastAsia="en-IN"/>
              </w:rPr>
            </w:pPr>
            <w:r w:rsidRPr="00CB44C5">
              <w:rPr>
                <w:lang w:eastAsia="en-IN"/>
              </w:rPr>
              <w:lastRenderedPageBreak/>
              <w:t>2014</w:t>
            </w:r>
          </w:p>
        </w:tc>
        <w:tc>
          <w:tcPr>
            <w:tcW w:w="0" w:type="auto"/>
            <w:tcBorders>
              <w:top w:val="single" w:sz="4" w:space="0" w:color="auto"/>
              <w:bottom w:val="single" w:sz="4" w:space="0" w:color="auto"/>
              <w:right w:val="single" w:sz="4" w:space="0" w:color="auto"/>
            </w:tcBorders>
            <w:vAlign w:val="center"/>
            <w:hideMark/>
          </w:tcPr>
          <w:p w14:paraId="4714BB3D" w14:textId="77777777" w:rsidR="00CB44C5" w:rsidRPr="00CB44C5" w:rsidRDefault="00CB44C5" w:rsidP="005F3212">
            <w:pPr>
              <w:rPr>
                <w:lang w:eastAsia="en-IN"/>
              </w:rPr>
            </w:pPr>
            <w:r w:rsidRPr="00CB44C5">
              <w:rPr>
                <w:lang w:eastAsia="en-IN"/>
              </w:rPr>
              <w:t>3.0</w:t>
            </w:r>
          </w:p>
        </w:tc>
      </w:tr>
      <w:tr w:rsidR="00CB44C5" w:rsidRPr="00CB44C5" w14:paraId="2BCD8879" w14:textId="77777777" w:rsidTr="00CB44C5">
        <w:trPr>
          <w:tblCellSpacing w:w="15" w:type="dxa"/>
        </w:trPr>
        <w:tc>
          <w:tcPr>
            <w:tcW w:w="0" w:type="auto"/>
            <w:tcBorders>
              <w:left w:val="single" w:sz="4" w:space="0" w:color="auto"/>
              <w:right w:val="single" w:sz="4" w:space="0" w:color="auto"/>
            </w:tcBorders>
            <w:vAlign w:val="center"/>
            <w:hideMark/>
          </w:tcPr>
          <w:p w14:paraId="5819AA69" w14:textId="77777777" w:rsidR="00CB44C5" w:rsidRPr="00CB44C5" w:rsidRDefault="00CB44C5" w:rsidP="005F3212">
            <w:pPr>
              <w:rPr>
                <w:lang w:eastAsia="en-IN"/>
              </w:rPr>
            </w:pPr>
            <w:r w:rsidRPr="00CB44C5">
              <w:rPr>
                <w:lang w:eastAsia="en-IN"/>
              </w:rPr>
              <w:t>2016</w:t>
            </w:r>
          </w:p>
        </w:tc>
        <w:tc>
          <w:tcPr>
            <w:tcW w:w="0" w:type="auto"/>
            <w:tcBorders>
              <w:right w:val="single" w:sz="4" w:space="0" w:color="auto"/>
            </w:tcBorders>
            <w:vAlign w:val="center"/>
            <w:hideMark/>
          </w:tcPr>
          <w:p w14:paraId="6BAB75A7" w14:textId="77777777" w:rsidR="00CB44C5" w:rsidRPr="00CB44C5" w:rsidRDefault="00CB44C5" w:rsidP="005F3212">
            <w:pPr>
              <w:rPr>
                <w:lang w:eastAsia="en-IN"/>
              </w:rPr>
            </w:pPr>
            <w:r w:rsidRPr="00CB44C5">
              <w:rPr>
                <w:lang w:eastAsia="en-IN"/>
              </w:rPr>
              <w:t>3.5</w:t>
            </w:r>
          </w:p>
        </w:tc>
      </w:tr>
      <w:tr w:rsidR="00CB44C5" w:rsidRPr="00CB44C5" w14:paraId="3CCD0678" w14:textId="77777777" w:rsidTr="00CB44C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F946BA" w14:textId="77777777" w:rsidR="00CB44C5" w:rsidRPr="00CB44C5" w:rsidRDefault="00CB44C5" w:rsidP="005F3212">
            <w:pPr>
              <w:rPr>
                <w:lang w:eastAsia="en-IN"/>
              </w:rPr>
            </w:pPr>
            <w:r w:rsidRPr="00CB44C5">
              <w:rPr>
                <w:lang w:eastAsia="en-IN"/>
              </w:rPr>
              <w:t>2018</w:t>
            </w:r>
          </w:p>
        </w:tc>
        <w:tc>
          <w:tcPr>
            <w:tcW w:w="0" w:type="auto"/>
            <w:tcBorders>
              <w:top w:val="single" w:sz="4" w:space="0" w:color="auto"/>
              <w:bottom w:val="single" w:sz="4" w:space="0" w:color="auto"/>
              <w:right w:val="single" w:sz="4" w:space="0" w:color="auto"/>
            </w:tcBorders>
            <w:vAlign w:val="center"/>
            <w:hideMark/>
          </w:tcPr>
          <w:p w14:paraId="241B0CF6" w14:textId="77777777" w:rsidR="00CB44C5" w:rsidRPr="00CB44C5" w:rsidRDefault="00CB44C5" w:rsidP="005F3212">
            <w:pPr>
              <w:rPr>
                <w:lang w:eastAsia="en-IN"/>
              </w:rPr>
            </w:pPr>
            <w:r w:rsidRPr="00CB44C5">
              <w:rPr>
                <w:lang w:eastAsia="en-IN"/>
              </w:rPr>
              <w:t>3.8</w:t>
            </w:r>
          </w:p>
        </w:tc>
      </w:tr>
      <w:tr w:rsidR="00CB44C5" w:rsidRPr="00CB44C5" w14:paraId="5D31C12A" w14:textId="77777777" w:rsidTr="00CB44C5">
        <w:trPr>
          <w:tblCellSpacing w:w="15" w:type="dxa"/>
        </w:trPr>
        <w:tc>
          <w:tcPr>
            <w:tcW w:w="0" w:type="auto"/>
            <w:tcBorders>
              <w:left w:val="single" w:sz="4" w:space="0" w:color="auto"/>
              <w:right w:val="single" w:sz="4" w:space="0" w:color="auto"/>
            </w:tcBorders>
            <w:vAlign w:val="center"/>
            <w:hideMark/>
          </w:tcPr>
          <w:p w14:paraId="207DFFEA" w14:textId="77777777" w:rsidR="00CB44C5" w:rsidRPr="00CB44C5" w:rsidRDefault="00CB44C5" w:rsidP="005F3212">
            <w:pPr>
              <w:rPr>
                <w:lang w:eastAsia="en-IN"/>
              </w:rPr>
            </w:pPr>
            <w:r w:rsidRPr="00CB44C5">
              <w:rPr>
                <w:lang w:eastAsia="en-IN"/>
              </w:rPr>
              <w:t>2020</w:t>
            </w:r>
          </w:p>
        </w:tc>
        <w:tc>
          <w:tcPr>
            <w:tcW w:w="0" w:type="auto"/>
            <w:tcBorders>
              <w:right w:val="single" w:sz="4" w:space="0" w:color="auto"/>
            </w:tcBorders>
            <w:vAlign w:val="center"/>
            <w:hideMark/>
          </w:tcPr>
          <w:p w14:paraId="1CCF7114" w14:textId="77777777" w:rsidR="00CB44C5" w:rsidRPr="00CB44C5" w:rsidRDefault="00CB44C5" w:rsidP="005F3212">
            <w:pPr>
              <w:rPr>
                <w:lang w:eastAsia="en-IN"/>
              </w:rPr>
            </w:pPr>
            <w:r w:rsidRPr="00CB44C5">
              <w:rPr>
                <w:lang w:eastAsia="en-IN"/>
              </w:rPr>
              <w:t>3.9</w:t>
            </w:r>
          </w:p>
        </w:tc>
      </w:tr>
      <w:tr w:rsidR="00CB44C5" w:rsidRPr="00CB44C5" w14:paraId="36365E2A" w14:textId="77777777" w:rsidTr="00CB44C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CC4B3D" w14:textId="77777777" w:rsidR="00CB44C5" w:rsidRPr="00CB44C5" w:rsidRDefault="00CB44C5" w:rsidP="005F3212">
            <w:pPr>
              <w:rPr>
                <w:lang w:eastAsia="en-IN"/>
              </w:rPr>
            </w:pPr>
            <w:r w:rsidRPr="00CB44C5">
              <w:rPr>
                <w:lang w:eastAsia="en-IN"/>
              </w:rPr>
              <w:t>2022</w:t>
            </w:r>
          </w:p>
        </w:tc>
        <w:tc>
          <w:tcPr>
            <w:tcW w:w="0" w:type="auto"/>
            <w:tcBorders>
              <w:top w:val="single" w:sz="4" w:space="0" w:color="auto"/>
              <w:bottom w:val="single" w:sz="4" w:space="0" w:color="auto"/>
              <w:right w:val="single" w:sz="4" w:space="0" w:color="auto"/>
            </w:tcBorders>
            <w:vAlign w:val="center"/>
            <w:hideMark/>
          </w:tcPr>
          <w:p w14:paraId="306F3AFA" w14:textId="77777777" w:rsidR="00CB44C5" w:rsidRPr="00CB44C5" w:rsidRDefault="00CB44C5" w:rsidP="005F3212">
            <w:pPr>
              <w:rPr>
                <w:lang w:eastAsia="en-IN"/>
              </w:rPr>
            </w:pPr>
            <w:r w:rsidRPr="00CB44C5">
              <w:rPr>
                <w:lang w:eastAsia="en-IN"/>
              </w:rPr>
              <w:t>4.0</w:t>
            </w:r>
          </w:p>
        </w:tc>
      </w:tr>
      <w:tr w:rsidR="00CB44C5" w:rsidRPr="00CB44C5" w14:paraId="59B964BC" w14:textId="77777777" w:rsidTr="00CB44C5">
        <w:trPr>
          <w:tblCellSpacing w:w="15" w:type="dxa"/>
        </w:trPr>
        <w:tc>
          <w:tcPr>
            <w:tcW w:w="0" w:type="auto"/>
            <w:tcBorders>
              <w:left w:val="single" w:sz="4" w:space="0" w:color="auto"/>
              <w:bottom w:val="single" w:sz="4" w:space="0" w:color="auto"/>
              <w:right w:val="single" w:sz="4" w:space="0" w:color="auto"/>
            </w:tcBorders>
            <w:vAlign w:val="center"/>
            <w:hideMark/>
          </w:tcPr>
          <w:p w14:paraId="5EC746D3" w14:textId="77777777" w:rsidR="00CB44C5" w:rsidRPr="00CB44C5" w:rsidRDefault="00CB44C5" w:rsidP="005F3212">
            <w:pPr>
              <w:rPr>
                <w:lang w:eastAsia="en-IN"/>
              </w:rPr>
            </w:pPr>
            <w:r w:rsidRPr="00CB44C5">
              <w:rPr>
                <w:lang w:eastAsia="en-IN"/>
              </w:rPr>
              <w:t>2023</w:t>
            </w:r>
          </w:p>
        </w:tc>
        <w:tc>
          <w:tcPr>
            <w:tcW w:w="0" w:type="auto"/>
            <w:tcBorders>
              <w:bottom w:val="single" w:sz="4" w:space="0" w:color="auto"/>
              <w:right w:val="single" w:sz="4" w:space="0" w:color="auto"/>
            </w:tcBorders>
            <w:vAlign w:val="center"/>
            <w:hideMark/>
          </w:tcPr>
          <w:p w14:paraId="1DF4F721" w14:textId="77777777" w:rsidR="00CB44C5" w:rsidRPr="00CB44C5" w:rsidRDefault="00CB44C5" w:rsidP="005F3212">
            <w:pPr>
              <w:rPr>
                <w:lang w:eastAsia="en-IN"/>
              </w:rPr>
            </w:pPr>
            <w:r w:rsidRPr="00CB44C5">
              <w:rPr>
                <w:lang w:eastAsia="en-IN"/>
              </w:rPr>
              <w:t>4.0</w:t>
            </w:r>
          </w:p>
        </w:tc>
      </w:tr>
    </w:tbl>
    <w:p w14:paraId="3E13D8FC" w14:textId="75537E7E" w:rsidR="00CB44C5" w:rsidRPr="005F3212" w:rsidRDefault="005F3212" w:rsidP="005F3212">
      <w:r w:rsidRPr="005F3212">
        <w:drawing>
          <wp:inline distT="0" distB="0" distL="0" distR="0" wp14:anchorId="1F28A0B6" wp14:editId="74AA202F">
            <wp:extent cx="4572000" cy="2743200"/>
            <wp:effectExtent l="0" t="0" r="0" b="0"/>
            <wp:docPr id="917139017" name="Chart 1">
              <a:extLst xmlns:a="http://schemas.openxmlformats.org/drawingml/2006/main">
                <a:ext uri="{FF2B5EF4-FFF2-40B4-BE49-F238E27FC236}">
                  <a16:creationId xmlns:a16="http://schemas.microsoft.com/office/drawing/2014/main" id="{B6E90EF3-CAB1-274E-8B40-30D0DF67ED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3E0FA0" w14:textId="77777777" w:rsidR="00CB44C5" w:rsidRPr="005F3212" w:rsidRDefault="00CB44C5" w:rsidP="005F3212"/>
    <w:p w14:paraId="5BCAA3A3" w14:textId="1A781158" w:rsidR="00CB44C5" w:rsidRPr="00CB44C5" w:rsidRDefault="00CB44C5" w:rsidP="005F3212">
      <w:pPr>
        <w:rPr>
          <w:b/>
          <w:bCs/>
          <w:lang w:eastAsia="en-IN"/>
        </w:rPr>
      </w:pPr>
      <w:r w:rsidRPr="00CB44C5">
        <w:rPr>
          <w:b/>
          <w:bCs/>
          <w:lang w:eastAsia="en-IN"/>
        </w:rPr>
        <w:t>Conclusion</w:t>
      </w:r>
    </w:p>
    <w:p w14:paraId="07F4931D" w14:textId="77777777" w:rsidR="00CB44C5" w:rsidRPr="00CB44C5" w:rsidRDefault="00CB44C5" w:rsidP="005F3212">
      <w:pPr>
        <w:rPr>
          <w:lang w:eastAsia="en-IN"/>
        </w:rPr>
      </w:pPr>
      <w:r w:rsidRPr="00CB44C5">
        <w:rPr>
          <w:lang w:eastAsia="en-IN"/>
        </w:rPr>
        <w:t>The globalization of the banking system has had profound effects on the U.S. banking sector. It has increased competition, driven regulatory changes, facilitated risk diversification, and spurred technological innovation. By examining the facts and figures, it is clear that U.S. banks have become integral players in the global financial landscape, benefiting from and contributing to the interconnectedness of the world's financial systems.</w:t>
      </w:r>
    </w:p>
    <w:p w14:paraId="7A420F2A" w14:textId="77777777" w:rsidR="006C0044" w:rsidRDefault="006C0044" w:rsidP="005F3212"/>
    <w:p w14:paraId="069F1CD9" w14:textId="77777777" w:rsidR="005F3212" w:rsidRDefault="005F3212" w:rsidP="005F3212"/>
    <w:p w14:paraId="3F0D40C5" w14:textId="77777777" w:rsidR="005F3212" w:rsidRDefault="005F3212" w:rsidP="005F3212"/>
    <w:p w14:paraId="4B314240" w14:textId="77777777" w:rsidR="005F3212" w:rsidRDefault="005F3212" w:rsidP="005F3212"/>
    <w:p w14:paraId="6AFFB310" w14:textId="77777777" w:rsidR="005F3212" w:rsidRDefault="005F3212" w:rsidP="005F3212"/>
    <w:p w14:paraId="0BBA71FC" w14:textId="77777777" w:rsidR="005F3212" w:rsidRDefault="005F3212" w:rsidP="005F3212"/>
    <w:p w14:paraId="4E8493D7" w14:textId="77777777" w:rsidR="005F3212" w:rsidRDefault="005F3212" w:rsidP="005F3212"/>
    <w:p w14:paraId="5EC02D11" w14:textId="621D789B" w:rsidR="005F3212" w:rsidRDefault="009E36C9" w:rsidP="005F3212">
      <w:pPr>
        <w:rPr>
          <w:b/>
          <w:bCs/>
          <w:sz w:val="40"/>
          <w:szCs w:val="40"/>
        </w:rPr>
      </w:pPr>
      <w:r>
        <w:rPr>
          <w:b/>
          <w:bCs/>
          <w:sz w:val="40"/>
          <w:szCs w:val="40"/>
        </w:rPr>
        <w:lastRenderedPageBreak/>
        <w:t>2.Financial inclusion initiatives in US banking System</w:t>
      </w:r>
    </w:p>
    <w:p w14:paraId="1787F5B5" w14:textId="77777777" w:rsidR="009E36C9" w:rsidRPr="009E36C9" w:rsidRDefault="009E36C9" w:rsidP="009E36C9">
      <w:pPr>
        <w:rPr>
          <w:lang w:eastAsia="en-IN"/>
        </w:rPr>
      </w:pPr>
      <w:r w:rsidRPr="009E36C9">
        <w:rPr>
          <w:lang w:eastAsia="en-IN"/>
        </w:rPr>
        <w:t>Financial inclusion initiatives in the U.S. banking sector aim to provide financial services to underserved populations, including low-income individuals, minorities, and rural communities. Here are some key initiatives, along with data to illustrate their impact:</w:t>
      </w:r>
    </w:p>
    <w:p w14:paraId="55E9E6A9" w14:textId="77777777" w:rsidR="009E36C9" w:rsidRPr="009E36C9" w:rsidRDefault="009E36C9" w:rsidP="009E36C9">
      <w:pPr>
        <w:rPr>
          <w:b/>
          <w:bCs/>
          <w:lang w:eastAsia="en-IN"/>
        </w:rPr>
      </w:pPr>
      <w:r w:rsidRPr="009E36C9">
        <w:rPr>
          <w:b/>
          <w:bCs/>
          <w:lang w:eastAsia="en-IN"/>
        </w:rPr>
        <w:t>1. Community Reinvestment Act (CRA)</w:t>
      </w:r>
    </w:p>
    <w:p w14:paraId="0942CD4C" w14:textId="77777777" w:rsidR="009E36C9" w:rsidRPr="009E36C9" w:rsidRDefault="009E36C9" w:rsidP="009E36C9">
      <w:pPr>
        <w:rPr>
          <w:lang w:eastAsia="en-IN"/>
        </w:rPr>
      </w:pPr>
      <w:r w:rsidRPr="009E36C9">
        <w:rPr>
          <w:lang w:eastAsia="en-IN"/>
        </w:rPr>
        <w:t>The CRA, enacted in 1977, requires banks to meet the credit needs of all segments of their communities, particularly low- and moderate-income neighborhoods.</w:t>
      </w:r>
    </w:p>
    <w:p w14:paraId="62CA7F4D" w14:textId="77777777" w:rsidR="009E36C9" w:rsidRPr="009E36C9" w:rsidRDefault="009E36C9" w:rsidP="009E36C9">
      <w:pPr>
        <w:rPr>
          <w:lang w:eastAsia="en-IN"/>
        </w:rPr>
      </w:pPr>
      <w:r w:rsidRPr="009E36C9">
        <w:rPr>
          <w:b/>
          <w:bCs/>
          <w:lang w:eastAsia="en-IN"/>
        </w:rPr>
        <w:t>Impact:</w:t>
      </w:r>
      <w:r w:rsidRPr="009E36C9">
        <w:rPr>
          <w:lang w:eastAsia="en-IN"/>
        </w:rPr>
        <w:t xml:space="preserve"> According to a 2020 report by the Federal Reserve, CRA-related lending accounts for over $100 billion annually in home mortgage, small business, and community development loans.</w:t>
      </w:r>
    </w:p>
    <w:p w14:paraId="0D828AA3" w14:textId="77777777" w:rsidR="009E36C9" w:rsidRPr="009E36C9" w:rsidRDefault="009E36C9" w:rsidP="009E36C9">
      <w:pPr>
        <w:rPr>
          <w:b/>
          <w:bCs/>
          <w:lang w:eastAsia="en-IN"/>
        </w:rPr>
      </w:pPr>
      <w:r w:rsidRPr="009E36C9">
        <w:rPr>
          <w:b/>
          <w:bCs/>
          <w:lang w:eastAsia="en-IN"/>
        </w:rPr>
        <w:t>2. Bank On Initiative</w:t>
      </w:r>
    </w:p>
    <w:p w14:paraId="640D44A3" w14:textId="77777777" w:rsidR="009E36C9" w:rsidRPr="009E36C9" w:rsidRDefault="009E36C9" w:rsidP="009E36C9">
      <w:pPr>
        <w:rPr>
          <w:lang w:eastAsia="en-IN"/>
        </w:rPr>
      </w:pPr>
      <w:r w:rsidRPr="009E36C9">
        <w:rPr>
          <w:lang w:eastAsia="en-IN"/>
        </w:rPr>
        <w:t>The Bank On initiative, led by the Cities for Financial Empowerment (CFE) Fund, aims to ensure that everyone has access to a safe and affordable bank or credit union account.</w:t>
      </w:r>
    </w:p>
    <w:p w14:paraId="6C0F0E9C" w14:textId="77777777" w:rsidR="009E36C9" w:rsidRPr="009E36C9" w:rsidRDefault="009E36C9" w:rsidP="009E36C9">
      <w:pPr>
        <w:rPr>
          <w:lang w:eastAsia="en-IN"/>
        </w:rPr>
      </w:pPr>
      <w:r w:rsidRPr="009E36C9">
        <w:rPr>
          <w:b/>
          <w:bCs/>
          <w:lang w:eastAsia="en-IN"/>
        </w:rPr>
        <w:t>Impact:</w:t>
      </w:r>
      <w:r w:rsidRPr="009E36C9">
        <w:rPr>
          <w:lang w:eastAsia="en-IN"/>
        </w:rPr>
        <w:t xml:space="preserve"> As of 2023, Bank On certified accounts have been opened by over 10 million people, with participating financial institutions including major banks like Bank of America, JPMorgan Chase, and Wells Fargo.</w:t>
      </w:r>
    </w:p>
    <w:p w14:paraId="18B05802" w14:textId="77777777" w:rsidR="009E36C9" w:rsidRPr="009E36C9" w:rsidRDefault="009E36C9" w:rsidP="009E36C9">
      <w:pPr>
        <w:rPr>
          <w:b/>
          <w:bCs/>
          <w:lang w:eastAsia="en-IN"/>
        </w:rPr>
      </w:pPr>
      <w:r w:rsidRPr="009E36C9">
        <w:rPr>
          <w:b/>
          <w:bCs/>
          <w:lang w:eastAsia="en-IN"/>
        </w:rPr>
        <w:t>3. Financial Literacy Programs</w:t>
      </w:r>
    </w:p>
    <w:p w14:paraId="402CF668" w14:textId="77777777" w:rsidR="009E36C9" w:rsidRPr="009E36C9" w:rsidRDefault="009E36C9" w:rsidP="009E36C9">
      <w:pPr>
        <w:rPr>
          <w:lang w:eastAsia="en-IN"/>
        </w:rPr>
      </w:pPr>
      <w:r w:rsidRPr="009E36C9">
        <w:rPr>
          <w:lang w:eastAsia="en-IN"/>
        </w:rPr>
        <w:t>Banks are investing in financial literacy programs to educate underserved populations about managing finances, credit, and savings.</w:t>
      </w:r>
    </w:p>
    <w:p w14:paraId="17F5B7AB" w14:textId="77777777" w:rsidR="009E36C9" w:rsidRPr="009E36C9" w:rsidRDefault="009E36C9" w:rsidP="009E36C9">
      <w:pPr>
        <w:rPr>
          <w:lang w:eastAsia="en-IN"/>
        </w:rPr>
      </w:pPr>
      <w:r w:rsidRPr="009E36C9">
        <w:rPr>
          <w:lang w:eastAsia="en-IN"/>
        </w:rPr>
        <w:t>Example: The Financial Literacy Education Commission (FLEC) coordinates the efforts of 23 federal entities to improve financial literacy.</w:t>
      </w:r>
    </w:p>
    <w:p w14:paraId="4893E453" w14:textId="77777777" w:rsidR="009E36C9" w:rsidRPr="009E36C9" w:rsidRDefault="009E36C9" w:rsidP="009E36C9">
      <w:pPr>
        <w:rPr>
          <w:lang w:eastAsia="en-IN"/>
        </w:rPr>
      </w:pPr>
      <w:r w:rsidRPr="009E36C9">
        <w:rPr>
          <w:b/>
          <w:bCs/>
          <w:lang w:eastAsia="en-IN"/>
        </w:rPr>
        <w:t>Impact:</w:t>
      </w:r>
      <w:r w:rsidRPr="009E36C9">
        <w:rPr>
          <w:lang w:eastAsia="en-IN"/>
        </w:rPr>
        <w:t xml:space="preserve"> A 2019 study by the FINRA Investor Education Foundation found that states with mandated financial education had significantly higher credit scores and lower delinquency rates.</w:t>
      </w:r>
    </w:p>
    <w:p w14:paraId="6CAB2FBF" w14:textId="77777777" w:rsidR="009E36C9" w:rsidRPr="009E36C9" w:rsidRDefault="009E36C9" w:rsidP="009E36C9">
      <w:pPr>
        <w:rPr>
          <w:b/>
          <w:bCs/>
          <w:lang w:eastAsia="en-IN"/>
        </w:rPr>
      </w:pPr>
      <w:r w:rsidRPr="009E36C9">
        <w:rPr>
          <w:b/>
          <w:bCs/>
          <w:lang w:eastAsia="en-IN"/>
        </w:rPr>
        <w:t>4. Digital Banking Services</w:t>
      </w:r>
    </w:p>
    <w:p w14:paraId="7E53AC4B" w14:textId="77777777" w:rsidR="009E36C9" w:rsidRPr="009E36C9" w:rsidRDefault="009E36C9" w:rsidP="009E36C9">
      <w:pPr>
        <w:rPr>
          <w:lang w:eastAsia="en-IN"/>
        </w:rPr>
      </w:pPr>
      <w:r w:rsidRPr="009E36C9">
        <w:rPr>
          <w:lang w:eastAsia="en-IN"/>
        </w:rPr>
        <w:t>Banks are expanding digital services to reach underserved populations, leveraging mobile banking and online platforms.</w:t>
      </w:r>
    </w:p>
    <w:p w14:paraId="6B05A777" w14:textId="77777777" w:rsidR="009E36C9" w:rsidRPr="009E36C9" w:rsidRDefault="009E36C9" w:rsidP="009E36C9">
      <w:pPr>
        <w:rPr>
          <w:lang w:eastAsia="en-IN"/>
        </w:rPr>
      </w:pPr>
      <w:r w:rsidRPr="009E36C9">
        <w:rPr>
          <w:b/>
          <w:bCs/>
          <w:lang w:eastAsia="en-IN"/>
        </w:rPr>
        <w:t>Impact:</w:t>
      </w:r>
      <w:r w:rsidRPr="009E36C9">
        <w:rPr>
          <w:lang w:eastAsia="en-IN"/>
        </w:rPr>
        <w:t xml:space="preserve"> According to a 2021 Federal Deposit Insurance Corporation (FDIC) survey, mobile banking usage increased from 34% of households in 2017 to 44% in 2019, with a higher increase among low-income households.</w:t>
      </w:r>
    </w:p>
    <w:p w14:paraId="52F66190" w14:textId="77777777" w:rsidR="009E36C9" w:rsidRPr="009E36C9" w:rsidRDefault="009E36C9" w:rsidP="009E36C9">
      <w:pPr>
        <w:rPr>
          <w:b/>
          <w:bCs/>
          <w:lang w:eastAsia="en-IN"/>
        </w:rPr>
      </w:pPr>
      <w:r w:rsidRPr="009E36C9">
        <w:rPr>
          <w:b/>
          <w:bCs/>
          <w:lang w:eastAsia="en-IN"/>
        </w:rPr>
        <w:t>5. Minority Depository Institutions (MDIs) and Community Development Financial Institutions (CDFIs)</w:t>
      </w:r>
    </w:p>
    <w:p w14:paraId="5109A95A" w14:textId="77777777" w:rsidR="009E36C9" w:rsidRPr="009E36C9" w:rsidRDefault="009E36C9" w:rsidP="009E36C9">
      <w:pPr>
        <w:rPr>
          <w:lang w:eastAsia="en-IN"/>
        </w:rPr>
      </w:pPr>
      <w:r w:rsidRPr="009E36C9">
        <w:rPr>
          <w:lang w:eastAsia="en-IN"/>
        </w:rPr>
        <w:t>MDIs and CDFIs focus on serving minority and underserved communities by providing affordable banking services and loans.</w:t>
      </w:r>
    </w:p>
    <w:p w14:paraId="7AB2CBF1" w14:textId="77777777" w:rsidR="009E36C9" w:rsidRPr="009E36C9" w:rsidRDefault="009E36C9" w:rsidP="009E36C9">
      <w:pPr>
        <w:rPr>
          <w:lang w:eastAsia="en-IN"/>
        </w:rPr>
      </w:pPr>
      <w:r w:rsidRPr="009E36C9">
        <w:rPr>
          <w:b/>
          <w:bCs/>
          <w:lang w:eastAsia="en-IN"/>
        </w:rPr>
        <w:t>Impact:</w:t>
      </w:r>
      <w:r w:rsidRPr="009E36C9">
        <w:rPr>
          <w:lang w:eastAsia="en-IN"/>
        </w:rPr>
        <w:t xml:space="preserve"> In 2021, CDFIs received $12 billion in funding through the Consolidated Appropriations Act, aimed at supporting economic relief and recovery in minority communities.</w:t>
      </w:r>
    </w:p>
    <w:p w14:paraId="3846CC1F" w14:textId="77777777" w:rsidR="009E36C9" w:rsidRPr="009E36C9" w:rsidRDefault="009E36C9" w:rsidP="009E36C9">
      <w:pPr>
        <w:rPr>
          <w:lang w:eastAsia="en-IN"/>
        </w:rPr>
      </w:pPr>
      <w:r w:rsidRPr="009E36C9">
        <w:rPr>
          <w:lang w:eastAsia="en-IN"/>
        </w:rPr>
        <w:lastRenderedPageBreak/>
        <w:t>Example: The U.S. Treasury's CDFI Fund has awarded over $2.1 billion to CDFIs since its inception.</w:t>
      </w:r>
    </w:p>
    <w:p w14:paraId="0F118693" w14:textId="77777777" w:rsidR="009E36C9" w:rsidRPr="009E36C9" w:rsidRDefault="009E36C9" w:rsidP="009E36C9">
      <w:pPr>
        <w:rPr>
          <w:b/>
          <w:bCs/>
          <w:lang w:eastAsia="en-IN"/>
        </w:rPr>
      </w:pPr>
      <w:r w:rsidRPr="009E36C9">
        <w:rPr>
          <w:b/>
          <w:bCs/>
          <w:lang w:eastAsia="en-IN"/>
        </w:rPr>
        <w:t>6. Small-Dollar Loan Programs</w:t>
      </w:r>
    </w:p>
    <w:p w14:paraId="2E64698E" w14:textId="77777777" w:rsidR="009E36C9" w:rsidRPr="009E36C9" w:rsidRDefault="009E36C9" w:rsidP="009E36C9">
      <w:pPr>
        <w:rPr>
          <w:lang w:eastAsia="en-IN"/>
        </w:rPr>
      </w:pPr>
      <w:r w:rsidRPr="009E36C9">
        <w:rPr>
          <w:lang w:eastAsia="en-IN"/>
        </w:rPr>
        <w:t>Several banks have introduced small-dollar loan programs to offer an alternative to high-cost payday loans.</w:t>
      </w:r>
    </w:p>
    <w:p w14:paraId="5D32303F" w14:textId="77777777" w:rsidR="009E36C9" w:rsidRPr="009E36C9" w:rsidRDefault="009E36C9" w:rsidP="009E36C9">
      <w:pPr>
        <w:rPr>
          <w:lang w:eastAsia="en-IN"/>
        </w:rPr>
      </w:pPr>
      <w:r w:rsidRPr="009E36C9">
        <w:rPr>
          <w:lang w:eastAsia="en-IN"/>
        </w:rPr>
        <w:t>Example: In 2018, Bank of America launched Balance Assist, providing small-dollar loans of up to $500.</w:t>
      </w:r>
    </w:p>
    <w:p w14:paraId="6971BB8C" w14:textId="77777777" w:rsidR="009E36C9" w:rsidRPr="009E36C9" w:rsidRDefault="009E36C9" w:rsidP="009E36C9">
      <w:pPr>
        <w:rPr>
          <w:lang w:eastAsia="en-IN"/>
        </w:rPr>
      </w:pPr>
      <w:r w:rsidRPr="009E36C9">
        <w:rPr>
          <w:b/>
          <w:bCs/>
          <w:lang w:eastAsia="en-IN"/>
        </w:rPr>
        <w:t>Impact:</w:t>
      </w:r>
      <w:r w:rsidRPr="009E36C9">
        <w:rPr>
          <w:lang w:eastAsia="en-IN"/>
        </w:rPr>
        <w:t xml:space="preserve"> The program aims to reduce reliance on high-interest payday loans, offering a more affordable solution for short-term credit needs.</w:t>
      </w:r>
    </w:p>
    <w:p w14:paraId="4B34E1D2" w14:textId="77777777" w:rsidR="009E36C9" w:rsidRPr="009E36C9" w:rsidRDefault="009E36C9" w:rsidP="009E36C9">
      <w:pPr>
        <w:rPr>
          <w:b/>
          <w:bCs/>
          <w:lang w:eastAsia="en-IN"/>
        </w:rPr>
      </w:pPr>
      <w:r w:rsidRPr="009E36C9">
        <w:rPr>
          <w:b/>
          <w:bCs/>
          <w:lang w:eastAsia="en-IN"/>
        </w:rPr>
        <w:t>7. Partnerships with Fintech Companies</w:t>
      </w:r>
    </w:p>
    <w:p w14:paraId="46C807B6" w14:textId="77777777" w:rsidR="009E36C9" w:rsidRPr="009E36C9" w:rsidRDefault="009E36C9" w:rsidP="009E36C9">
      <w:pPr>
        <w:rPr>
          <w:lang w:eastAsia="en-IN"/>
        </w:rPr>
      </w:pPr>
      <w:r w:rsidRPr="009E36C9">
        <w:rPr>
          <w:lang w:eastAsia="en-IN"/>
        </w:rPr>
        <w:t>Traditional banks are partnering with fintech companies to offer innovative financial products and services.</w:t>
      </w:r>
    </w:p>
    <w:p w14:paraId="02DCA378" w14:textId="77777777" w:rsidR="009E36C9" w:rsidRPr="009E36C9" w:rsidRDefault="009E36C9" w:rsidP="009E36C9">
      <w:pPr>
        <w:rPr>
          <w:lang w:eastAsia="en-IN"/>
        </w:rPr>
      </w:pPr>
      <w:r w:rsidRPr="009E36C9">
        <w:rPr>
          <w:lang w:eastAsia="en-IN"/>
        </w:rPr>
        <w:t>Example: Goldman Sachs’ Marcus platform offers online personal loans and savings accounts with competitive rates.</w:t>
      </w:r>
    </w:p>
    <w:p w14:paraId="6577D79B" w14:textId="77777777" w:rsidR="009E36C9" w:rsidRPr="009E36C9" w:rsidRDefault="009E36C9" w:rsidP="009E36C9">
      <w:pPr>
        <w:rPr>
          <w:lang w:eastAsia="en-IN"/>
        </w:rPr>
      </w:pPr>
      <w:r w:rsidRPr="009E36C9">
        <w:rPr>
          <w:b/>
          <w:bCs/>
          <w:lang w:eastAsia="en-IN"/>
        </w:rPr>
        <w:t>Impact:</w:t>
      </w:r>
      <w:r w:rsidRPr="009E36C9">
        <w:rPr>
          <w:lang w:eastAsia="en-IN"/>
        </w:rPr>
        <w:t xml:space="preserve"> As of 2022, Marcus had lent out over $9 billion in personal loans and held $100 billion in deposits, with a significant portion of its customer base being individuals who previously lacked access to traditional banking services.</w:t>
      </w:r>
    </w:p>
    <w:p w14:paraId="41974B2C" w14:textId="77777777" w:rsidR="009E36C9" w:rsidRPr="009E36C9" w:rsidRDefault="009E36C9" w:rsidP="009E36C9">
      <w:pPr>
        <w:rPr>
          <w:b/>
          <w:bCs/>
          <w:lang w:eastAsia="en-IN"/>
        </w:rPr>
      </w:pPr>
      <w:r w:rsidRPr="009E36C9">
        <w:rPr>
          <w:b/>
          <w:bCs/>
          <w:lang w:eastAsia="en-IN"/>
        </w:rPr>
        <w:t>8. Postal Banking Proposals</w:t>
      </w:r>
    </w:p>
    <w:p w14:paraId="642BBD1C" w14:textId="77777777" w:rsidR="009E36C9" w:rsidRPr="009E36C9" w:rsidRDefault="009E36C9" w:rsidP="009E36C9">
      <w:pPr>
        <w:rPr>
          <w:lang w:eastAsia="en-IN"/>
        </w:rPr>
      </w:pPr>
      <w:r w:rsidRPr="009E36C9">
        <w:rPr>
          <w:lang w:eastAsia="en-IN"/>
        </w:rPr>
        <w:t>There is ongoing discussion about leveraging the U.S. Postal Service to provide banking services, especially in areas underserved by traditional banks.</w:t>
      </w:r>
    </w:p>
    <w:p w14:paraId="7D02CB1D" w14:textId="77777777" w:rsidR="009E36C9" w:rsidRPr="009E36C9" w:rsidRDefault="009E36C9" w:rsidP="009E36C9">
      <w:pPr>
        <w:rPr>
          <w:lang w:eastAsia="en-IN"/>
        </w:rPr>
      </w:pPr>
      <w:r w:rsidRPr="009E36C9">
        <w:rPr>
          <w:lang w:eastAsia="en-IN"/>
        </w:rPr>
        <w:t>Example: A 2015 report by the USPS Office of Inspector General suggested that postal banking could reach 68 million underserved Americans.</w:t>
      </w:r>
    </w:p>
    <w:p w14:paraId="6F36FF9C" w14:textId="77777777" w:rsidR="009E36C9" w:rsidRPr="009E36C9" w:rsidRDefault="009E36C9" w:rsidP="009E36C9">
      <w:pPr>
        <w:rPr>
          <w:lang w:eastAsia="en-IN"/>
        </w:rPr>
      </w:pPr>
      <w:r w:rsidRPr="009E36C9">
        <w:rPr>
          <w:b/>
          <w:bCs/>
          <w:lang w:eastAsia="en-IN"/>
        </w:rPr>
        <w:t>Impact:</w:t>
      </w:r>
      <w:r w:rsidRPr="009E36C9">
        <w:rPr>
          <w:lang w:eastAsia="en-IN"/>
        </w:rPr>
        <w:t xml:space="preserve"> While still in proposal stages, pilot programs and studies continue to explore this model's feasibility and potential impact.</w:t>
      </w:r>
    </w:p>
    <w:p w14:paraId="2BF8E90D" w14:textId="77777777" w:rsidR="009E36C9" w:rsidRPr="009E36C9" w:rsidRDefault="009E36C9" w:rsidP="009E36C9">
      <w:pPr>
        <w:rPr>
          <w:b/>
          <w:bCs/>
          <w:lang w:eastAsia="en-IN"/>
        </w:rPr>
      </w:pPr>
      <w:r w:rsidRPr="009E36C9">
        <w:rPr>
          <w:b/>
          <w:bCs/>
          <w:lang w:eastAsia="en-IN"/>
        </w:rPr>
        <w:t>9. Affordable Housing Loans</w:t>
      </w:r>
    </w:p>
    <w:p w14:paraId="0711686D" w14:textId="77777777" w:rsidR="009E36C9" w:rsidRPr="009E36C9" w:rsidRDefault="009E36C9" w:rsidP="009E36C9">
      <w:pPr>
        <w:rPr>
          <w:lang w:eastAsia="en-IN"/>
        </w:rPr>
      </w:pPr>
      <w:r w:rsidRPr="009E36C9">
        <w:rPr>
          <w:lang w:eastAsia="en-IN"/>
        </w:rPr>
        <w:t>Banks provide affordable housing loans and support through various programs to help low-income families achieve homeownership.</w:t>
      </w:r>
    </w:p>
    <w:p w14:paraId="41DFC2C3" w14:textId="77777777" w:rsidR="009E36C9" w:rsidRPr="009E36C9" w:rsidRDefault="009E36C9" w:rsidP="009E36C9">
      <w:pPr>
        <w:rPr>
          <w:lang w:eastAsia="en-IN"/>
        </w:rPr>
      </w:pPr>
      <w:r w:rsidRPr="009E36C9">
        <w:rPr>
          <w:lang w:eastAsia="en-IN"/>
        </w:rPr>
        <w:t>Example: Wells Fargo’s NeighborhoodLIFT program offers down payment assistance to low-income homebuyers.</w:t>
      </w:r>
    </w:p>
    <w:p w14:paraId="403F9047" w14:textId="77777777" w:rsidR="009E36C9" w:rsidRPr="009E36C9" w:rsidRDefault="009E36C9" w:rsidP="009E36C9">
      <w:pPr>
        <w:rPr>
          <w:lang w:eastAsia="en-IN"/>
        </w:rPr>
      </w:pPr>
      <w:r w:rsidRPr="009E36C9">
        <w:rPr>
          <w:b/>
          <w:bCs/>
          <w:lang w:eastAsia="en-IN"/>
        </w:rPr>
        <w:t>Impact:</w:t>
      </w:r>
      <w:r w:rsidRPr="009E36C9">
        <w:rPr>
          <w:lang w:eastAsia="en-IN"/>
        </w:rPr>
        <w:t xml:space="preserve"> Since its launch in 2012, NeighborhoodLIFT has assisted over 24,000 homeowners with down payment assistance and education.</w:t>
      </w:r>
    </w:p>
    <w:p w14:paraId="618EBAAC" w14:textId="77777777" w:rsidR="009E36C9" w:rsidRPr="009E36C9" w:rsidRDefault="009E36C9" w:rsidP="009E36C9">
      <w:pPr>
        <w:rPr>
          <w:b/>
          <w:bCs/>
          <w:lang w:eastAsia="en-IN"/>
        </w:rPr>
      </w:pPr>
      <w:r w:rsidRPr="009E36C9">
        <w:rPr>
          <w:b/>
          <w:bCs/>
          <w:lang w:eastAsia="en-IN"/>
        </w:rPr>
        <w:t>10. Federal and State Policies</w:t>
      </w:r>
    </w:p>
    <w:p w14:paraId="3B9C523E" w14:textId="77777777" w:rsidR="009E36C9" w:rsidRPr="009E36C9" w:rsidRDefault="009E36C9" w:rsidP="009E36C9">
      <w:pPr>
        <w:rPr>
          <w:lang w:eastAsia="en-IN"/>
        </w:rPr>
      </w:pPr>
      <w:r w:rsidRPr="009E36C9">
        <w:rPr>
          <w:lang w:eastAsia="en-IN"/>
        </w:rPr>
        <w:t>Various federal and state policies encourage financial inclusion through incentives and regulatory frameworks.</w:t>
      </w:r>
    </w:p>
    <w:p w14:paraId="770BF4BA" w14:textId="77777777" w:rsidR="009E36C9" w:rsidRPr="009E36C9" w:rsidRDefault="009E36C9" w:rsidP="009E36C9">
      <w:pPr>
        <w:rPr>
          <w:lang w:eastAsia="en-IN"/>
        </w:rPr>
      </w:pPr>
      <w:r w:rsidRPr="009E36C9">
        <w:rPr>
          <w:lang w:eastAsia="en-IN"/>
        </w:rPr>
        <w:t>Example: The Federal Housing Finance Agency (FHFA) requires Fannie Mae and Freddie Mac to support affordable housing for low- and moderate-income families.</w:t>
      </w:r>
    </w:p>
    <w:p w14:paraId="20B88C77" w14:textId="77777777" w:rsidR="009E36C9" w:rsidRPr="009E36C9" w:rsidRDefault="009E36C9" w:rsidP="009E36C9">
      <w:pPr>
        <w:rPr>
          <w:lang w:eastAsia="en-IN"/>
        </w:rPr>
      </w:pPr>
      <w:r w:rsidRPr="009E36C9">
        <w:rPr>
          <w:b/>
          <w:bCs/>
          <w:lang w:eastAsia="en-IN"/>
        </w:rPr>
        <w:lastRenderedPageBreak/>
        <w:t>Impact:</w:t>
      </w:r>
      <w:r w:rsidRPr="009E36C9">
        <w:rPr>
          <w:lang w:eastAsia="en-IN"/>
        </w:rPr>
        <w:t xml:space="preserve"> In 2020, Fannie Mae and Freddie Mac provided $392 billion in financing to support affordable housing.</w:t>
      </w:r>
    </w:p>
    <w:p w14:paraId="62F185AC" w14:textId="77777777" w:rsidR="009E36C9" w:rsidRPr="009E36C9" w:rsidRDefault="009E36C9" w:rsidP="009E36C9">
      <w:pPr>
        <w:rPr>
          <w:b/>
          <w:bCs/>
          <w:lang w:eastAsia="en-IN"/>
        </w:rPr>
      </w:pPr>
      <w:r w:rsidRPr="009E36C9">
        <w:rPr>
          <w:b/>
          <w:bCs/>
          <w:lang w:eastAsia="en-IN"/>
        </w:rPr>
        <w:t>Conclusion</w:t>
      </w:r>
    </w:p>
    <w:p w14:paraId="66A20C85" w14:textId="77777777" w:rsidR="009E36C9" w:rsidRDefault="009E36C9" w:rsidP="009E36C9">
      <w:pPr>
        <w:rPr>
          <w:lang w:eastAsia="en-IN"/>
        </w:rPr>
      </w:pPr>
      <w:r w:rsidRPr="009E36C9">
        <w:rPr>
          <w:lang w:eastAsia="en-IN"/>
        </w:rPr>
        <w:t>Financial inclusion initiatives in the U.S. banking sector encompass a broad range of programs and policies designed to expand access to financial services. These efforts are supported by significant investments and regulatory frameworks, demonstrating a commitment to reaching underserved populations and promoting economic inclusion.</w:t>
      </w:r>
    </w:p>
    <w:p w14:paraId="3C2A9597" w14:textId="77777777" w:rsidR="007E19CD" w:rsidRDefault="007E19CD" w:rsidP="009E36C9">
      <w:pPr>
        <w:rPr>
          <w:lang w:eastAsia="en-IN"/>
        </w:rPr>
      </w:pPr>
    </w:p>
    <w:p w14:paraId="11FE9FB4" w14:textId="7C22B52C" w:rsidR="007E19CD" w:rsidRDefault="007E19CD" w:rsidP="009E36C9">
      <w:pPr>
        <w:rPr>
          <w:b/>
          <w:bCs/>
          <w:sz w:val="40"/>
          <w:szCs w:val="40"/>
          <w:lang w:eastAsia="en-IN"/>
        </w:rPr>
      </w:pPr>
      <w:r>
        <w:rPr>
          <w:b/>
          <w:bCs/>
          <w:sz w:val="40"/>
          <w:szCs w:val="40"/>
          <w:lang w:eastAsia="en-IN"/>
        </w:rPr>
        <w:t>3.Emerging trend in US banking system</w:t>
      </w:r>
    </w:p>
    <w:p w14:paraId="5E10581A" w14:textId="77777777" w:rsidR="007E19CD" w:rsidRPr="007E19CD" w:rsidRDefault="007E19CD" w:rsidP="007E19CD">
      <w:pPr>
        <w:rPr>
          <w:lang w:eastAsia="en-IN"/>
        </w:rPr>
      </w:pPr>
      <w:r w:rsidRPr="007E19CD">
        <w:rPr>
          <w:lang w:eastAsia="en-IN"/>
        </w:rPr>
        <w:t>The U.S. banking sector is undergoing significant transformations driven by several key trends emerging in 2024. Here are some of the most impactful:</w:t>
      </w:r>
    </w:p>
    <w:p w14:paraId="3410C0CD" w14:textId="16451D05" w:rsidR="007E19CD" w:rsidRPr="007E19CD" w:rsidRDefault="007E19CD" w:rsidP="007E19CD">
      <w:pPr>
        <w:rPr>
          <w:lang w:eastAsia="en-IN"/>
        </w:rPr>
      </w:pPr>
      <w:r w:rsidRPr="007E19CD">
        <w:rPr>
          <w:b/>
          <w:bCs/>
          <w:lang w:eastAsia="en-IN"/>
        </w:rPr>
        <w:t>Artificial Intelligence and Automation</w:t>
      </w:r>
      <w:r w:rsidRPr="007E19CD">
        <w:rPr>
          <w:lang w:eastAsia="en-IN"/>
        </w:rPr>
        <w:t>: The integration of AI, particularly generative AI, is revolutionizing banking operations. AI-driven tools are improving customer service through chatbots and virtual assistants, enhancing fraud detection, and optimizing credit scoring and risk management. AI is also pivotal in providing personalized banking experiences, analyzing massive datasets for better decision-making, and automating routine processes to increase efficiency and reduce costs</w:t>
      </w:r>
      <w:r>
        <w:rPr>
          <w:rFonts w:ascii="Arial" w:hAnsi="Arial" w:cs="Arial"/>
          <w:lang w:eastAsia="en-IN"/>
        </w:rPr>
        <w:t>.</w:t>
      </w:r>
    </w:p>
    <w:p w14:paraId="01C14CC5" w14:textId="7476F878" w:rsidR="007E19CD" w:rsidRPr="007E19CD" w:rsidRDefault="007E19CD" w:rsidP="007E19CD">
      <w:pPr>
        <w:rPr>
          <w:lang w:eastAsia="en-IN"/>
        </w:rPr>
      </w:pPr>
      <w:r w:rsidRPr="007E19CD">
        <w:rPr>
          <w:b/>
          <w:bCs/>
          <w:lang w:eastAsia="en-IN"/>
        </w:rPr>
        <w:t>Cybersecurity Enhancements:</w:t>
      </w:r>
      <w:r w:rsidRPr="007E19CD">
        <w:rPr>
          <w:lang w:eastAsia="en-IN"/>
        </w:rPr>
        <w:t xml:space="preserve"> With increasing digitalization, banks are focusing more on robust cybersecurity measures. This includes using AI for real-time threat detection, implementing advanced biometric authentication methods, and deploying quantum computing to enhance data security and forecast accuracy</w:t>
      </w:r>
    </w:p>
    <w:p w14:paraId="6FAAE24D" w14:textId="748EC716" w:rsidR="007E19CD" w:rsidRPr="007E19CD" w:rsidRDefault="007E19CD" w:rsidP="007E19CD">
      <w:pPr>
        <w:rPr>
          <w:lang w:eastAsia="en-IN"/>
        </w:rPr>
      </w:pPr>
      <w:r w:rsidRPr="007E19CD">
        <w:rPr>
          <w:b/>
          <w:bCs/>
          <w:lang w:eastAsia="en-IN"/>
        </w:rPr>
        <w:t>Open Banking and APIs:</w:t>
      </w:r>
      <w:r w:rsidRPr="007E19CD">
        <w:rPr>
          <w:lang w:eastAsia="en-IN"/>
        </w:rPr>
        <w:t xml:space="preserve"> Open banking is gaining traction, allowing third-party developers to create new financial services by securely accessing customer data through APIs. This trend facilitates more personalized and accessible financial services, fostering innovation and competition within the banking sector </w:t>
      </w:r>
    </w:p>
    <w:p w14:paraId="09B8A1C9" w14:textId="24788091" w:rsidR="007E19CD" w:rsidRPr="007E19CD" w:rsidRDefault="007E19CD" w:rsidP="007E19CD">
      <w:pPr>
        <w:rPr>
          <w:lang w:eastAsia="en-IN"/>
        </w:rPr>
      </w:pPr>
      <w:r w:rsidRPr="007E19CD">
        <w:rPr>
          <w:b/>
          <w:bCs/>
          <w:lang w:eastAsia="en-IN"/>
        </w:rPr>
        <w:t xml:space="preserve">Economic and Regulatory Landscape: </w:t>
      </w:r>
      <w:r w:rsidRPr="007E19CD">
        <w:rPr>
          <w:lang w:eastAsia="en-IN"/>
        </w:rPr>
        <w:t>The global economic slowdown and varying monetary policies are influencing the banking sector. In the U.S., high-interest rates have increased net interest income but also raised deposit costs, especially for regional and midsize banks. Regulatory adjustments and economic pressures require banks to adapt their strategies to maintain profitability and compliance</w:t>
      </w:r>
      <w:r w:rsidRPr="007E19CD">
        <w:rPr>
          <w:rFonts w:ascii="Arial" w:hAnsi="Arial" w:cs="Arial"/>
          <w:lang w:eastAsia="en-IN"/>
        </w:rPr>
        <w:t>​</w:t>
      </w:r>
      <w:r w:rsidRPr="007E19CD">
        <w:rPr>
          <w:lang w:eastAsia="en-IN"/>
        </w:rPr>
        <w:t xml:space="preserve"> </w:t>
      </w:r>
    </w:p>
    <w:p w14:paraId="0B233F2A" w14:textId="3DE911F8" w:rsidR="007E19CD" w:rsidRPr="007E19CD" w:rsidRDefault="007E19CD" w:rsidP="007E19CD">
      <w:pPr>
        <w:rPr>
          <w:lang w:eastAsia="en-IN"/>
        </w:rPr>
      </w:pPr>
      <w:r w:rsidRPr="007E19CD">
        <w:rPr>
          <w:b/>
          <w:bCs/>
          <w:lang w:eastAsia="en-IN"/>
        </w:rPr>
        <w:t>Hyper-Personalization:</w:t>
      </w:r>
      <w:r w:rsidRPr="007E19CD">
        <w:rPr>
          <w:lang w:eastAsia="en-IN"/>
        </w:rPr>
        <w:t xml:space="preserve"> Banks are increasingly focusing on providing hyper-personalized services to improve customer retention. This involves leveraging data analytics and AI to offer tailored financial products and services that meet individual customer needs and preferences</w:t>
      </w:r>
      <w:r w:rsidRPr="007E19CD">
        <w:rPr>
          <w:rFonts w:ascii="Arial" w:hAnsi="Arial" w:cs="Arial"/>
          <w:lang w:eastAsia="en-IN"/>
        </w:rPr>
        <w:t>​</w:t>
      </w:r>
      <w:r w:rsidRPr="007E19CD">
        <w:rPr>
          <w:lang w:eastAsia="en-IN"/>
        </w:rPr>
        <w:t xml:space="preserve"> </w:t>
      </w:r>
    </w:p>
    <w:p w14:paraId="623AE900" w14:textId="31632206" w:rsidR="007E19CD" w:rsidRPr="007E19CD" w:rsidRDefault="007E19CD" w:rsidP="007E19CD">
      <w:pPr>
        <w:rPr>
          <w:lang w:eastAsia="en-IN"/>
        </w:rPr>
      </w:pPr>
      <w:r w:rsidRPr="007E19CD">
        <w:rPr>
          <w:b/>
          <w:bCs/>
          <w:lang w:eastAsia="en-IN"/>
        </w:rPr>
        <w:t>Sustainable and Ethical Banking:</w:t>
      </w:r>
      <w:r w:rsidRPr="007E19CD">
        <w:rPr>
          <w:lang w:eastAsia="en-IN"/>
        </w:rPr>
        <w:t xml:space="preserve"> There is a growing emphasis on sustainability and ethical banking practices. Banks are integrating environmental, social, and governance (ESG) criteria into their operations and investment strategies to meet regulatory requirements and consumer demand for responsible banking</w:t>
      </w:r>
      <w:r w:rsidRPr="007E19CD">
        <w:rPr>
          <w:rFonts w:ascii="Arial" w:hAnsi="Arial" w:cs="Arial"/>
          <w:lang w:eastAsia="en-IN"/>
        </w:rPr>
        <w:t>​</w:t>
      </w:r>
      <w:r w:rsidRPr="007E19CD">
        <w:rPr>
          <w:lang w:eastAsia="en-IN"/>
        </w:rPr>
        <w:t xml:space="preserve"> </w:t>
      </w:r>
    </w:p>
    <w:p w14:paraId="09098E6E" w14:textId="77E35A3A" w:rsidR="007E19CD" w:rsidRPr="007E19CD" w:rsidRDefault="007E19CD" w:rsidP="007E19CD">
      <w:pPr>
        <w:rPr>
          <w:lang w:eastAsia="en-IN"/>
        </w:rPr>
      </w:pPr>
      <w:r w:rsidRPr="007E19CD">
        <w:rPr>
          <w:b/>
          <w:bCs/>
          <w:lang w:eastAsia="en-IN"/>
        </w:rPr>
        <w:t>New Work Paradigms:</w:t>
      </w:r>
      <w:r w:rsidRPr="007E19CD">
        <w:rPr>
          <w:lang w:eastAsia="en-IN"/>
        </w:rPr>
        <w:t xml:space="preserve"> The future of work in banking is being redefined, with an emphasis on hybrid work models and leveraging digital tools to enhance productivity. This shift requires </w:t>
      </w:r>
      <w:r w:rsidRPr="007E19CD">
        <w:rPr>
          <w:lang w:eastAsia="en-IN"/>
        </w:rPr>
        <w:lastRenderedPageBreak/>
        <w:t>banks to invest in talent development and ensure that employees are equipped with the necessary skills to thrive in a digital-first environment</w:t>
      </w:r>
      <w:r w:rsidRPr="007E19CD">
        <w:rPr>
          <w:rFonts w:ascii="Arial" w:hAnsi="Arial" w:cs="Arial"/>
          <w:lang w:eastAsia="en-IN"/>
        </w:rPr>
        <w:t>​</w:t>
      </w:r>
      <w:r w:rsidRPr="007E19CD">
        <w:rPr>
          <w:lang w:eastAsia="en-IN"/>
        </w:rPr>
        <w:t xml:space="preserve"> </w:t>
      </w:r>
    </w:p>
    <w:p w14:paraId="4EA9B4E1" w14:textId="77777777" w:rsidR="007E19CD" w:rsidRDefault="007E19CD" w:rsidP="007E19CD">
      <w:pPr>
        <w:rPr>
          <w:lang w:eastAsia="en-IN"/>
        </w:rPr>
      </w:pPr>
      <w:r w:rsidRPr="007E19CD">
        <w:rPr>
          <w:lang w:eastAsia="en-IN"/>
        </w:rPr>
        <w:t>These trends indicate a banking sector that is becoming more technologically advanced, customer-centric, and resilient to economic and regulatory changes. Banks that can effectively leverage these trends are likely to gain a competitive edge in the evolving financial landscape.</w:t>
      </w:r>
    </w:p>
    <w:p w14:paraId="4F6D7CD8" w14:textId="61AEA518" w:rsidR="00714119" w:rsidRPr="00714119" w:rsidRDefault="00714119" w:rsidP="007141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3929"/>
        <w:gridCol w:w="3275"/>
      </w:tblGrid>
      <w:tr w:rsidR="00714119" w:rsidRPr="00714119" w14:paraId="28F47765" w14:textId="77777777" w:rsidTr="00714119">
        <w:trPr>
          <w:tblHeader/>
          <w:tblCellSpacing w:w="15" w:type="dxa"/>
        </w:trPr>
        <w:tc>
          <w:tcPr>
            <w:tcW w:w="0" w:type="auto"/>
            <w:tcBorders>
              <w:top w:val="single" w:sz="4" w:space="0" w:color="auto"/>
              <w:left w:val="single" w:sz="4" w:space="0" w:color="auto"/>
              <w:bottom w:val="single" w:sz="4" w:space="0" w:color="auto"/>
            </w:tcBorders>
            <w:vAlign w:val="center"/>
            <w:hideMark/>
          </w:tcPr>
          <w:p w14:paraId="365B5B50" w14:textId="77777777" w:rsidR="00714119" w:rsidRPr="00714119" w:rsidRDefault="00714119" w:rsidP="00714119">
            <w:pPr>
              <w:spacing w:after="0" w:line="240" w:lineRule="auto"/>
              <w:jc w:val="center"/>
              <w:rPr>
                <w:rFonts w:ascii="Times New Roman" w:eastAsia="Times New Roman" w:hAnsi="Times New Roman" w:cs="Times New Roman"/>
                <w:b/>
                <w:bCs/>
                <w:kern w:val="0"/>
                <w:sz w:val="24"/>
                <w:szCs w:val="24"/>
                <w:lang w:eastAsia="en-IN"/>
                <w14:ligatures w14:val="none"/>
              </w:rPr>
            </w:pPr>
            <w:r w:rsidRPr="00714119">
              <w:rPr>
                <w:rFonts w:ascii="Times New Roman" w:eastAsia="Times New Roman" w:hAnsi="Times New Roman" w:cs="Times New Roman"/>
                <w:b/>
                <w:bCs/>
                <w:kern w:val="0"/>
                <w:sz w:val="24"/>
                <w:szCs w:val="24"/>
                <w:lang w:eastAsia="en-IN"/>
                <w14:ligatures w14:val="none"/>
              </w:rPr>
              <w:t>Trend</w:t>
            </w:r>
          </w:p>
        </w:tc>
        <w:tc>
          <w:tcPr>
            <w:tcW w:w="0" w:type="auto"/>
            <w:tcBorders>
              <w:top w:val="single" w:sz="4" w:space="0" w:color="auto"/>
              <w:left w:val="single" w:sz="4" w:space="0" w:color="auto"/>
              <w:bottom w:val="single" w:sz="4" w:space="0" w:color="auto"/>
              <w:right w:val="single" w:sz="4" w:space="0" w:color="auto"/>
            </w:tcBorders>
            <w:vAlign w:val="center"/>
            <w:hideMark/>
          </w:tcPr>
          <w:p w14:paraId="69CAD4AA" w14:textId="77777777" w:rsidR="00714119" w:rsidRPr="00714119" w:rsidRDefault="00714119" w:rsidP="00714119">
            <w:pPr>
              <w:spacing w:after="0" w:line="240" w:lineRule="auto"/>
              <w:jc w:val="center"/>
              <w:rPr>
                <w:rFonts w:ascii="Times New Roman" w:eastAsia="Times New Roman" w:hAnsi="Times New Roman" w:cs="Times New Roman"/>
                <w:b/>
                <w:bCs/>
                <w:kern w:val="0"/>
                <w:sz w:val="24"/>
                <w:szCs w:val="24"/>
                <w:lang w:eastAsia="en-IN"/>
                <w14:ligatures w14:val="none"/>
              </w:rPr>
            </w:pPr>
            <w:r w:rsidRPr="00714119">
              <w:rPr>
                <w:rFonts w:ascii="Times New Roman" w:eastAsia="Times New Roman" w:hAnsi="Times New Roman" w:cs="Times New Roman"/>
                <w:b/>
                <w:bCs/>
                <w:kern w:val="0"/>
                <w:sz w:val="24"/>
                <w:szCs w:val="24"/>
                <w:lang w:eastAsia="en-IN"/>
                <w14:ligatures w14:val="none"/>
              </w:rPr>
              <w:t>Description</w:t>
            </w:r>
          </w:p>
        </w:tc>
        <w:tc>
          <w:tcPr>
            <w:tcW w:w="0" w:type="auto"/>
            <w:tcBorders>
              <w:top w:val="single" w:sz="4" w:space="0" w:color="auto"/>
              <w:bottom w:val="single" w:sz="4" w:space="0" w:color="auto"/>
              <w:right w:val="single" w:sz="4" w:space="0" w:color="auto"/>
            </w:tcBorders>
            <w:vAlign w:val="center"/>
            <w:hideMark/>
          </w:tcPr>
          <w:p w14:paraId="254D7E56" w14:textId="77777777" w:rsidR="00714119" w:rsidRPr="00714119" w:rsidRDefault="00714119" w:rsidP="00714119">
            <w:pPr>
              <w:spacing w:after="0" w:line="240" w:lineRule="auto"/>
              <w:jc w:val="center"/>
              <w:rPr>
                <w:rFonts w:ascii="Times New Roman" w:eastAsia="Times New Roman" w:hAnsi="Times New Roman" w:cs="Times New Roman"/>
                <w:b/>
                <w:bCs/>
                <w:kern w:val="0"/>
                <w:sz w:val="24"/>
                <w:szCs w:val="24"/>
                <w:lang w:eastAsia="en-IN"/>
                <w14:ligatures w14:val="none"/>
              </w:rPr>
            </w:pPr>
            <w:r w:rsidRPr="00714119">
              <w:rPr>
                <w:rFonts w:ascii="Times New Roman" w:eastAsia="Times New Roman" w:hAnsi="Times New Roman" w:cs="Times New Roman"/>
                <w:b/>
                <w:bCs/>
                <w:kern w:val="0"/>
                <w:sz w:val="24"/>
                <w:szCs w:val="24"/>
                <w:lang w:eastAsia="en-IN"/>
                <w14:ligatures w14:val="none"/>
              </w:rPr>
              <w:t>Stats/Impact</w:t>
            </w:r>
          </w:p>
        </w:tc>
      </w:tr>
      <w:tr w:rsidR="00714119" w:rsidRPr="00714119" w14:paraId="4BCD8847" w14:textId="77777777" w:rsidTr="00714119">
        <w:trPr>
          <w:tblCellSpacing w:w="15" w:type="dxa"/>
        </w:trPr>
        <w:tc>
          <w:tcPr>
            <w:tcW w:w="0" w:type="auto"/>
            <w:tcBorders>
              <w:left w:val="single" w:sz="4" w:space="0" w:color="auto"/>
            </w:tcBorders>
            <w:vAlign w:val="center"/>
            <w:hideMark/>
          </w:tcPr>
          <w:p w14:paraId="4595227A"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Digital Transformation</w:t>
            </w:r>
          </w:p>
        </w:tc>
        <w:tc>
          <w:tcPr>
            <w:tcW w:w="0" w:type="auto"/>
            <w:tcBorders>
              <w:left w:val="single" w:sz="4" w:space="0" w:color="auto"/>
              <w:right w:val="single" w:sz="4" w:space="0" w:color="auto"/>
            </w:tcBorders>
            <w:vAlign w:val="center"/>
            <w:hideMark/>
          </w:tcPr>
          <w:p w14:paraId="0558726C"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Banks are increasingly investing in digital technologies to enhance customer experience and operational efficiency.</w:t>
            </w:r>
          </w:p>
        </w:tc>
        <w:tc>
          <w:tcPr>
            <w:tcW w:w="0" w:type="auto"/>
            <w:tcBorders>
              <w:right w:val="single" w:sz="4" w:space="0" w:color="auto"/>
            </w:tcBorders>
            <w:vAlign w:val="center"/>
            <w:hideMark/>
          </w:tcPr>
          <w:p w14:paraId="2D2A5361"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- 75% of Americans now use online banking regularly.</w:t>
            </w:r>
          </w:p>
        </w:tc>
      </w:tr>
      <w:tr w:rsidR="00714119" w:rsidRPr="00714119" w14:paraId="431BE42C" w14:textId="77777777" w:rsidTr="00714119">
        <w:trPr>
          <w:tblCellSpacing w:w="15" w:type="dxa"/>
        </w:trPr>
        <w:tc>
          <w:tcPr>
            <w:tcW w:w="0" w:type="auto"/>
            <w:tcBorders>
              <w:top w:val="single" w:sz="4" w:space="0" w:color="auto"/>
              <w:left w:val="single" w:sz="4" w:space="0" w:color="auto"/>
              <w:bottom w:val="single" w:sz="4" w:space="0" w:color="auto"/>
            </w:tcBorders>
            <w:vAlign w:val="center"/>
            <w:hideMark/>
          </w:tcPr>
          <w:p w14:paraId="26F1F60B"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B78CD34" w14:textId="77777777" w:rsidR="00714119" w:rsidRPr="00714119" w:rsidRDefault="00714119" w:rsidP="0071411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bottom w:val="single" w:sz="4" w:space="0" w:color="auto"/>
              <w:right w:val="single" w:sz="4" w:space="0" w:color="auto"/>
            </w:tcBorders>
            <w:vAlign w:val="center"/>
            <w:hideMark/>
          </w:tcPr>
          <w:p w14:paraId="54650920"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Mobile banking app usage has increased by 54% since 2019.</w:t>
            </w:r>
          </w:p>
        </w:tc>
      </w:tr>
      <w:tr w:rsidR="00714119" w:rsidRPr="00714119" w14:paraId="2B0DEFDB" w14:textId="77777777" w:rsidTr="00714119">
        <w:trPr>
          <w:tblCellSpacing w:w="15" w:type="dxa"/>
        </w:trPr>
        <w:tc>
          <w:tcPr>
            <w:tcW w:w="0" w:type="auto"/>
            <w:tcBorders>
              <w:left w:val="single" w:sz="4" w:space="0" w:color="auto"/>
            </w:tcBorders>
            <w:vAlign w:val="center"/>
            <w:hideMark/>
          </w:tcPr>
          <w:p w14:paraId="200D33C5"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left w:val="single" w:sz="4" w:space="0" w:color="auto"/>
              <w:right w:val="single" w:sz="4" w:space="0" w:color="auto"/>
            </w:tcBorders>
            <w:vAlign w:val="center"/>
            <w:hideMark/>
          </w:tcPr>
          <w:p w14:paraId="3587C07E" w14:textId="77777777" w:rsidR="00714119" w:rsidRPr="00714119" w:rsidRDefault="00714119" w:rsidP="0071411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right w:val="single" w:sz="4" w:space="0" w:color="auto"/>
            </w:tcBorders>
            <w:vAlign w:val="center"/>
            <w:hideMark/>
          </w:tcPr>
          <w:p w14:paraId="33F076E5"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- 60% of banking customers prefer mobile banking for routine transactions.</w:t>
            </w:r>
          </w:p>
        </w:tc>
      </w:tr>
      <w:tr w:rsidR="00714119" w:rsidRPr="00714119" w14:paraId="1E513A40" w14:textId="77777777" w:rsidTr="00714119">
        <w:trPr>
          <w:tblCellSpacing w:w="15" w:type="dxa"/>
        </w:trPr>
        <w:tc>
          <w:tcPr>
            <w:tcW w:w="0" w:type="auto"/>
            <w:tcBorders>
              <w:left w:val="single" w:sz="4" w:space="0" w:color="auto"/>
            </w:tcBorders>
            <w:vAlign w:val="center"/>
            <w:hideMark/>
          </w:tcPr>
          <w:p w14:paraId="50B77508"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Fintech Collaboration</w:t>
            </w:r>
          </w:p>
        </w:tc>
        <w:tc>
          <w:tcPr>
            <w:tcW w:w="0" w:type="auto"/>
            <w:tcBorders>
              <w:left w:val="single" w:sz="4" w:space="0" w:color="auto"/>
              <w:right w:val="single" w:sz="4" w:space="0" w:color="auto"/>
            </w:tcBorders>
            <w:vAlign w:val="center"/>
            <w:hideMark/>
          </w:tcPr>
          <w:p w14:paraId="291190E5"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Banks are partnering with fintech companies to leverage innovative solutions and reach new customer segments.</w:t>
            </w:r>
          </w:p>
        </w:tc>
        <w:tc>
          <w:tcPr>
            <w:tcW w:w="0" w:type="auto"/>
            <w:tcBorders>
              <w:right w:val="single" w:sz="4" w:space="0" w:color="auto"/>
            </w:tcBorders>
            <w:vAlign w:val="center"/>
            <w:hideMark/>
          </w:tcPr>
          <w:p w14:paraId="21F064A1"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Fintech investments by banks reached $10.9 billion in 2023.</w:t>
            </w:r>
          </w:p>
        </w:tc>
      </w:tr>
      <w:tr w:rsidR="00714119" w:rsidRPr="00714119" w14:paraId="7B579662" w14:textId="77777777" w:rsidTr="00714119">
        <w:trPr>
          <w:tblCellSpacing w:w="15" w:type="dxa"/>
        </w:trPr>
        <w:tc>
          <w:tcPr>
            <w:tcW w:w="0" w:type="auto"/>
            <w:tcBorders>
              <w:top w:val="single" w:sz="4" w:space="0" w:color="auto"/>
              <w:left w:val="single" w:sz="4" w:space="0" w:color="auto"/>
            </w:tcBorders>
            <w:vAlign w:val="center"/>
            <w:hideMark/>
          </w:tcPr>
          <w:p w14:paraId="2D3460D9"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left w:val="single" w:sz="4" w:space="0" w:color="auto"/>
              <w:right w:val="single" w:sz="4" w:space="0" w:color="auto"/>
            </w:tcBorders>
            <w:vAlign w:val="center"/>
            <w:hideMark/>
          </w:tcPr>
          <w:p w14:paraId="4D743621" w14:textId="77777777" w:rsidR="00714119" w:rsidRPr="00714119" w:rsidRDefault="00714119" w:rsidP="0071411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right w:val="single" w:sz="4" w:space="0" w:color="auto"/>
            </w:tcBorders>
            <w:vAlign w:val="center"/>
            <w:hideMark/>
          </w:tcPr>
          <w:p w14:paraId="7E4D6CE5"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- 82% of financial institutions plan to increase fintech partnerships in the next three to five years.</w:t>
            </w:r>
          </w:p>
        </w:tc>
      </w:tr>
      <w:tr w:rsidR="00714119" w:rsidRPr="00714119" w14:paraId="70CA0FAD" w14:textId="77777777" w:rsidTr="00714119">
        <w:trPr>
          <w:tblCellSpacing w:w="15" w:type="dxa"/>
        </w:trPr>
        <w:tc>
          <w:tcPr>
            <w:tcW w:w="0" w:type="auto"/>
            <w:tcBorders>
              <w:top w:val="single" w:sz="4" w:space="0" w:color="auto"/>
              <w:left w:val="single" w:sz="4" w:space="0" w:color="auto"/>
            </w:tcBorders>
            <w:vAlign w:val="center"/>
            <w:hideMark/>
          </w:tcPr>
          <w:p w14:paraId="6A311DEB"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AI and Machine Learning</w:t>
            </w:r>
          </w:p>
        </w:tc>
        <w:tc>
          <w:tcPr>
            <w:tcW w:w="0" w:type="auto"/>
            <w:tcBorders>
              <w:top w:val="single" w:sz="4" w:space="0" w:color="auto"/>
              <w:left w:val="single" w:sz="4" w:space="0" w:color="auto"/>
              <w:right w:val="single" w:sz="4" w:space="0" w:color="auto"/>
            </w:tcBorders>
            <w:vAlign w:val="center"/>
            <w:hideMark/>
          </w:tcPr>
          <w:p w14:paraId="7955A4FF"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AI and ML are being utilized for fraud detection, risk assessment, and personalized customer services.</w:t>
            </w:r>
          </w:p>
        </w:tc>
        <w:tc>
          <w:tcPr>
            <w:tcW w:w="0" w:type="auto"/>
            <w:tcBorders>
              <w:top w:val="single" w:sz="4" w:space="0" w:color="auto"/>
              <w:right w:val="single" w:sz="4" w:space="0" w:color="auto"/>
            </w:tcBorders>
            <w:vAlign w:val="center"/>
            <w:hideMark/>
          </w:tcPr>
          <w:p w14:paraId="65A7C8AA"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AI-powered chatbots can handle up to 80% of routine customer inquiries.</w:t>
            </w:r>
          </w:p>
        </w:tc>
      </w:tr>
      <w:tr w:rsidR="00714119" w:rsidRPr="00714119" w14:paraId="5E039047" w14:textId="77777777" w:rsidTr="00714119">
        <w:trPr>
          <w:tblCellSpacing w:w="15" w:type="dxa"/>
        </w:trPr>
        <w:tc>
          <w:tcPr>
            <w:tcW w:w="0" w:type="auto"/>
            <w:tcBorders>
              <w:top w:val="single" w:sz="4" w:space="0" w:color="auto"/>
              <w:left w:val="single" w:sz="4" w:space="0" w:color="auto"/>
              <w:bottom w:val="single" w:sz="4" w:space="0" w:color="auto"/>
            </w:tcBorders>
            <w:vAlign w:val="center"/>
            <w:hideMark/>
          </w:tcPr>
          <w:p w14:paraId="12C84B99"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908E7DA" w14:textId="77777777" w:rsidR="00714119" w:rsidRPr="00714119" w:rsidRDefault="00714119" w:rsidP="0071411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bottom w:val="single" w:sz="4" w:space="0" w:color="auto"/>
              <w:right w:val="single" w:sz="4" w:space="0" w:color="auto"/>
            </w:tcBorders>
            <w:vAlign w:val="center"/>
            <w:hideMark/>
          </w:tcPr>
          <w:p w14:paraId="55B363AC"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AI-driven fraud detection has reduced false positives by 40%.</w:t>
            </w:r>
          </w:p>
        </w:tc>
      </w:tr>
      <w:tr w:rsidR="00714119" w:rsidRPr="00714119" w14:paraId="3FF629C6" w14:textId="77777777" w:rsidTr="00714119">
        <w:trPr>
          <w:tblCellSpacing w:w="15" w:type="dxa"/>
        </w:trPr>
        <w:tc>
          <w:tcPr>
            <w:tcW w:w="0" w:type="auto"/>
            <w:tcBorders>
              <w:left w:val="single" w:sz="4" w:space="0" w:color="auto"/>
              <w:bottom w:val="single" w:sz="4" w:space="0" w:color="auto"/>
            </w:tcBorders>
            <w:vAlign w:val="center"/>
            <w:hideMark/>
          </w:tcPr>
          <w:p w14:paraId="49C2E8FB"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Open Banking</w:t>
            </w:r>
          </w:p>
        </w:tc>
        <w:tc>
          <w:tcPr>
            <w:tcW w:w="0" w:type="auto"/>
            <w:tcBorders>
              <w:left w:val="single" w:sz="4" w:space="0" w:color="auto"/>
              <w:bottom w:val="single" w:sz="4" w:space="0" w:color="auto"/>
              <w:right w:val="single" w:sz="4" w:space="0" w:color="auto"/>
            </w:tcBorders>
            <w:vAlign w:val="center"/>
            <w:hideMark/>
          </w:tcPr>
          <w:p w14:paraId="5570C252"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Open banking initiatives are promoting data sharing among financial institutions to foster innovation.</w:t>
            </w:r>
          </w:p>
        </w:tc>
        <w:tc>
          <w:tcPr>
            <w:tcW w:w="0" w:type="auto"/>
            <w:tcBorders>
              <w:bottom w:val="single" w:sz="4" w:space="0" w:color="auto"/>
              <w:right w:val="single" w:sz="4" w:space="0" w:color="auto"/>
            </w:tcBorders>
            <w:vAlign w:val="center"/>
            <w:hideMark/>
          </w:tcPr>
          <w:p w14:paraId="61DB9529"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- 64% of banks are actively investing in open banking initiatives.</w:t>
            </w:r>
          </w:p>
        </w:tc>
      </w:tr>
      <w:tr w:rsidR="00714119" w:rsidRPr="00714119" w14:paraId="4CB996A1" w14:textId="77777777" w:rsidTr="00714119">
        <w:trPr>
          <w:tblCellSpacing w:w="15" w:type="dxa"/>
        </w:trPr>
        <w:tc>
          <w:tcPr>
            <w:tcW w:w="0" w:type="auto"/>
            <w:tcBorders>
              <w:left w:val="single" w:sz="4" w:space="0" w:color="auto"/>
            </w:tcBorders>
            <w:vAlign w:val="center"/>
            <w:hideMark/>
          </w:tcPr>
          <w:p w14:paraId="61AD6FA3"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left w:val="single" w:sz="4" w:space="0" w:color="auto"/>
              <w:right w:val="single" w:sz="4" w:space="0" w:color="auto"/>
            </w:tcBorders>
            <w:vAlign w:val="center"/>
            <w:hideMark/>
          </w:tcPr>
          <w:p w14:paraId="55A0B0D5" w14:textId="77777777" w:rsidR="00714119" w:rsidRPr="00714119" w:rsidRDefault="00714119" w:rsidP="0071411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right w:val="single" w:sz="4" w:space="0" w:color="auto"/>
            </w:tcBorders>
            <w:vAlign w:val="center"/>
            <w:hideMark/>
          </w:tcPr>
          <w:p w14:paraId="10ACB572"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Open banking could generate $1 trillion in new revenue by 2030.</w:t>
            </w:r>
          </w:p>
        </w:tc>
      </w:tr>
      <w:tr w:rsidR="00714119" w:rsidRPr="00714119" w14:paraId="5F97A291" w14:textId="77777777" w:rsidTr="00714119">
        <w:trPr>
          <w:tblCellSpacing w:w="15" w:type="dxa"/>
        </w:trPr>
        <w:tc>
          <w:tcPr>
            <w:tcW w:w="0" w:type="auto"/>
            <w:tcBorders>
              <w:top w:val="single" w:sz="4" w:space="0" w:color="auto"/>
              <w:left w:val="single" w:sz="4" w:space="0" w:color="auto"/>
              <w:bottom w:val="single" w:sz="4" w:space="0" w:color="auto"/>
            </w:tcBorders>
            <w:vAlign w:val="center"/>
            <w:hideMark/>
          </w:tcPr>
          <w:p w14:paraId="06D46B85"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ESG Integration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E2D764E" w14:textId="77777777"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Environmental, Social, and Governance (ESG) factors are increasingly influencing banking operations and investments.</w:t>
            </w:r>
          </w:p>
        </w:tc>
        <w:tc>
          <w:tcPr>
            <w:tcW w:w="0" w:type="auto"/>
            <w:tcBorders>
              <w:top w:val="single" w:sz="4" w:space="0" w:color="auto"/>
              <w:bottom w:val="single" w:sz="4" w:space="0" w:color="auto"/>
              <w:right w:val="single" w:sz="4" w:space="0" w:color="auto"/>
            </w:tcBorders>
            <w:vAlign w:val="center"/>
            <w:hideMark/>
          </w:tcPr>
          <w:p w14:paraId="1B5EA5E8" w14:textId="77777777" w:rsid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ESG-linked loans grew by 300% between 2018 and 2023.</w:t>
            </w:r>
          </w:p>
          <w:p w14:paraId="021B41A9" w14:textId="77777777" w:rsid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p>
          <w:p w14:paraId="51204F86" w14:textId="6AB2A12C" w:rsidR="00714119" w:rsidRPr="00714119" w:rsidRDefault="00714119" w:rsidP="00714119">
            <w:pPr>
              <w:spacing w:after="0" w:line="240" w:lineRule="auto"/>
              <w:rPr>
                <w:rFonts w:ascii="Times New Roman" w:eastAsia="Times New Roman" w:hAnsi="Times New Roman" w:cs="Times New Roman"/>
                <w:kern w:val="0"/>
                <w:sz w:val="24"/>
                <w:szCs w:val="24"/>
                <w:lang w:eastAsia="en-IN"/>
                <w14:ligatures w14:val="none"/>
              </w:rPr>
            </w:pPr>
            <w:r w:rsidRPr="00714119">
              <w:rPr>
                <w:rFonts w:ascii="Times New Roman" w:eastAsia="Times New Roman" w:hAnsi="Times New Roman" w:cs="Times New Roman"/>
                <w:kern w:val="0"/>
                <w:sz w:val="24"/>
                <w:szCs w:val="24"/>
                <w:lang w:eastAsia="en-IN"/>
                <w14:ligatures w14:val="none"/>
              </w:rPr>
              <w:t>- 57% of banks have adopted ESG integration into their risk management frameworks.</w:t>
            </w:r>
          </w:p>
        </w:tc>
      </w:tr>
    </w:tbl>
    <w:p w14:paraId="7964720C" w14:textId="77777777" w:rsidR="007E19CD" w:rsidRPr="007E19CD" w:rsidRDefault="007E19CD" w:rsidP="007E19CD"/>
    <w:p w14:paraId="286B8B88" w14:textId="3BA9582E" w:rsidR="007E19CD" w:rsidRPr="009E36C9" w:rsidRDefault="007E19CD" w:rsidP="007E19CD">
      <w:pPr>
        <w:rPr>
          <w:lang w:eastAsia="en-IN"/>
        </w:rPr>
      </w:pPr>
    </w:p>
    <w:p w14:paraId="283F58AE" w14:textId="77777777" w:rsidR="009E36C9" w:rsidRPr="007E19CD" w:rsidRDefault="009E36C9" w:rsidP="007E19CD"/>
    <w:p w14:paraId="2EB63C89" w14:textId="77777777" w:rsidR="009E36C9" w:rsidRPr="007E19CD" w:rsidRDefault="009E36C9" w:rsidP="007E19CD"/>
    <w:sectPr w:rsidR="009E36C9" w:rsidRPr="007E1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219F"/>
    <w:multiLevelType w:val="multilevel"/>
    <w:tmpl w:val="31A0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84F9C"/>
    <w:multiLevelType w:val="multilevel"/>
    <w:tmpl w:val="CC2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93701"/>
    <w:multiLevelType w:val="multilevel"/>
    <w:tmpl w:val="E1D2B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A7CF1"/>
    <w:multiLevelType w:val="multilevel"/>
    <w:tmpl w:val="DE68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80A99"/>
    <w:multiLevelType w:val="multilevel"/>
    <w:tmpl w:val="8672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95CD3"/>
    <w:multiLevelType w:val="multilevel"/>
    <w:tmpl w:val="BD9A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536F2"/>
    <w:multiLevelType w:val="multilevel"/>
    <w:tmpl w:val="1C1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F3C7B"/>
    <w:multiLevelType w:val="multilevel"/>
    <w:tmpl w:val="0C8C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2C75"/>
    <w:multiLevelType w:val="multilevel"/>
    <w:tmpl w:val="9D7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916E9"/>
    <w:multiLevelType w:val="multilevel"/>
    <w:tmpl w:val="4F76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B284B"/>
    <w:multiLevelType w:val="multilevel"/>
    <w:tmpl w:val="E814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41B9B"/>
    <w:multiLevelType w:val="multilevel"/>
    <w:tmpl w:val="6A64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A0E39"/>
    <w:multiLevelType w:val="multilevel"/>
    <w:tmpl w:val="BF8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161353">
    <w:abstractNumId w:val="3"/>
  </w:num>
  <w:num w:numId="2" w16cid:durableId="814490364">
    <w:abstractNumId w:val="2"/>
  </w:num>
  <w:num w:numId="3" w16cid:durableId="678578022">
    <w:abstractNumId w:val="4"/>
  </w:num>
  <w:num w:numId="4" w16cid:durableId="381102335">
    <w:abstractNumId w:val="6"/>
  </w:num>
  <w:num w:numId="5" w16cid:durableId="807940655">
    <w:abstractNumId w:val="11"/>
  </w:num>
  <w:num w:numId="6" w16cid:durableId="970013988">
    <w:abstractNumId w:val="12"/>
  </w:num>
  <w:num w:numId="7" w16cid:durableId="579871245">
    <w:abstractNumId w:val="9"/>
  </w:num>
  <w:num w:numId="8" w16cid:durableId="593132410">
    <w:abstractNumId w:val="1"/>
  </w:num>
  <w:num w:numId="9" w16cid:durableId="621957163">
    <w:abstractNumId w:val="10"/>
  </w:num>
  <w:num w:numId="10" w16cid:durableId="83964118">
    <w:abstractNumId w:val="8"/>
  </w:num>
  <w:num w:numId="11" w16cid:durableId="142430915">
    <w:abstractNumId w:val="7"/>
  </w:num>
  <w:num w:numId="12" w16cid:durableId="425350966">
    <w:abstractNumId w:val="5"/>
  </w:num>
  <w:num w:numId="13" w16cid:durableId="126356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C5"/>
    <w:rsid w:val="002D5836"/>
    <w:rsid w:val="005F3212"/>
    <w:rsid w:val="006C0044"/>
    <w:rsid w:val="00714119"/>
    <w:rsid w:val="0072514C"/>
    <w:rsid w:val="007E19CD"/>
    <w:rsid w:val="009E36C9"/>
    <w:rsid w:val="00B10D6B"/>
    <w:rsid w:val="00B16EC4"/>
    <w:rsid w:val="00B50A47"/>
    <w:rsid w:val="00CB44C5"/>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AD69"/>
  <w15:chartTrackingRefBased/>
  <w15:docId w15:val="{21FB7939-1B57-46BD-A1E7-EDEB901A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4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4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4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4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4C5"/>
    <w:rPr>
      <w:rFonts w:eastAsiaTheme="majorEastAsia" w:cstheme="majorBidi"/>
      <w:color w:val="272727" w:themeColor="text1" w:themeTint="D8"/>
    </w:rPr>
  </w:style>
  <w:style w:type="paragraph" w:styleId="Title">
    <w:name w:val="Title"/>
    <w:basedOn w:val="Normal"/>
    <w:next w:val="Normal"/>
    <w:link w:val="TitleChar"/>
    <w:uiPriority w:val="10"/>
    <w:qFormat/>
    <w:rsid w:val="00CB4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4C5"/>
    <w:pPr>
      <w:spacing w:before="160"/>
      <w:jc w:val="center"/>
    </w:pPr>
    <w:rPr>
      <w:i/>
      <w:iCs/>
      <w:color w:val="404040" w:themeColor="text1" w:themeTint="BF"/>
    </w:rPr>
  </w:style>
  <w:style w:type="character" w:customStyle="1" w:styleId="QuoteChar">
    <w:name w:val="Quote Char"/>
    <w:basedOn w:val="DefaultParagraphFont"/>
    <w:link w:val="Quote"/>
    <w:uiPriority w:val="29"/>
    <w:rsid w:val="00CB44C5"/>
    <w:rPr>
      <w:i/>
      <w:iCs/>
      <w:color w:val="404040" w:themeColor="text1" w:themeTint="BF"/>
    </w:rPr>
  </w:style>
  <w:style w:type="paragraph" w:styleId="ListParagraph">
    <w:name w:val="List Paragraph"/>
    <w:basedOn w:val="Normal"/>
    <w:uiPriority w:val="34"/>
    <w:qFormat/>
    <w:rsid w:val="00CB44C5"/>
    <w:pPr>
      <w:ind w:left="720"/>
      <w:contextualSpacing/>
    </w:pPr>
  </w:style>
  <w:style w:type="character" w:styleId="IntenseEmphasis">
    <w:name w:val="Intense Emphasis"/>
    <w:basedOn w:val="DefaultParagraphFont"/>
    <w:uiPriority w:val="21"/>
    <w:qFormat/>
    <w:rsid w:val="00CB44C5"/>
    <w:rPr>
      <w:i/>
      <w:iCs/>
      <w:color w:val="0F4761" w:themeColor="accent1" w:themeShade="BF"/>
    </w:rPr>
  </w:style>
  <w:style w:type="paragraph" w:styleId="IntenseQuote">
    <w:name w:val="Intense Quote"/>
    <w:basedOn w:val="Normal"/>
    <w:next w:val="Normal"/>
    <w:link w:val="IntenseQuoteChar"/>
    <w:uiPriority w:val="30"/>
    <w:qFormat/>
    <w:rsid w:val="00CB4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4C5"/>
    <w:rPr>
      <w:i/>
      <w:iCs/>
      <w:color w:val="0F4761" w:themeColor="accent1" w:themeShade="BF"/>
    </w:rPr>
  </w:style>
  <w:style w:type="character" w:styleId="IntenseReference">
    <w:name w:val="Intense Reference"/>
    <w:basedOn w:val="DefaultParagraphFont"/>
    <w:uiPriority w:val="32"/>
    <w:qFormat/>
    <w:rsid w:val="00CB44C5"/>
    <w:rPr>
      <w:b/>
      <w:bCs/>
      <w:smallCaps/>
      <w:color w:val="0F4761" w:themeColor="accent1" w:themeShade="BF"/>
      <w:spacing w:val="5"/>
    </w:rPr>
  </w:style>
  <w:style w:type="paragraph" w:styleId="NormalWeb">
    <w:name w:val="Normal (Web)"/>
    <w:basedOn w:val="Normal"/>
    <w:uiPriority w:val="99"/>
    <w:semiHidden/>
    <w:unhideWhenUsed/>
    <w:rsid w:val="00CB44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44C5"/>
    <w:rPr>
      <w:b/>
      <w:bCs/>
    </w:rPr>
  </w:style>
  <w:style w:type="paragraph" w:styleId="HTMLPreformatted">
    <w:name w:val="HTML Preformatted"/>
    <w:basedOn w:val="Normal"/>
    <w:link w:val="HTMLPreformattedChar"/>
    <w:uiPriority w:val="99"/>
    <w:semiHidden/>
    <w:unhideWhenUsed/>
    <w:rsid w:val="00CB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44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44C5"/>
    <w:rPr>
      <w:rFonts w:ascii="Courier New" w:eastAsia="Times New Roman" w:hAnsi="Courier New" w:cs="Courier New"/>
      <w:sz w:val="20"/>
      <w:szCs w:val="20"/>
    </w:rPr>
  </w:style>
  <w:style w:type="character" w:customStyle="1" w:styleId="hljs-string">
    <w:name w:val="hljs-string"/>
    <w:basedOn w:val="DefaultParagraphFont"/>
    <w:rsid w:val="00CB44C5"/>
  </w:style>
  <w:style w:type="character" w:customStyle="1" w:styleId="hljs-number">
    <w:name w:val="hljs-number"/>
    <w:basedOn w:val="DefaultParagraphFont"/>
    <w:rsid w:val="00CB44C5"/>
  </w:style>
  <w:style w:type="character" w:customStyle="1" w:styleId="text-token-text-secondary">
    <w:name w:val="text-token-text-secondary"/>
    <w:basedOn w:val="DefaultParagraphFont"/>
    <w:rsid w:val="007E19CD"/>
  </w:style>
  <w:style w:type="character" w:styleId="Hyperlink">
    <w:name w:val="Hyperlink"/>
    <w:basedOn w:val="DefaultParagraphFont"/>
    <w:uiPriority w:val="99"/>
    <w:unhideWhenUsed/>
    <w:rsid w:val="007E19CD"/>
    <w:rPr>
      <w:color w:val="0000FF"/>
      <w:u w:val="single"/>
    </w:rPr>
  </w:style>
  <w:style w:type="character" w:customStyle="1" w:styleId="line-clamp-1">
    <w:name w:val="line-clamp-1"/>
    <w:basedOn w:val="DefaultParagraphFont"/>
    <w:rsid w:val="007E19CD"/>
  </w:style>
  <w:style w:type="paragraph" w:styleId="z-TopofForm">
    <w:name w:val="HTML Top of Form"/>
    <w:basedOn w:val="Normal"/>
    <w:next w:val="Normal"/>
    <w:link w:val="z-TopofFormChar"/>
    <w:hidden/>
    <w:uiPriority w:val="99"/>
    <w:semiHidden/>
    <w:unhideWhenUsed/>
    <w:rsid w:val="0071411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1411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1411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1411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033960">
      <w:bodyDiv w:val="1"/>
      <w:marLeft w:val="0"/>
      <w:marRight w:val="0"/>
      <w:marTop w:val="0"/>
      <w:marBottom w:val="0"/>
      <w:divBdr>
        <w:top w:val="none" w:sz="0" w:space="0" w:color="auto"/>
        <w:left w:val="none" w:sz="0" w:space="0" w:color="auto"/>
        <w:bottom w:val="none" w:sz="0" w:space="0" w:color="auto"/>
        <w:right w:val="none" w:sz="0" w:space="0" w:color="auto"/>
      </w:divBdr>
    </w:div>
    <w:div w:id="566454828">
      <w:bodyDiv w:val="1"/>
      <w:marLeft w:val="0"/>
      <w:marRight w:val="0"/>
      <w:marTop w:val="0"/>
      <w:marBottom w:val="0"/>
      <w:divBdr>
        <w:top w:val="none" w:sz="0" w:space="0" w:color="auto"/>
        <w:left w:val="none" w:sz="0" w:space="0" w:color="auto"/>
        <w:bottom w:val="none" w:sz="0" w:space="0" w:color="auto"/>
        <w:right w:val="none" w:sz="0" w:space="0" w:color="auto"/>
      </w:divBdr>
      <w:divsChild>
        <w:div w:id="1593473645">
          <w:marLeft w:val="0"/>
          <w:marRight w:val="0"/>
          <w:marTop w:val="0"/>
          <w:marBottom w:val="0"/>
          <w:divBdr>
            <w:top w:val="none" w:sz="0" w:space="0" w:color="auto"/>
            <w:left w:val="none" w:sz="0" w:space="0" w:color="auto"/>
            <w:bottom w:val="none" w:sz="0" w:space="0" w:color="auto"/>
            <w:right w:val="none" w:sz="0" w:space="0" w:color="auto"/>
          </w:divBdr>
          <w:divsChild>
            <w:div w:id="1876427862">
              <w:marLeft w:val="0"/>
              <w:marRight w:val="0"/>
              <w:marTop w:val="0"/>
              <w:marBottom w:val="0"/>
              <w:divBdr>
                <w:top w:val="none" w:sz="0" w:space="0" w:color="auto"/>
                <w:left w:val="none" w:sz="0" w:space="0" w:color="auto"/>
                <w:bottom w:val="none" w:sz="0" w:space="0" w:color="auto"/>
                <w:right w:val="none" w:sz="0" w:space="0" w:color="auto"/>
              </w:divBdr>
              <w:divsChild>
                <w:div w:id="1222717770">
                  <w:marLeft w:val="0"/>
                  <w:marRight w:val="0"/>
                  <w:marTop w:val="0"/>
                  <w:marBottom w:val="0"/>
                  <w:divBdr>
                    <w:top w:val="none" w:sz="0" w:space="0" w:color="auto"/>
                    <w:left w:val="none" w:sz="0" w:space="0" w:color="auto"/>
                    <w:bottom w:val="none" w:sz="0" w:space="0" w:color="auto"/>
                    <w:right w:val="none" w:sz="0" w:space="0" w:color="auto"/>
                  </w:divBdr>
                  <w:divsChild>
                    <w:div w:id="1164005280">
                      <w:marLeft w:val="0"/>
                      <w:marRight w:val="0"/>
                      <w:marTop w:val="0"/>
                      <w:marBottom w:val="0"/>
                      <w:divBdr>
                        <w:top w:val="none" w:sz="0" w:space="0" w:color="auto"/>
                        <w:left w:val="none" w:sz="0" w:space="0" w:color="auto"/>
                        <w:bottom w:val="none" w:sz="0" w:space="0" w:color="auto"/>
                        <w:right w:val="none" w:sz="0" w:space="0" w:color="auto"/>
                      </w:divBdr>
                      <w:divsChild>
                        <w:div w:id="1176268519">
                          <w:marLeft w:val="0"/>
                          <w:marRight w:val="0"/>
                          <w:marTop w:val="0"/>
                          <w:marBottom w:val="0"/>
                          <w:divBdr>
                            <w:top w:val="none" w:sz="0" w:space="0" w:color="auto"/>
                            <w:left w:val="none" w:sz="0" w:space="0" w:color="auto"/>
                            <w:bottom w:val="none" w:sz="0" w:space="0" w:color="auto"/>
                            <w:right w:val="none" w:sz="0" w:space="0" w:color="auto"/>
                          </w:divBdr>
                          <w:divsChild>
                            <w:div w:id="806505809">
                              <w:marLeft w:val="0"/>
                              <w:marRight w:val="0"/>
                              <w:marTop w:val="0"/>
                              <w:marBottom w:val="0"/>
                              <w:divBdr>
                                <w:top w:val="none" w:sz="0" w:space="0" w:color="auto"/>
                                <w:left w:val="none" w:sz="0" w:space="0" w:color="auto"/>
                                <w:bottom w:val="none" w:sz="0" w:space="0" w:color="auto"/>
                                <w:right w:val="none" w:sz="0" w:space="0" w:color="auto"/>
                              </w:divBdr>
                              <w:divsChild>
                                <w:div w:id="1567300718">
                                  <w:marLeft w:val="0"/>
                                  <w:marRight w:val="0"/>
                                  <w:marTop w:val="0"/>
                                  <w:marBottom w:val="0"/>
                                  <w:divBdr>
                                    <w:top w:val="none" w:sz="0" w:space="0" w:color="auto"/>
                                    <w:left w:val="none" w:sz="0" w:space="0" w:color="auto"/>
                                    <w:bottom w:val="none" w:sz="0" w:space="0" w:color="auto"/>
                                    <w:right w:val="none" w:sz="0" w:space="0" w:color="auto"/>
                                  </w:divBdr>
                                  <w:divsChild>
                                    <w:div w:id="647049725">
                                      <w:marLeft w:val="0"/>
                                      <w:marRight w:val="0"/>
                                      <w:marTop w:val="0"/>
                                      <w:marBottom w:val="0"/>
                                      <w:divBdr>
                                        <w:top w:val="none" w:sz="0" w:space="0" w:color="auto"/>
                                        <w:left w:val="none" w:sz="0" w:space="0" w:color="auto"/>
                                        <w:bottom w:val="none" w:sz="0" w:space="0" w:color="auto"/>
                                        <w:right w:val="none" w:sz="0" w:space="0" w:color="auto"/>
                                      </w:divBdr>
                                      <w:divsChild>
                                        <w:div w:id="1712806446">
                                          <w:marLeft w:val="0"/>
                                          <w:marRight w:val="0"/>
                                          <w:marTop w:val="0"/>
                                          <w:marBottom w:val="0"/>
                                          <w:divBdr>
                                            <w:top w:val="none" w:sz="0" w:space="0" w:color="auto"/>
                                            <w:left w:val="none" w:sz="0" w:space="0" w:color="auto"/>
                                            <w:bottom w:val="none" w:sz="0" w:space="0" w:color="auto"/>
                                            <w:right w:val="none" w:sz="0" w:space="0" w:color="auto"/>
                                          </w:divBdr>
                                          <w:divsChild>
                                            <w:div w:id="1645964678">
                                              <w:marLeft w:val="0"/>
                                              <w:marRight w:val="0"/>
                                              <w:marTop w:val="0"/>
                                              <w:marBottom w:val="0"/>
                                              <w:divBdr>
                                                <w:top w:val="none" w:sz="0" w:space="0" w:color="auto"/>
                                                <w:left w:val="none" w:sz="0" w:space="0" w:color="auto"/>
                                                <w:bottom w:val="none" w:sz="0" w:space="0" w:color="auto"/>
                                                <w:right w:val="none" w:sz="0" w:space="0" w:color="auto"/>
                                              </w:divBdr>
                                              <w:divsChild>
                                                <w:div w:id="1442141071">
                                                  <w:marLeft w:val="0"/>
                                                  <w:marRight w:val="0"/>
                                                  <w:marTop w:val="0"/>
                                                  <w:marBottom w:val="0"/>
                                                  <w:divBdr>
                                                    <w:top w:val="none" w:sz="0" w:space="0" w:color="auto"/>
                                                    <w:left w:val="none" w:sz="0" w:space="0" w:color="auto"/>
                                                    <w:bottom w:val="none" w:sz="0" w:space="0" w:color="auto"/>
                                                    <w:right w:val="none" w:sz="0" w:space="0" w:color="auto"/>
                                                  </w:divBdr>
                                                  <w:divsChild>
                                                    <w:div w:id="1814254116">
                                                      <w:marLeft w:val="0"/>
                                                      <w:marRight w:val="0"/>
                                                      <w:marTop w:val="0"/>
                                                      <w:marBottom w:val="0"/>
                                                      <w:divBdr>
                                                        <w:top w:val="none" w:sz="0" w:space="0" w:color="auto"/>
                                                        <w:left w:val="none" w:sz="0" w:space="0" w:color="auto"/>
                                                        <w:bottom w:val="none" w:sz="0" w:space="0" w:color="auto"/>
                                                        <w:right w:val="none" w:sz="0" w:space="0" w:color="auto"/>
                                                      </w:divBdr>
                                                      <w:divsChild>
                                                        <w:div w:id="196429134">
                                                          <w:marLeft w:val="0"/>
                                                          <w:marRight w:val="0"/>
                                                          <w:marTop w:val="0"/>
                                                          <w:marBottom w:val="0"/>
                                                          <w:divBdr>
                                                            <w:top w:val="none" w:sz="0" w:space="0" w:color="auto"/>
                                                            <w:left w:val="none" w:sz="0" w:space="0" w:color="auto"/>
                                                            <w:bottom w:val="none" w:sz="0" w:space="0" w:color="auto"/>
                                                            <w:right w:val="none" w:sz="0" w:space="0" w:color="auto"/>
                                                          </w:divBdr>
                                                          <w:divsChild>
                                                            <w:div w:id="11542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51323">
                                                  <w:marLeft w:val="0"/>
                                                  <w:marRight w:val="0"/>
                                                  <w:marTop w:val="0"/>
                                                  <w:marBottom w:val="0"/>
                                                  <w:divBdr>
                                                    <w:top w:val="none" w:sz="0" w:space="0" w:color="auto"/>
                                                    <w:left w:val="none" w:sz="0" w:space="0" w:color="auto"/>
                                                    <w:bottom w:val="none" w:sz="0" w:space="0" w:color="auto"/>
                                                    <w:right w:val="none" w:sz="0" w:space="0" w:color="auto"/>
                                                  </w:divBdr>
                                                  <w:divsChild>
                                                    <w:div w:id="2106147829">
                                                      <w:marLeft w:val="0"/>
                                                      <w:marRight w:val="0"/>
                                                      <w:marTop w:val="0"/>
                                                      <w:marBottom w:val="0"/>
                                                      <w:divBdr>
                                                        <w:top w:val="none" w:sz="0" w:space="0" w:color="auto"/>
                                                        <w:left w:val="none" w:sz="0" w:space="0" w:color="auto"/>
                                                        <w:bottom w:val="none" w:sz="0" w:space="0" w:color="auto"/>
                                                        <w:right w:val="none" w:sz="0" w:space="0" w:color="auto"/>
                                                      </w:divBdr>
                                                      <w:divsChild>
                                                        <w:div w:id="1947806733">
                                                          <w:marLeft w:val="0"/>
                                                          <w:marRight w:val="0"/>
                                                          <w:marTop w:val="0"/>
                                                          <w:marBottom w:val="0"/>
                                                          <w:divBdr>
                                                            <w:top w:val="none" w:sz="0" w:space="0" w:color="auto"/>
                                                            <w:left w:val="none" w:sz="0" w:space="0" w:color="auto"/>
                                                            <w:bottom w:val="none" w:sz="0" w:space="0" w:color="auto"/>
                                                            <w:right w:val="none" w:sz="0" w:space="0" w:color="auto"/>
                                                          </w:divBdr>
                                                          <w:divsChild>
                                                            <w:div w:id="8610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486049">
          <w:marLeft w:val="0"/>
          <w:marRight w:val="0"/>
          <w:marTop w:val="0"/>
          <w:marBottom w:val="0"/>
          <w:divBdr>
            <w:top w:val="none" w:sz="0" w:space="0" w:color="auto"/>
            <w:left w:val="none" w:sz="0" w:space="0" w:color="auto"/>
            <w:bottom w:val="none" w:sz="0" w:space="0" w:color="auto"/>
            <w:right w:val="none" w:sz="0" w:space="0" w:color="auto"/>
          </w:divBdr>
          <w:divsChild>
            <w:div w:id="927731698">
              <w:marLeft w:val="0"/>
              <w:marRight w:val="0"/>
              <w:marTop w:val="0"/>
              <w:marBottom w:val="0"/>
              <w:divBdr>
                <w:top w:val="none" w:sz="0" w:space="0" w:color="auto"/>
                <w:left w:val="none" w:sz="0" w:space="0" w:color="auto"/>
                <w:bottom w:val="none" w:sz="0" w:space="0" w:color="auto"/>
                <w:right w:val="none" w:sz="0" w:space="0" w:color="auto"/>
              </w:divBdr>
              <w:divsChild>
                <w:div w:id="12245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3034">
      <w:bodyDiv w:val="1"/>
      <w:marLeft w:val="0"/>
      <w:marRight w:val="0"/>
      <w:marTop w:val="0"/>
      <w:marBottom w:val="0"/>
      <w:divBdr>
        <w:top w:val="none" w:sz="0" w:space="0" w:color="auto"/>
        <w:left w:val="none" w:sz="0" w:space="0" w:color="auto"/>
        <w:bottom w:val="none" w:sz="0" w:space="0" w:color="auto"/>
        <w:right w:val="none" w:sz="0" w:space="0" w:color="auto"/>
      </w:divBdr>
    </w:div>
    <w:div w:id="1292051321">
      <w:bodyDiv w:val="1"/>
      <w:marLeft w:val="0"/>
      <w:marRight w:val="0"/>
      <w:marTop w:val="0"/>
      <w:marBottom w:val="0"/>
      <w:divBdr>
        <w:top w:val="none" w:sz="0" w:space="0" w:color="auto"/>
        <w:left w:val="none" w:sz="0" w:space="0" w:color="auto"/>
        <w:bottom w:val="none" w:sz="0" w:space="0" w:color="auto"/>
        <w:right w:val="none" w:sz="0" w:space="0" w:color="auto"/>
      </w:divBdr>
      <w:divsChild>
        <w:div w:id="1175337740">
          <w:marLeft w:val="0"/>
          <w:marRight w:val="0"/>
          <w:marTop w:val="0"/>
          <w:marBottom w:val="0"/>
          <w:divBdr>
            <w:top w:val="none" w:sz="0" w:space="0" w:color="auto"/>
            <w:left w:val="none" w:sz="0" w:space="0" w:color="auto"/>
            <w:bottom w:val="none" w:sz="0" w:space="0" w:color="auto"/>
            <w:right w:val="none" w:sz="0" w:space="0" w:color="auto"/>
          </w:divBdr>
          <w:divsChild>
            <w:div w:id="581912227">
              <w:marLeft w:val="0"/>
              <w:marRight w:val="0"/>
              <w:marTop w:val="0"/>
              <w:marBottom w:val="0"/>
              <w:divBdr>
                <w:top w:val="none" w:sz="0" w:space="0" w:color="auto"/>
                <w:left w:val="none" w:sz="0" w:space="0" w:color="auto"/>
                <w:bottom w:val="none" w:sz="0" w:space="0" w:color="auto"/>
                <w:right w:val="none" w:sz="0" w:space="0" w:color="auto"/>
              </w:divBdr>
              <w:divsChild>
                <w:div w:id="1834761992">
                  <w:marLeft w:val="0"/>
                  <w:marRight w:val="0"/>
                  <w:marTop w:val="0"/>
                  <w:marBottom w:val="0"/>
                  <w:divBdr>
                    <w:top w:val="none" w:sz="0" w:space="0" w:color="auto"/>
                    <w:left w:val="none" w:sz="0" w:space="0" w:color="auto"/>
                    <w:bottom w:val="none" w:sz="0" w:space="0" w:color="auto"/>
                    <w:right w:val="none" w:sz="0" w:space="0" w:color="auto"/>
                  </w:divBdr>
                </w:div>
              </w:divsChild>
            </w:div>
            <w:div w:id="17070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1869">
      <w:bodyDiv w:val="1"/>
      <w:marLeft w:val="0"/>
      <w:marRight w:val="0"/>
      <w:marTop w:val="0"/>
      <w:marBottom w:val="0"/>
      <w:divBdr>
        <w:top w:val="none" w:sz="0" w:space="0" w:color="auto"/>
        <w:left w:val="none" w:sz="0" w:space="0" w:color="auto"/>
        <w:bottom w:val="none" w:sz="0" w:space="0" w:color="auto"/>
        <w:right w:val="none" w:sz="0" w:space="0" w:color="auto"/>
      </w:divBdr>
      <w:divsChild>
        <w:div w:id="1692149466">
          <w:marLeft w:val="0"/>
          <w:marRight w:val="0"/>
          <w:marTop w:val="0"/>
          <w:marBottom w:val="0"/>
          <w:divBdr>
            <w:top w:val="none" w:sz="0" w:space="0" w:color="auto"/>
            <w:left w:val="none" w:sz="0" w:space="0" w:color="auto"/>
            <w:bottom w:val="none" w:sz="0" w:space="0" w:color="auto"/>
            <w:right w:val="none" w:sz="0" w:space="0" w:color="auto"/>
          </w:divBdr>
          <w:divsChild>
            <w:div w:id="71903020">
              <w:marLeft w:val="0"/>
              <w:marRight w:val="0"/>
              <w:marTop w:val="0"/>
              <w:marBottom w:val="0"/>
              <w:divBdr>
                <w:top w:val="none" w:sz="0" w:space="0" w:color="auto"/>
                <w:left w:val="none" w:sz="0" w:space="0" w:color="auto"/>
                <w:bottom w:val="none" w:sz="0" w:space="0" w:color="auto"/>
                <w:right w:val="none" w:sz="0" w:space="0" w:color="auto"/>
              </w:divBdr>
              <w:divsChild>
                <w:div w:id="1579443043">
                  <w:marLeft w:val="0"/>
                  <w:marRight w:val="0"/>
                  <w:marTop w:val="0"/>
                  <w:marBottom w:val="0"/>
                  <w:divBdr>
                    <w:top w:val="none" w:sz="0" w:space="0" w:color="auto"/>
                    <w:left w:val="none" w:sz="0" w:space="0" w:color="auto"/>
                    <w:bottom w:val="none" w:sz="0" w:space="0" w:color="auto"/>
                    <w:right w:val="none" w:sz="0" w:space="0" w:color="auto"/>
                  </w:divBdr>
                  <w:divsChild>
                    <w:div w:id="649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180">
          <w:marLeft w:val="0"/>
          <w:marRight w:val="0"/>
          <w:marTop w:val="0"/>
          <w:marBottom w:val="0"/>
          <w:divBdr>
            <w:top w:val="none" w:sz="0" w:space="0" w:color="auto"/>
            <w:left w:val="none" w:sz="0" w:space="0" w:color="auto"/>
            <w:bottom w:val="none" w:sz="0" w:space="0" w:color="auto"/>
            <w:right w:val="none" w:sz="0" w:space="0" w:color="auto"/>
          </w:divBdr>
          <w:divsChild>
            <w:div w:id="949356811">
              <w:marLeft w:val="0"/>
              <w:marRight w:val="0"/>
              <w:marTop w:val="0"/>
              <w:marBottom w:val="0"/>
              <w:divBdr>
                <w:top w:val="none" w:sz="0" w:space="0" w:color="auto"/>
                <w:left w:val="none" w:sz="0" w:space="0" w:color="auto"/>
                <w:bottom w:val="none" w:sz="0" w:space="0" w:color="auto"/>
                <w:right w:val="none" w:sz="0" w:space="0" w:color="auto"/>
              </w:divBdr>
              <w:divsChild>
                <w:div w:id="1734891077">
                  <w:marLeft w:val="0"/>
                  <w:marRight w:val="0"/>
                  <w:marTop w:val="0"/>
                  <w:marBottom w:val="0"/>
                  <w:divBdr>
                    <w:top w:val="none" w:sz="0" w:space="0" w:color="auto"/>
                    <w:left w:val="none" w:sz="0" w:space="0" w:color="auto"/>
                    <w:bottom w:val="none" w:sz="0" w:space="0" w:color="auto"/>
                    <w:right w:val="none" w:sz="0" w:space="0" w:color="auto"/>
                  </w:divBdr>
                  <w:divsChild>
                    <w:div w:id="501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2010</c:v>
                </c:pt>
              </c:strCache>
            </c:strRef>
          </c:tx>
          <c:spPr>
            <a:solidFill>
              <a:schemeClr val="accent1"/>
            </a:solidFill>
            <a:ln>
              <a:noFill/>
            </a:ln>
            <a:effectLst/>
          </c:spPr>
          <c:invertIfNegative val="0"/>
          <c:cat>
            <c:strRef>
              <c:f>Sheet1!$B$1</c:f>
              <c:strCache>
                <c:ptCount val="1"/>
                <c:pt idx="0">
                  <c:v>Assets ($ Trillion)</c:v>
                </c:pt>
              </c:strCache>
            </c:strRef>
          </c:cat>
          <c:val>
            <c:numRef>
              <c:f>Sheet1!$B$2</c:f>
              <c:numCache>
                <c:formatCode>General</c:formatCode>
                <c:ptCount val="1"/>
                <c:pt idx="0">
                  <c:v>2</c:v>
                </c:pt>
              </c:numCache>
            </c:numRef>
          </c:val>
          <c:extLst>
            <c:ext xmlns:c16="http://schemas.microsoft.com/office/drawing/2014/chart" uri="{C3380CC4-5D6E-409C-BE32-E72D297353CC}">
              <c16:uniqueId val="{00000000-EBA2-454A-87AF-C476864C133C}"/>
            </c:ext>
          </c:extLst>
        </c:ser>
        <c:ser>
          <c:idx val="1"/>
          <c:order val="1"/>
          <c:tx>
            <c:strRef>
              <c:f>Sheet1!$A$3</c:f>
              <c:strCache>
                <c:ptCount val="1"/>
                <c:pt idx="0">
                  <c:v>2012</c:v>
                </c:pt>
              </c:strCache>
            </c:strRef>
          </c:tx>
          <c:spPr>
            <a:solidFill>
              <a:schemeClr val="accent2"/>
            </a:solidFill>
            <a:ln>
              <a:noFill/>
            </a:ln>
            <a:effectLst/>
          </c:spPr>
          <c:invertIfNegative val="0"/>
          <c:cat>
            <c:strRef>
              <c:f>Sheet1!$B$1</c:f>
              <c:strCache>
                <c:ptCount val="1"/>
                <c:pt idx="0">
                  <c:v>Assets ($ Trillion)</c:v>
                </c:pt>
              </c:strCache>
            </c:strRef>
          </c:cat>
          <c:val>
            <c:numRef>
              <c:f>Sheet1!$B$3</c:f>
              <c:numCache>
                <c:formatCode>General</c:formatCode>
                <c:ptCount val="1"/>
                <c:pt idx="0">
                  <c:v>2.5</c:v>
                </c:pt>
              </c:numCache>
            </c:numRef>
          </c:val>
          <c:extLst>
            <c:ext xmlns:c16="http://schemas.microsoft.com/office/drawing/2014/chart" uri="{C3380CC4-5D6E-409C-BE32-E72D297353CC}">
              <c16:uniqueId val="{00000001-EBA2-454A-87AF-C476864C133C}"/>
            </c:ext>
          </c:extLst>
        </c:ser>
        <c:ser>
          <c:idx val="2"/>
          <c:order val="2"/>
          <c:tx>
            <c:strRef>
              <c:f>Sheet1!$A$4</c:f>
              <c:strCache>
                <c:ptCount val="1"/>
                <c:pt idx="0">
                  <c:v>2014</c:v>
                </c:pt>
              </c:strCache>
            </c:strRef>
          </c:tx>
          <c:spPr>
            <a:solidFill>
              <a:schemeClr val="accent3"/>
            </a:solidFill>
            <a:ln>
              <a:noFill/>
            </a:ln>
            <a:effectLst/>
          </c:spPr>
          <c:invertIfNegative val="0"/>
          <c:cat>
            <c:strRef>
              <c:f>Sheet1!$B$1</c:f>
              <c:strCache>
                <c:ptCount val="1"/>
                <c:pt idx="0">
                  <c:v>Assets ($ Trillion)</c:v>
                </c:pt>
              </c:strCache>
            </c:strRef>
          </c:cat>
          <c:val>
            <c:numRef>
              <c:f>Sheet1!$B$4</c:f>
              <c:numCache>
                <c:formatCode>General</c:formatCode>
                <c:ptCount val="1"/>
                <c:pt idx="0">
                  <c:v>3</c:v>
                </c:pt>
              </c:numCache>
            </c:numRef>
          </c:val>
          <c:extLst>
            <c:ext xmlns:c16="http://schemas.microsoft.com/office/drawing/2014/chart" uri="{C3380CC4-5D6E-409C-BE32-E72D297353CC}">
              <c16:uniqueId val="{00000002-EBA2-454A-87AF-C476864C133C}"/>
            </c:ext>
          </c:extLst>
        </c:ser>
        <c:ser>
          <c:idx val="3"/>
          <c:order val="3"/>
          <c:tx>
            <c:strRef>
              <c:f>Sheet1!$A$5</c:f>
              <c:strCache>
                <c:ptCount val="1"/>
                <c:pt idx="0">
                  <c:v>2016</c:v>
                </c:pt>
              </c:strCache>
            </c:strRef>
          </c:tx>
          <c:spPr>
            <a:solidFill>
              <a:schemeClr val="accent4"/>
            </a:solidFill>
            <a:ln>
              <a:noFill/>
            </a:ln>
            <a:effectLst/>
          </c:spPr>
          <c:invertIfNegative val="0"/>
          <c:cat>
            <c:strRef>
              <c:f>Sheet1!$B$1</c:f>
              <c:strCache>
                <c:ptCount val="1"/>
                <c:pt idx="0">
                  <c:v>Assets ($ Trillion)</c:v>
                </c:pt>
              </c:strCache>
            </c:strRef>
          </c:cat>
          <c:val>
            <c:numRef>
              <c:f>Sheet1!$B$5</c:f>
              <c:numCache>
                <c:formatCode>General</c:formatCode>
                <c:ptCount val="1"/>
                <c:pt idx="0">
                  <c:v>3.5</c:v>
                </c:pt>
              </c:numCache>
            </c:numRef>
          </c:val>
          <c:extLst>
            <c:ext xmlns:c16="http://schemas.microsoft.com/office/drawing/2014/chart" uri="{C3380CC4-5D6E-409C-BE32-E72D297353CC}">
              <c16:uniqueId val="{00000003-EBA2-454A-87AF-C476864C133C}"/>
            </c:ext>
          </c:extLst>
        </c:ser>
        <c:ser>
          <c:idx val="4"/>
          <c:order val="4"/>
          <c:tx>
            <c:strRef>
              <c:f>Sheet1!$A$6</c:f>
              <c:strCache>
                <c:ptCount val="1"/>
                <c:pt idx="0">
                  <c:v>2018</c:v>
                </c:pt>
              </c:strCache>
            </c:strRef>
          </c:tx>
          <c:spPr>
            <a:solidFill>
              <a:schemeClr val="accent5"/>
            </a:solidFill>
            <a:ln>
              <a:noFill/>
            </a:ln>
            <a:effectLst/>
          </c:spPr>
          <c:invertIfNegative val="0"/>
          <c:cat>
            <c:strRef>
              <c:f>Sheet1!$B$1</c:f>
              <c:strCache>
                <c:ptCount val="1"/>
                <c:pt idx="0">
                  <c:v>Assets ($ Trillion)</c:v>
                </c:pt>
              </c:strCache>
            </c:strRef>
          </c:cat>
          <c:val>
            <c:numRef>
              <c:f>Sheet1!$B$6</c:f>
              <c:numCache>
                <c:formatCode>General</c:formatCode>
                <c:ptCount val="1"/>
                <c:pt idx="0">
                  <c:v>3.8</c:v>
                </c:pt>
              </c:numCache>
            </c:numRef>
          </c:val>
          <c:extLst>
            <c:ext xmlns:c16="http://schemas.microsoft.com/office/drawing/2014/chart" uri="{C3380CC4-5D6E-409C-BE32-E72D297353CC}">
              <c16:uniqueId val="{00000004-EBA2-454A-87AF-C476864C133C}"/>
            </c:ext>
          </c:extLst>
        </c:ser>
        <c:ser>
          <c:idx val="5"/>
          <c:order val="5"/>
          <c:tx>
            <c:strRef>
              <c:f>Sheet1!$A$7</c:f>
              <c:strCache>
                <c:ptCount val="1"/>
                <c:pt idx="0">
                  <c:v>2020</c:v>
                </c:pt>
              </c:strCache>
            </c:strRef>
          </c:tx>
          <c:spPr>
            <a:solidFill>
              <a:schemeClr val="accent6"/>
            </a:solidFill>
            <a:ln>
              <a:noFill/>
            </a:ln>
            <a:effectLst/>
          </c:spPr>
          <c:invertIfNegative val="0"/>
          <c:cat>
            <c:strRef>
              <c:f>Sheet1!$B$1</c:f>
              <c:strCache>
                <c:ptCount val="1"/>
                <c:pt idx="0">
                  <c:v>Assets ($ Trillion)</c:v>
                </c:pt>
              </c:strCache>
            </c:strRef>
          </c:cat>
          <c:val>
            <c:numRef>
              <c:f>Sheet1!$B$7</c:f>
              <c:numCache>
                <c:formatCode>General</c:formatCode>
                <c:ptCount val="1"/>
                <c:pt idx="0">
                  <c:v>3.9</c:v>
                </c:pt>
              </c:numCache>
            </c:numRef>
          </c:val>
          <c:extLst>
            <c:ext xmlns:c16="http://schemas.microsoft.com/office/drawing/2014/chart" uri="{C3380CC4-5D6E-409C-BE32-E72D297353CC}">
              <c16:uniqueId val="{00000005-EBA2-454A-87AF-C476864C133C}"/>
            </c:ext>
          </c:extLst>
        </c:ser>
        <c:ser>
          <c:idx val="6"/>
          <c:order val="6"/>
          <c:tx>
            <c:strRef>
              <c:f>Sheet1!$A$8</c:f>
              <c:strCache>
                <c:ptCount val="1"/>
                <c:pt idx="0">
                  <c:v>2022</c:v>
                </c:pt>
              </c:strCache>
            </c:strRef>
          </c:tx>
          <c:spPr>
            <a:solidFill>
              <a:schemeClr val="accent1">
                <a:lumMod val="60000"/>
              </a:schemeClr>
            </a:solidFill>
            <a:ln>
              <a:noFill/>
            </a:ln>
            <a:effectLst/>
          </c:spPr>
          <c:invertIfNegative val="0"/>
          <c:cat>
            <c:strRef>
              <c:f>Sheet1!$B$1</c:f>
              <c:strCache>
                <c:ptCount val="1"/>
                <c:pt idx="0">
                  <c:v>Assets ($ Trillion)</c:v>
                </c:pt>
              </c:strCache>
            </c:strRef>
          </c:cat>
          <c:val>
            <c:numRef>
              <c:f>Sheet1!$B$8</c:f>
              <c:numCache>
                <c:formatCode>General</c:formatCode>
                <c:ptCount val="1"/>
                <c:pt idx="0">
                  <c:v>4</c:v>
                </c:pt>
              </c:numCache>
            </c:numRef>
          </c:val>
          <c:extLst>
            <c:ext xmlns:c16="http://schemas.microsoft.com/office/drawing/2014/chart" uri="{C3380CC4-5D6E-409C-BE32-E72D297353CC}">
              <c16:uniqueId val="{00000006-EBA2-454A-87AF-C476864C133C}"/>
            </c:ext>
          </c:extLst>
        </c:ser>
        <c:ser>
          <c:idx val="7"/>
          <c:order val="7"/>
          <c:tx>
            <c:strRef>
              <c:f>Sheet1!$A$9</c:f>
              <c:strCache>
                <c:ptCount val="1"/>
                <c:pt idx="0">
                  <c:v>2023</c:v>
                </c:pt>
              </c:strCache>
            </c:strRef>
          </c:tx>
          <c:spPr>
            <a:solidFill>
              <a:schemeClr val="accent2">
                <a:lumMod val="60000"/>
              </a:schemeClr>
            </a:solidFill>
            <a:ln>
              <a:noFill/>
            </a:ln>
            <a:effectLst/>
          </c:spPr>
          <c:invertIfNegative val="0"/>
          <c:cat>
            <c:strRef>
              <c:f>Sheet1!$B$1</c:f>
              <c:strCache>
                <c:ptCount val="1"/>
                <c:pt idx="0">
                  <c:v>Assets ($ Trillion)</c:v>
                </c:pt>
              </c:strCache>
            </c:strRef>
          </c:cat>
          <c:val>
            <c:numRef>
              <c:f>Sheet1!$B$9</c:f>
              <c:numCache>
                <c:formatCode>General</c:formatCode>
                <c:ptCount val="1"/>
                <c:pt idx="0">
                  <c:v>4</c:v>
                </c:pt>
              </c:numCache>
            </c:numRef>
          </c:val>
          <c:extLst>
            <c:ext xmlns:c16="http://schemas.microsoft.com/office/drawing/2014/chart" uri="{C3380CC4-5D6E-409C-BE32-E72D297353CC}">
              <c16:uniqueId val="{00000007-EBA2-454A-87AF-C476864C133C}"/>
            </c:ext>
          </c:extLst>
        </c:ser>
        <c:dLbls>
          <c:showLegendKey val="0"/>
          <c:showVal val="0"/>
          <c:showCatName val="0"/>
          <c:showSerName val="0"/>
          <c:showPercent val="0"/>
          <c:showBubbleSize val="0"/>
        </c:dLbls>
        <c:gapWidth val="219"/>
        <c:overlap val="-27"/>
        <c:axId val="108517168"/>
        <c:axId val="108508048"/>
      </c:barChart>
      <c:catAx>
        <c:axId val="10851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08048"/>
        <c:crosses val="autoZero"/>
        <c:auto val="1"/>
        <c:lblAlgn val="ctr"/>
        <c:lblOffset val="100"/>
        <c:noMultiLvlLbl val="0"/>
      </c:catAx>
      <c:valAx>
        <c:axId val="10850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1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2024-06-10T11:24:00Z</dcterms:created>
  <dcterms:modified xsi:type="dcterms:W3CDTF">2024-06-10T12:25:00Z</dcterms:modified>
</cp:coreProperties>
</file>