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DEEFA" w14:textId="53E5D5A5" w:rsidR="00E55BDE" w:rsidRPr="00E55BDE" w:rsidRDefault="00E55BDE" w:rsidP="006173D0">
      <w:pPr>
        <w:spacing w:before="100" w:beforeAutospacing="1" w:after="100" w:afterAutospacing="1" w:line="240" w:lineRule="auto"/>
        <w:rPr>
          <w:rFonts w:ascii="Times New Roman" w:eastAsia="Times New Roman" w:hAnsi="Times New Roman" w:cs="Times New Roman"/>
          <w:b/>
          <w:bCs/>
          <w:kern w:val="0"/>
          <w:sz w:val="40"/>
          <w:szCs w:val="40"/>
          <w:lang w:eastAsia="en-IN"/>
          <w14:ligatures w14:val="none"/>
        </w:rPr>
      </w:pPr>
      <w:r w:rsidRPr="006173D0">
        <w:rPr>
          <w:rFonts w:ascii="Times New Roman" w:eastAsia="Times New Roman" w:hAnsi="Times New Roman" w:cs="Times New Roman"/>
          <w:b/>
          <w:bCs/>
          <w:kern w:val="0"/>
          <w:sz w:val="40"/>
          <w:szCs w:val="40"/>
          <w:lang w:eastAsia="en-IN"/>
          <w14:ligatures w14:val="none"/>
        </w:rPr>
        <w:t>Wealth management</w:t>
      </w:r>
    </w:p>
    <w:p w14:paraId="42E5F1EA" w14:textId="6F7B41F3" w:rsidR="006173D0" w:rsidRDefault="006173D0" w:rsidP="006173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73D0">
        <w:rPr>
          <w:rFonts w:ascii="Times New Roman" w:eastAsia="Times New Roman" w:hAnsi="Times New Roman" w:cs="Times New Roman"/>
          <w:kern w:val="0"/>
          <w:sz w:val="24"/>
          <w:szCs w:val="24"/>
          <w:lang w:eastAsia="en-IN"/>
          <w14:ligatures w14:val="none"/>
        </w:rPr>
        <w:t>Wealth management in banking operations involves a range of financial services and strategies tailored to meet the needs of high-net-worth individuals (HNWIs) and families. This sector combines various aspects of investment advice, financial planning, estate planning, tax services, and more</w:t>
      </w:r>
      <w:r w:rsidR="00412833">
        <w:rPr>
          <w:rFonts w:ascii="Times New Roman" w:eastAsia="Times New Roman" w:hAnsi="Times New Roman" w:cs="Times New Roman"/>
          <w:kern w:val="0"/>
          <w:sz w:val="24"/>
          <w:szCs w:val="24"/>
          <w:lang w:eastAsia="en-IN"/>
          <w14:ligatures w14:val="none"/>
        </w:rPr>
        <w:t>.</w:t>
      </w:r>
    </w:p>
    <w:p w14:paraId="413C2954" w14:textId="77777777" w:rsidR="00412833" w:rsidRDefault="00412833" w:rsidP="006173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A7E7155" w14:textId="77777777" w:rsidR="006173D0" w:rsidRPr="006173D0" w:rsidRDefault="006173D0" w:rsidP="006173D0">
      <w:pPr>
        <w:rPr>
          <w:b/>
          <w:bCs/>
          <w:sz w:val="24"/>
          <w:szCs w:val="24"/>
          <w:lang w:eastAsia="en-IN"/>
        </w:rPr>
      </w:pPr>
      <w:r w:rsidRPr="006173D0">
        <w:rPr>
          <w:b/>
          <w:bCs/>
          <w:sz w:val="24"/>
          <w:szCs w:val="24"/>
          <w:lang w:eastAsia="en-IN"/>
        </w:rPr>
        <w:t>1. Investment Management</w:t>
      </w:r>
    </w:p>
    <w:p w14:paraId="2FCE7CC2" w14:textId="77777777" w:rsidR="006173D0" w:rsidRPr="006173D0" w:rsidRDefault="006173D0" w:rsidP="006173D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73D0">
        <w:rPr>
          <w:rFonts w:ascii="Times New Roman" w:eastAsia="Times New Roman" w:hAnsi="Times New Roman" w:cs="Times New Roman"/>
          <w:b/>
          <w:bCs/>
          <w:kern w:val="0"/>
          <w:sz w:val="24"/>
          <w:szCs w:val="24"/>
          <w:lang w:eastAsia="en-IN"/>
          <w14:ligatures w14:val="none"/>
        </w:rPr>
        <w:t>Portfolio Management</w:t>
      </w:r>
      <w:r w:rsidRPr="006173D0">
        <w:rPr>
          <w:rFonts w:ascii="Times New Roman" w:eastAsia="Times New Roman" w:hAnsi="Times New Roman" w:cs="Times New Roman"/>
          <w:kern w:val="0"/>
          <w:sz w:val="24"/>
          <w:szCs w:val="24"/>
          <w:lang w:eastAsia="en-IN"/>
          <w14:ligatures w14:val="none"/>
        </w:rPr>
        <w:t>: Creating and managing a diversified portfolio to meet clients' investment goals.</w:t>
      </w:r>
    </w:p>
    <w:p w14:paraId="1F94DEC4" w14:textId="77777777" w:rsidR="006173D0" w:rsidRPr="006173D0" w:rsidRDefault="006173D0" w:rsidP="006173D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73D0">
        <w:rPr>
          <w:rFonts w:ascii="Times New Roman" w:eastAsia="Times New Roman" w:hAnsi="Times New Roman" w:cs="Times New Roman"/>
          <w:b/>
          <w:bCs/>
          <w:kern w:val="0"/>
          <w:sz w:val="24"/>
          <w:szCs w:val="24"/>
          <w:lang w:eastAsia="en-IN"/>
          <w14:ligatures w14:val="none"/>
        </w:rPr>
        <w:t>Asset Allocation</w:t>
      </w:r>
      <w:r w:rsidRPr="006173D0">
        <w:rPr>
          <w:rFonts w:ascii="Times New Roman" w:eastAsia="Times New Roman" w:hAnsi="Times New Roman" w:cs="Times New Roman"/>
          <w:kern w:val="0"/>
          <w:sz w:val="24"/>
          <w:szCs w:val="24"/>
          <w:lang w:eastAsia="en-IN"/>
          <w14:ligatures w14:val="none"/>
        </w:rPr>
        <w:t>: Strategic distribution of investments across various asset classes (stocks, bonds, real estate, etc.) to optimize returns and manage risk.</w:t>
      </w:r>
    </w:p>
    <w:p w14:paraId="2D32D933" w14:textId="77777777" w:rsidR="006173D0" w:rsidRPr="006173D0" w:rsidRDefault="006173D0" w:rsidP="006173D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73D0">
        <w:rPr>
          <w:rFonts w:ascii="Times New Roman" w:eastAsia="Times New Roman" w:hAnsi="Times New Roman" w:cs="Times New Roman"/>
          <w:b/>
          <w:bCs/>
          <w:kern w:val="0"/>
          <w:sz w:val="24"/>
          <w:szCs w:val="24"/>
          <w:lang w:eastAsia="en-IN"/>
          <w14:ligatures w14:val="none"/>
        </w:rPr>
        <w:t>Risk Management</w:t>
      </w:r>
      <w:r w:rsidRPr="006173D0">
        <w:rPr>
          <w:rFonts w:ascii="Times New Roman" w:eastAsia="Times New Roman" w:hAnsi="Times New Roman" w:cs="Times New Roman"/>
          <w:kern w:val="0"/>
          <w:sz w:val="24"/>
          <w:szCs w:val="24"/>
          <w:lang w:eastAsia="en-IN"/>
          <w14:ligatures w14:val="none"/>
        </w:rPr>
        <w:t>: Identifying, assessing, and mitigating investment risks through various strategies and financial instruments.</w:t>
      </w:r>
    </w:p>
    <w:p w14:paraId="12C344C2" w14:textId="77777777" w:rsidR="006173D0" w:rsidRPr="006173D0" w:rsidRDefault="006173D0" w:rsidP="006173D0">
      <w:pPr>
        <w:rPr>
          <w:b/>
          <w:bCs/>
          <w:sz w:val="24"/>
          <w:szCs w:val="24"/>
          <w:lang w:eastAsia="en-IN"/>
        </w:rPr>
      </w:pPr>
      <w:r w:rsidRPr="006173D0">
        <w:rPr>
          <w:b/>
          <w:bCs/>
          <w:sz w:val="24"/>
          <w:szCs w:val="24"/>
          <w:lang w:eastAsia="en-IN"/>
        </w:rPr>
        <w:t>2. Financial Planning</w:t>
      </w:r>
    </w:p>
    <w:p w14:paraId="68318809" w14:textId="77777777" w:rsidR="006173D0" w:rsidRPr="006173D0" w:rsidRDefault="006173D0" w:rsidP="006173D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73D0">
        <w:rPr>
          <w:rFonts w:ascii="Times New Roman" w:eastAsia="Times New Roman" w:hAnsi="Times New Roman" w:cs="Times New Roman"/>
          <w:b/>
          <w:bCs/>
          <w:kern w:val="0"/>
          <w:sz w:val="24"/>
          <w:szCs w:val="24"/>
          <w:lang w:eastAsia="en-IN"/>
          <w14:ligatures w14:val="none"/>
        </w:rPr>
        <w:t>Retirement Planning</w:t>
      </w:r>
      <w:r w:rsidRPr="006173D0">
        <w:rPr>
          <w:rFonts w:ascii="Times New Roman" w:eastAsia="Times New Roman" w:hAnsi="Times New Roman" w:cs="Times New Roman"/>
          <w:kern w:val="0"/>
          <w:sz w:val="24"/>
          <w:szCs w:val="24"/>
          <w:lang w:eastAsia="en-IN"/>
          <w14:ligatures w14:val="none"/>
        </w:rPr>
        <w:t>: Assisting clients in preparing for retirement through savings plans, investment strategies, and pension plans.</w:t>
      </w:r>
    </w:p>
    <w:p w14:paraId="4F3CBF00" w14:textId="77777777" w:rsidR="006173D0" w:rsidRPr="006173D0" w:rsidRDefault="006173D0" w:rsidP="006173D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73D0">
        <w:rPr>
          <w:rFonts w:ascii="Times New Roman" w:eastAsia="Times New Roman" w:hAnsi="Times New Roman" w:cs="Times New Roman"/>
          <w:b/>
          <w:bCs/>
          <w:kern w:val="0"/>
          <w:sz w:val="24"/>
          <w:szCs w:val="24"/>
          <w:lang w:eastAsia="en-IN"/>
          <w14:ligatures w14:val="none"/>
        </w:rPr>
        <w:t>Education Planning</w:t>
      </w:r>
      <w:r w:rsidRPr="006173D0">
        <w:rPr>
          <w:rFonts w:ascii="Times New Roman" w:eastAsia="Times New Roman" w:hAnsi="Times New Roman" w:cs="Times New Roman"/>
          <w:kern w:val="0"/>
          <w:sz w:val="24"/>
          <w:szCs w:val="24"/>
          <w:lang w:eastAsia="en-IN"/>
          <w14:ligatures w14:val="none"/>
        </w:rPr>
        <w:t>: Helping clients save and invest for future educational expenses.</w:t>
      </w:r>
    </w:p>
    <w:p w14:paraId="687834E5" w14:textId="77777777" w:rsidR="006173D0" w:rsidRPr="006173D0" w:rsidRDefault="006173D0" w:rsidP="006173D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73D0">
        <w:rPr>
          <w:rFonts w:ascii="Times New Roman" w:eastAsia="Times New Roman" w:hAnsi="Times New Roman" w:cs="Times New Roman"/>
          <w:b/>
          <w:bCs/>
          <w:kern w:val="0"/>
          <w:sz w:val="24"/>
          <w:szCs w:val="24"/>
          <w:lang w:eastAsia="en-IN"/>
          <w14:ligatures w14:val="none"/>
        </w:rPr>
        <w:t>Cash Flow Management</w:t>
      </w:r>
      <w:r w:rsidRPr="006173D0">
        <w:rPr>
          <w:rFonts w:ascii="Times New Roman" w:eastAsia="Times New Roman" w:hAnsi="Times New Roman" w:cs="Times New Roman"/>
          <w:kern w:val="0"/>
          <w:sz w:val="24"/>
          <w:szCs w:val="24"/>
          <w:lang w:eastAsia="en-IN"/>
          <w14:ligatures w14:val="none"/>
        </w:rPr>
        <w:t>: Ensuring that clients have adequate liquidity and cash reserves for their needs.</w:t>
      </w:r>
    </w:p>
    <w:p w14:paraId="6692237C" w14:textId="77777777" w:rsidR="006173D0" w:rsidRPr="006173D0" w:rsidRDefault="006173D0" w:rsidP="006173D0">
      <w:pPr>
        <w:rPr>
          <w:b/>
          <w:bCs/>
          <w:sz w:val="24"/>
          <w:szCs w:val="24"/>
          <w:lang w:eastAsia="en-IN"/>
        </w:rPr>
      </w:pPr>
      <w:r w:rsidRPr="006173D0">
        <w:rPr>
          <w:b/>
          <w:bCs/>
          <w:sz w:val="24"/>
          <w:szCs w:val="24"/>
          <w:lang w:eastAsia="en-IN"/>
        </w:rPr>
        <w:t>3. Estate Planning</w:t>
      </w:r>
    </w:p>
    <w:p w14:paraId="0F683447" w14:textId="77777777" w:rsidR="006173D0" w:rsidRPr="006173D0" w:rsidRDefault="006173D0" w:rsidP="006173D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73D0">
        <w:rPr>
          <w:rFonts w:ascii="Times New Roman" w:eastAsia="Times New Roman" w:hAnsi="Times New Roman" w:cs="Times New Roman"/>
          <w:b/>
          <w:bCs/>
          <w:kern w:val="0"/>
          <w:sz w:val="24"/>
          <w:szCs w:val="24"/>
          <w:lang w:eastAsia="en-IN"/>
          <w14:ligatures w14:val="none"/>
        </w:rPr>
        <w:t>Trust Services</w:t>
      </w:r>
      <w:r w:rsidRPr="006173D0">
        <w:rPr>
          <w:rFonts w:ascii="Times New Roman" w:eastAsia="Times New Roman" w:hAnsi="Times New Roman" w:cs="Times New Roman"/>
          <w:kern w:val="0"/>
          <w:sz w:val="24"/>
          <w:szCs w:val="24"/>
          <w:lang w:eastAsia="en-IN"/>
          <w14:ligatures w14:val="none"/>
        </w:rPr>
        <w:t>: Establishing and managing trusts to ensure the proper transfer and protection of assets.</w:t>
      </w:r>
    </w:p>
    <w:p w14:paraId="2BAA2E4F" w14:textId="77777777" w:rsidR="006173D0" w:rsidRPr="006173D0" w:rsidRDefault="006173D0" w:rsidP="006173D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73D0">
        <w:rPr>
          <w:rFonts w:ascii="Times New Roman" w:eastAsia="Times New Roman" w:hAnsi="Times New Roman" w:cs="Times New Roman"/>
          <w:b/>
          <w:bCs/>
          <w:kern w:val="0"/>
          <w:sz w:val="24"/>
          <w:szCs w:val="24"/>
          <w:lang w:eastAsia="en-IN"/>
          <w14:ligatures w14:val="none"/>
        </w:rPr>
        <w:t>Wealth Transfer</w:t>
      </w:r>
      <w:r w:rsidRPr="006173D0">
        <w:rPr>
          <w:rFonts w:ascii="Times New Roman" w:eastAsia="Times New Roman" w:hAnsi="Times New Roman" w:cs="Times New Roman"/>
          <w:kern w:val="0"/>
          <w:sz w:val="24"/>
          <w:szCs w:val="24"/>
          <w:lang w:eastAsia="en-IN"/>
          <w14:ligatures w14:val="none"/>
        </w:rPr>
        <w:t>: Planning for the distribution of assets to heirs in a tax-efficient manner.</w:t>
      </w:r>
    </w:p>
    <w:p w14:paraId="3ABF4E1D" w14:textId="77777777" w:rsidR="006173D0" w:rsidRPr="006173D0" w:rsidRDefault="006173D0" w:rsidP="006173D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73D0">
        <w:rPr>
          <w:rFonts w:ascii="Times New Roman" w:eastAsia="Times New Roman" w:hAnsi="Times New Roman" w:cs="Times New Roman"/>
          <w:b/>
          <w:bCs/>
          <w:kern w:val="0"/>
          <w:sz w:val="24"/>
          <w:szCs w:val="24"/>
          <w:lang w:eastAsia="en-IN"/>
          <w14:ligatures w14:val="none"/>
        </w:rPr>
        <w:t>Wills and Legal Documents</w:t>
      </w:r>
      <w:r w:rsidRPr="006173D0">
        <w:rPr>
          <w:rFonts w:ascii="Times New Roman" w:eastAsia="Times New Roman" w:hAnsi="Times New Roman" w:cs="Times New Roman"/>
          <w:kern w:val="0"/>
          <w:sz w:val="24"/>
          <w:szCs w:val="24"/>
          <w:lang w:eastAsia="en-IN"/>
          <w14:ligatures w14:val="none"/>
        </w:rPr>
        <w:t>: Drafting and managing the necessary legal documents to implement estate plans.</w:t>
      </w:r>
    </w:p>
    <w:p w14:paraId="582477F7" w14:textId="77777777" w:rsidR="006173D0" w:rsidRPr="006173D0" w:rsidRDefault="006173D0" w:rsidP="006173D0">
      <w:pPr>
        <w:rPr>
          <w:b/>
          <w:bCs/>
          <w:sz w:val="24"/>
          <w:szCs w:val="24"/>
          <w:lang w:eastAsia="en-IN"/>
        </w:rPr>
      </w:pPr>
      <w:r w:rsidRPr="006173D0">
        <w:rPr>
          <w:b/>
          <w:bCs/>
          <w:sz w:val="24"/>
          <w:szCs w:val="24"/>
          <w:lang w:eastAsia="en-IN"/>
        </w:rPr>
        <w:t>4. Tax Services</w:t>
      </w:r>
    </w:p>
    <w:p w14:paraId="0A1B18DF" w14:textId="77777777" w:rsidR="006173D0" w:rsidRPr="006173D0" w:rsidRDefault="006173D0" w:rsidP="006173D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73D0">
        <w:rPr>
          <w:rFonts w:ascii="Times New Roman" w:eastAsia="Times New Roman" w:hAnsi="Times New Roman" w:cs="Times New Roman"/>
          <w:b/>
          <w:bCs/>
          <w:kern w:val="0"/>
          <w:sz w:val="24"/>
          <w:szCs w:val="24"/>
          <w:lang w:eastAsia="en-IN"/>
          <w14:ligatures w14:val="none"/>
        </w:rPr>
        <w:t>Tax Planning</w:t>
      </w:r>
      <w:r w:rsidRPr="006173D0">
        <w:rPr>
          <w:rFonts w:ascii="Times New Roman" w:eastAsia="Times New Roman" w:hAnsi="Times New Roman" w:cs="Times New Roman"/>
          <w:kern w:val="0"/>
          <w:sz w:val="24"/>
          <w:szCs w:val="24"/>
          <w:lang w:eastAsia="en-IN"/>
          <w14:ligatures w14:val="none"/>
        </w:rPr>
        <w:t>: Structuring investments and transactions to minimize tax liabilities.</w:t>
      </w:r>
    </w:p>
    <w:p w14:paraId="4C95EA31" w14:textId="77777777" w:rsidR="006173D0" w:rsidRPr="006173D0" w:rsidRDefault="006173D0" w:rsidP="006173D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73D0">
        <w:rPr>
          <w:rFonts w:ascii="Times New Roman" w:eastAsia="Times New Roman" w:hAnsi="Times New Roman" w:cs="Times New Roman"/>
          <w:b/>
          <w:bCs/>
          <w:kern w:val="0"/>
          <w:sz w:val="24"/>
          <w:szCs w:val="24"/>
          <w:lang w:eastAsia="en-IN"/>
          <w14:ligatures w14:val="none"/>
        </w:rPr>
        <w:t>Tax Compliance</w:t>
      </w:r>
      <w:r w:rsidRPr="006173D0">
        <w:rPr>
          <w:rFonts w:ascii="Times New Roman" w:eastAsia="Times New Roman" w:hAnsi="Times New Roman" w:cs="Times New Roman"/>
          <w:kern w:val="0"/>
          <w:sz w:val="24"/>
          <w:szCs w:val="24"/>
          <w:lang w:eastAsia="en-IN"/>
          <w14:ligatures w14:val="none"/>
        </w:rPr>
        <w:t>: Ensuring that clients comply with tax laws and regulations, including filing returns and paying taxes.</w:t>
      </w:r>
    </w:p>
    <w:p w14:paraId="2E464912" w14:textId="77777777" w:rsidR="006173D0" w:rsidRPr="006173D0" w:rsidRDefault="006173D0" w:rsidP="006173D0">
      <w:pPr>
        <w:rPr>
          <w:b/>
          <w:bCs/>
          <w:sz w:val="24"/>
          <w:szCs w:val="24"/>
          <w:lang w:eastAsia="en-IN"/>
        </w:rPr>
      </w:pPr>
      <w:r w:rsidRPr="006173D0">
        <w:rPr>
          <w:b/>
          <w:bCs/>
          <w:sz w:val="24"/>
          <w:szCs w:val="24"/>
          <w:lang w:eastAsia="en-IN"/>
        </w:rPr>
        <w:t>5. Private Banking</w:t>
      </w:r>
    </w:p>
    <w:p w14:paraId="596E0743" w14:textId="77777777" w:rsidR="006173D0" w:rsidRPr="006173D0" w:rsidRDefault="006173D0" w:rsidP="006173D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73D0">
        <w:rPr>
          <w:rFonts w:ascii="Times New Roman" w:eastAsia="Times New Roman" w:hAnsi="Times New Roman" w:cs="Times New Roman"/>
          <w:b/>
          <w:bCs/>
          <w:kern w:val="0"/>
          <w:sz w:val="24"/>
          <w:szCs w:val="24"/>
          <w:lang w:eastAsia="en-IN"/>
          <w14:ligatures w14:val="none"/>
        </w:rPr>
        <w:t>Personalized Banking Services</w:t>
      </w:r>
      <w:r w:rsidRPr="006173D0">
        <w:rPr>
          <w:rFonts w:ascii="Times New Roman" w:eastAsia="Times New Roman" w:hAnsi="Times New Roman" w:cs="Times New Roman"/>
          <w:kern w:val="0"/>
          <w:sz w:val="24"/>
          <w:szCs w:val="24"/>
          <w:lang w:eastAsia="en-IN"/>
          <w14:ligatures w14:val="none"/>
        </w:rPr>
        <w:t>: Offering tailored banking services, such as private accounts, exclusive credit cards, and custom loan solutions.</w:t>
      </w:r>
    </w:p>
    <w:p w14:paraId="6D19795E" w14:textId="77777777" w:rsidR="006173D0" w:rsidRPr="006173D0" w:rsidRDefault="006173D0" w:rsidP="006173D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73D0">
        <w:rPr>
          <w:rFonts w:ascii="Times New Roman" w:eastAsia="Times New Roman" w:hAnsi="Times New Roman" w:cs="Times New Roman"/>
          <w:b/>
          <w:bCs/>
          <w:kern w:val="0"/>
          <w:sz w:val="24"/>
          <w:szCs w:val="24"/>
          <w:lang w:eastAsia="en-IN"/>
          <w14:ligatures w14:val="none"/>
        </w:rPr>
        <w:t>Dedicated Relationship Managers</w:t>
      </w:r>
      <w:r w:rsidRPr="006173D0">
        <w:rPr>
          <w:rFonts w:ascii="Times New Roman" w:eastAsia="Times New Roman" w:hAnsi="Times New Roman" w:cs="Times New Roman"/>
          <w:kern w:val="0"/>
          <w:sz w:val="24"/>
          <w:szCs w:val="24"/>
          <w:lang w:eastAsia="en-IN"/>
          <w14:ligatures w14:val="none"/>
        </w:rPr>
        <w:t>: Providing clients with a single point of contact for all their banking and financial needs.</w:t>
      </w:r>
    </w:p>
    <w:p w14:paraId="0551F7CC" w14:textId="77777777" w:rsidR="006173D0" w:rsidRPr="006173D0" w:rsidRDefault="006173D0" w:rsidP="006173D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73D0">
        <w:rPr>
          <w:rFonts w:ascii="Times New Roman" w:eastAsia="Times New Roman" w:hAnsi="Times New Roman" w:cs="Times New Roman"/>
          <w:b/>
          <w:bCs/>
          <w:kern w:val="0"/>
          <w:sz w:val="24"/>
          <w:szCs w:val="24"/>
          <w:lang w:eastAsia="en-IN"/>
          <w14:ligatures w14:val="none"/>
        </w:rPr>
        <w:t>Exclusive Products</w:t>
      </w:r>
      <w:r w:rsidRPr="006173D0">
        <w:rPr>
          <w:rFonts w:ascii="Times New Roman" w:eastAsia="Times New Roman" w:hAnsi="Times New Roman" w:cs="Times New Roman"/>
          <w:kern w:val="0"/>
          <w:sz w:val="24"/>
          <w:szCs w:val="24"/>
          <w:lang w:eastAsia="en-IN"/>
          <w14:ligatures w14:val="none"/>
        </w:rPr>
        <w:t>: Access to unique financial products and investment opportunities not available to the general public.</w:t>
      </w:r>
    </w:p>
    <w:p w14:paraId="3B1863E3" w14:textId="77777777" w:rsidR="006173D0" w:rsidRDefault="006173D0" w:rsidP="006173D0">
      <w:pPr>
        <w:rPr>
          <w:b/>
          <w:bCs/>
          <w:sz w:val="24"/>
          <w:szCs w:val="24"/>
          <w:lang w:eastAsia="en-IN"/>
        </w:rPr>
      </w:pPr>
    </w:p>
    <w:p w14:paraId="349C0F46" w14:textId="190A4C28" w:rsidR="006173D0" w:rsidRPr="006173D0" w:rsidRDefault="006173D0" w:rsidP="006173D0">
      <w:pPr>
        <w:rPr>
          <w:b/>
          <w:bCs/>
          <w:sz w:val="24"/>
          <w:szCs w:val="24"/>
          <w:lang w:eastAsia="en-IN"/>
        </w:rPr>
      </w:pPr>
      <w:r w:rsidRPr="006173D0">
        <w:rPr>
          <w:b/>
          <w:bCs/>
          <w:sz w:val="24"/>
          <w:szCs w:val="24"/>
          <w:lang w:eastAsia="en-IN"/>
        </w:rPr>
        <w:t>6. Advisory Services</w:t>
      </w:r>
    </w:p>
    <w:p w14:paraId="6202B2D0" w14:textId="77777777" w:rsidR="006173D0" w:rsidRPr="006173D0" w:rsidRDefault="006173D0" w:rsidP="006173D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73D0">
        <w:rPr>
          <w:rFonts w:ascii="Times New Roman" w:eastAsia="Times New Roman" w:hAnsi="Times New Roman" w:cs="Times New Roman"/>
          <w:b/>
          <w:bCs/>
          <w:kern w:val="0"/>
          <w:sz w:val="24"/>
          <w:szCs w:val="24"/>
          <w:lang w:eastAsia="en-IN"/>
          <w14:ligatures w14:val="none"/>
        </w:rPr>
        <w:t>Financial Advice</w:t>
      </w:r>
      <w:r w:rsidRPr="006173D0">
        <w:rPr>
          <w:rFonts w:ascii="Times New Roman" w:eastAsia="Times New Roman" w:hAnsi="Times New Roman" w:cs="Times New Roman"/>
          <w:kern w:val="0"/>
          <w:sz w:val="24"/>
          <w:szCs w:val="24"/>
          <w:lang w:eastAsia="en-IN"/>
          <w14:ligatures w14:val="none"/>
        </w:rPr>
        <w:t>: Providing expert advice on a range of financial matters, including investments, retirement, and estate planning.</w:t>
      </w:r>
    </w:p>
    <w:p w14:paraId="1C92D338" w14:textId="77777777" w:rsidR="006173D0" w:rsidRPr="006173D0" w:rsidRDefault="006173D0" w:rsidP="006173D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73D0">
        <w:rPr>
          <w:rFonts w:ascii="Times New Roman" w:eastAsia="Times New Roman" w:hAnsi="Times New Roman" w:cs="Times New Roman"/>
          <w:b/>
          <w:bCs/>
          <w:kern w:val="0"/>
          <w:sz w:val="24"/>
          <w:szCs w:val="24"/>
          <w:lang w:eastAsia="en-IN"/>
          <w14:ligatures w14:val="none"/>
        </w:rPr>
        <w:t>Investment Research</w:t>
      </w:r>
      <w:r w:rsidRPr="006173D0">
        <w:rPr>
          <w:rFonts w:ascii="Times New Roman" w:eastAsia="Times New Roman" w:hAnsi="Times New Roman" w:cs="Times New Roman"/>
          <w:kern w:val="0"/>
          <w:sz w:val="24"/>
          <w:szCs w:val="24"/>
          <w:lang w:eastAsia="en-IN"/>
          <w14:ligatures w14:val="none"/>
        </w:rPr>
        <w:t>: Offering insights and analysis on market trends, economic conditions, and investment opportunities.</w:t>
      </w:r>
    </w:p>
    <w:p w14:paraId="47BDD646" w14:textId="77777777" w:rsidR="006173D0" w:rsidRPr="006173D0" w:rsidRDefault="006173D0" w:rsidP="006173D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73D0">
        <w:rPr>
          <w:rFonts w:ascii="Times New Roman" w:eastAsia="Times New Roman" w:hAnsi="Times New Roman" w:cs="Times New Roman"/>
          <w:b/>
          <w:bCs/>
          <w:kern w:val="0"/>
          <w:sz w:val="24"/>
          <w:szCs w:val="24"/>
          <w:lang w:eastAsia="en-IN"/>
          <w14:ligatures w14:val="none"/>
        </w:rPr>
        <w:t>Strategic Planning</w:t>
      </w:r>
      <w:r w:rsidRPr="006173D0">
        <w:rPr>
          <w:rFonts w:ascii="Times New Roman" w:eastAsia="Times New Roman" w:hAnsi="Times New Roman" w:cs="Times New Roman"/>
          <w:kern w:val="0"/>
          <w:sz w:val="24"/>
          <w:szCs w:val="24"/>
          <w:lang w:eastAsia="en-IN"/>
          <w14:ligatures w14:val="none"/>
        </w:rPr>
        <w:t>: Helping clients set and achieve long-term financial goals.</w:t>
      </w:r>
    </w:p>
    <w:p w14:paraId="58D2077B" w14:textId="77777777" w:rsidR="006173D0" w:rsidRPr="006173D0" w:rsidRDefault="006173D0" w:rsidP="006173D0">
      <w:pPr>
        <w:rPr>
          <w:b/>
          <w:bCs/>
          <w:sz w:val="24"/>
          <w:szCs w:val="24"/>
          <w:lang w:eastAsia="en-IN"/>
        </w:rPr>
      </w:pPr>
      <w:r w:rsidRPr="006173D0">
        <w:rPr>
          <w:b/>
          <w:bCs/>
          <w:sz w:val="24"/>
          <w:szCs w:val="24"/>
          <w:lang w:eastAsia="en-IN"/>
        </w:rPr>
        <w:t>7. Insurance Services</w:t>
      </w:r>
    </w:p>
    <w:p w14:paraId="0C75E18A" w14:textId="77777777" w:rsidR="006173D0" w:rsidRPr="006173D0" w:rsidRDefault="006173D0" w:rsidP="006173D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73D0">
        <w:rPr>
          <w:rFonts w:ascii="Times New Roman" w:eastAsia="Times New Roman" w:hAnsi="Times New Roman" w:cs="Times New Roman"/>
          <w:b/>
          <w:bCs/>
          <w:kern w:val="0"/>
          <w:sz w:val="24"/>
          <w:szCs w:val="24"/>
          <w:lang w:eastAsia="en-IN"/>
          <w14:ligatures w14:val="none"/>
        </w:rPr>
        <w:t>Life Insurance</w:t>
      </w:r>
      <w:r w:rsidRPr="006173D0">
        <w:rPr>
          <w:rFonts w:ascii="Times New Roman" w:eastAsia="Times New Roman" w:hAnsi="Times New Roman" w:cs="Times New Roman"/>
          <w:kern w:val="0"/>
          <w:sz w:val="24"/>
          <w:szCs w:val="24"/>
          <w:lang w:eastAsia="en-IN"/>
          <w14:ligatures w14:val="none"/>
        </w:rPr>
        <w:t>: Providing policies that offer financial protection to clients and their families.</w:t>
      </w:r>
    </w:p>
    <w:p w14:paraId="215A152B" w14:textId="77777777" w:rsidR="006173D0" w:rsidRPr="006173D0" w:rsidRDefault="006173D0" w:rsidP="006173D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73D0">
        <w:rPr>
          <w:rFonts w:ascii="Times New Roman" w:eastAsia="Times New Roman" w:hAnsi="Times New Roman" w:cs="Times New Roman"/>
          <w:b/>
          <w:bCs/>
          <w:kern w:val="0"/>
          <w:sz w:val="24"/>
          <w:szCs w:val="24"/>
          <w:lang w:eastAsia="en-IN"/>
          <w14:ligatures w14:val="none"/>
        </w:rPr>
        <w:t>Property and Casualty Insurance</w:t>
      </w:r>
      <w:r w:rsidRPr="006173D0">
        <w:rPr>
          <w:rFonts w:ascii="Times New Roman" w:eastAsia="Times New Roman" w:hAnsi="Times New Roman" w:cs="Times New Roman"/>
          <w:kern w:val="0"/>
          <w:sz w:val="24"/>
          <w:szCs w:val="24"/>
          <w:lang w:eastAsia="en-IN"/>
          <w14:ligatures w14:val="none"/>
        </w:rPr>
        <w:t>: Protecting clients' assets from various risks.</w:t>
      </w:r>
    </w:p>
    <w:p w14:paraId="17EAE8A4" w14:textId="77777777" w:rsidR="006173D0" w:rsidRPr="006173D0" w:rsidRDefault="006173D0" w:rsidP="006173D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73D0">
        <w:rPr>
          <w:rFonts w:ascii="Times New Roman" w:eastAsia="Times New Roman" w:hAnsi="Times New Roman" w:cs="Times New Roman"/>
          <w:b/>
          <w:bCs/>
          <w:kern w:val="0"/>
          <w:sz w:val="24"/>
          <w:szCs w:val="24"/>
          <w:lang w:eastAsia="en-IN"/>
          <w14:ligatures w14:val="none"/>
        </w:rPr>
        <w:t>Health Insurance</w:t>
      </w:r>
      <w:r w:rsidRPr="006173D0">
        <w:rPr>
          <w:rFonts w:ascii="Times New Roman" w:eastAsia="Times New Roman" w:hAnsi="Times New Roman" w:cs="Times New Roman"/>
          <w:kern w:val="0"/>
          <w:sz w:val="24"/>
          <w:szCs w:val="24"/>
          <w:lang w:eastAsia="en-IN"/>
          <w14:ligatures w14:val="none"/>
        </w:rPr>
        <w:t>: Ensuring clients have adequate coverage for medical expenses.</w:t>
      </w:r>
    </w:p>
    <w:p w14:paraId="29EBA323" w14:textId="77777777" w:rsidR="006173D0" w:rsidRPr="006173D0" w:rsidRDefault="006173D0" w:rsidP="006173D0">
      <w:pPr>
        <w:rPr>
          <w:b/>
          <w:bCs/>
          <w:sz w:val="24"/>
          <w:szCs w:val="24"/>
          <w:lang w:eastAsia="en-IN"/>
        </w:rPr>
      </w:pPr>
      <w:r w:rsidRPr="006173D0">
        <w:rPr>
          <w:b/>
          <w:bCs/>
          <w:sz w:val="24"/>
          <w:szCs w:val="24"/>
          <w:lang w:eastAsia="en-IN"/>
        </w:rPr>
        <w:t>8. Alternative Investments</w:t>
      </w:r>
    </w:p>
    <w:p w14:paraId="4FDE3B19" w14:textId="77777777" w:rsidR="006173D0" w:rsidRPr="006173D0" w:rsidRDefault="006173D0" w:rsidP="006173D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73D0">
        <w:rPr>
          <w:rFonts w:ascii="Times New Roman" w:eastAsia="Times New Roman" w:hAnsi="Times New Roman" w:cs="Times New Roman"/>
          <w:b/>
          <w:bCs/>
          <w:kern w:val="0"/>
          <w:sz w:val="24"/>
          <w:szCs w:val="24"/>
          <w:lang w:eastAsia="en-IN"/>
          <w14:ligatures w14:val="none"/>
        </w:rPr>
        <w:t>Hedge Funds</w:t>
      </w:r>
      <w:r w:rsidRPr="006173D0">
        <w:rPr>
          <w:rFonts w:ascii="Times New Roman" w:eastAsia="Times New Roman" w:hAnsi="Times New Roman" w:cs="Times New Roman"/>
          <w:kern w:val="0"/>
          <w:sz w:val="24"/>
          <w:szCs w:val="24"/>
          <w:lang w:eastAsia="en-IN"/>
          <w14:ligatures w14:val="none"/>
        </w:rPr>
        <w:t>: Offering investment opportunities in hedge funds for higher returns.</w:t>
      </w:r>
    </w:p>
    <w:p w14:paraId="1B8E0F91" w14:textId="77777777" w:rsidR="006173D0" w:rsidRPr="006173D0" w:rsidRDefault="006173D0" w:rsidP="006173D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73D0">
        <w:rPr>
          <w:rFonts w:ascii="Times New Roman" w:eastAsia="Times New Roman" w:hAnsi="Times New Roman" w:cs="Times New Roman"/>
          <w:b/>
          <w:bCs/>
          <w:kern w:val="0"/>
          <w:sz w:val="24"/>
          <w:szCs w:val="24"/>
          <w:lang w:eastAsia="en-IN"/>
          <w14:ligatures w14:val="none"/>
        </w:rPr>
        <w:t>Private Equity</w:t>
      </w:r>
      <w:r w:rsidRPr="006173D0">
        <w:rPr>
          <w:rFonts w:ascii="Times New Roman" w:eastAsia="Times New Roman" w:hAnsi="Times New Roman" w:cs="Times New Roman"/>
          <w:kern w:val="0"/>
          <w:sz w:val="24"/>
          <w:szCs w:val="24"/>
          <w:lang w:eastAsia="en-IN"/>
          <w14:ligatures w14:val="none"/>
        </w:rPr>
        <w:t>: Facilitating investments in private companies.</w:t>
      </w:r>
    </w:p>
    <w:p w14:paraId="33F7ED37" w14:textId="77777777" w:rsidR="006173D0" w:rsidRPr="006173D0" w:rsidRDefault="006173D0" w:rsidP="006173D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73D0">
        <w:rPr>
          <w:rFonts w:ascii="Times New Roman" w:eastAsia="Times New Roman" w:hAnsi="Times New Roman" w:cs="Times New Roman"/>
          <w:b/>
          <w:bCs/>
          <w:kern w:val="0"/>
          <w:sz w:val="24"/>
          <w:szCs w:val="24"/>
          <w:lang w:eastAsia="en-IN"/>
          <w14:ligatures w14:val="none"/>
        </w:rPr>
        <w:t>Real Estate</w:t>
      </w:r>
      <w:r w:rsidRPr="006173D0">
        <w:rPr>
          <w:rFonts w:ascii="Times New Roman" w:eastAsia="Times New Roman" w:hAnsi="Times New Roman" w:cs="Times New Roman"/>
          <w:kern w:val="0"/>
          <w:sz w:val="24"/>
          <w:szCs w:val="24"/>
          <w:lang w:eastAsia="en-IN"/>
          <w14:ligatures w14:val="none"/>
        </w:rPr>
        <w:t>: Managing investments in commercial and residential properties.</w:t>
      </w:r>
    </w:p>
    <w:p w14:paraId="49543205" w14:textId="77777777" w:rsidR="006173D0" w:rsidRPr="006173D0" w:rsidRDefault="006173D0" w:rsidP="006173D0">
      <w:pPr>
        <w:rPr>
          <w:b/>
          <w:bCs/>
          <w:sz w:val="24"/>
          <w:szCs w:val="24"/>
          <w:lang w:eastAsia="en-IN"/>
        </w:rPr>
      </w:pPr>
      <w:r w:rsidRPr="006173D0">
        <w:rPr>
          <w:b/>
          <w:bCs/>
          <w:sz w:val="24"/>
          <w:szCs w:val="24"/>
          <w:lang w:eastAsia="en-IN"/>
        </w:rPr>
        <w:t>Integration and Technology</w:t>
      </w:r>
    </w:p>
    <w:p w14:paraId="3E0FB7E4" w14:textId="77777777" w:rsidR="006173D0" w:rsidRPr="006173D0" w:rsidRDefault="006173D0" w:rsidP="006173D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73D0">
        <w:rPr>
          <w:rFonts w:ascii="Times New Roman" w:eastAsia="Times New Roman" w:hAnsi="Times New Roman" w:cs="Times New Roman"/>
          <w:b/>
          <w:bCs/>
          <w:kern w:val="0"/>
          <w:sz w:val="24"/>
          <w:szCs w:val="24"/>
          <w:lang w:eastAsia="en-IN"/>
          <w14:ligatures w14:val="none"/>
        </w:rPr>
        <w:t>Digital Platforms</w:t>
      </w:r>
      <w:r w:rsidRPr="006173D0">
        <w:rPr>
          <w:rFonts w:ascii="Times New Roman" w:eastAsia="Times New Roman" w:hAnsi="Times New Roman" w:cs="Times New Roman"/>
          <w:kern w:val="0"/>
          <w:sz w:val="24"/>
          <w:szCs w:val="24"/>
          <w:lang w:eastAsia="en-IN"/>
          <w14:ligatures w14:val="none"/>
        </w:rPr>
        <w:t>: Utilizing technology to provide clients with online access to their accounts, investment tools, and financial information.</w:t>
      </w:r>
    </w:p>
    <w:p w14:paraId="7C0E8A01" w14:textId="77777777" w:rsidR="006173D0" w:rsidRPr="006173D0" w:rsidRDefault="006173D0" w:rsidP="006173D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73D0">
        <w:rPr>
          <w:rFonts w:ascii="Times New Roman" w:eastAsia="Times New Roman" w:hAnsi="Times New Roman" w:cs="Times New Roman"/>
          <w:b/>
          <w:bCs/>
          <w:kern w:val="0"/>
          <w:sz w:val="24"/>
          <w:szCs w:val="24"/>
          <w:lang w:eastAsia="en-IN"/>
          <w14:ligatures w14:val="none"/>
        </w:rPr>
        <w:t>Data Analytics</w:t>
      </w:r>
      <w:r w:rsidRPr="006173D0">
        <w:rPr>
          <w:rFonts w:ascii="Times New Roman" w:eastAsia="Times New Roman" w:hAnsi="Times New Roman" w:cs="Times New Roman"/>
          <w:kern w:val="0"/>
          <w:sz w:val="24"/>
          <w:szCs w:val="24"/>
          <w:lang w:eastAsia="en-IN"/>
          <w14:ligatures w14:val="none"/>
        </w:rPr>
        <w:t>: Leveraging big data and analytics to offer personalized investment advice and predict market trends.</w:t>
      </w:r>
    </w:p>
    <w:p w14:paraId="54D142F2" w14:textId="77777777" w:rsidR="006173D0" w:rsidRPr="006173D0" w:rsidRDefault="006173D0" w:rsidP="006173D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73D0">
        <w:rPr>
          <w:rFonts w:ascii="Times New Roman" w:eastAsia="Times New Roman" w:hAnsi="Times New Roman" w:cs="Times New Roman"/>
          <w:b/>
          <w:bCs/>
          <w:kern w:val="0"/>
          <w:sz w:val="24"/>
          <w:szCs w:val="24"/>
          <w:lang w:eastAsia="en-IN"/>
          <w14:ligatures w14:val="none"/>
        </w:rPr>
        <w:t>Cybersecurity</w:t>
      </w:r>
      <w:r w:rsidRPr="006173D0">
        <w:rPr>
          <w:rFonts w:ascii="Times New Roman" w:eastAsia="Times New Roman" w:hAnsi="Times New Roman" w:cs="Times New Roman"/>
          <w:kern w:val="0"/>
          <w:sz w:val="24"/>
          <w:szCs w:val="24"/>
          <w:lang w:eastAsia="en-IN"/>
          <w14:ligatures w14:val="none"/>
        </w:rPr>
        <w:t>: Ensuring the protection of clients' financial data and transactions from cyber threats.</w:t>
      </w:r>
    </w:p>
    <w:p w14:paraId="7B021E0B" w14:textId="77777777" w:rsidR="006173D0" w:rsidRPr="006173D0" w:rsidRDefault="006173D0" w:rsidP="006173D0">
      <w:pPr>
        <w:rPr>
          <w:b/>
          <w:bCs/>
          <w:sz w:val="24"/>
          <w:szCs w:val="24"/>
          <w:lang w:eastAsia="en-IN"/>
        </w:rPr>
      </w:pPr>
      <w:r w:rsidRPr="006173D0">
        <w:rPr>
          <w:b/>
          <w:bCs/>
          <w:sz w:val="24"/>
          <w:szCs w:val="24"/>
          <w:lang w:eastAsia="en-IN"/>
        </w:rPr>
        <w:t>Compliance and Regulation</w:t>
      </w:r>
    </w:p>
    <w:p w14:paraId="1B478DED" w14:textId="77777777" w:rsidR="006173D0" w:rsidRPr="006173D0" w:rsidRDefault="006173D0" w:rsidP="006173D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73D0">
        <w:rPr>
          <w:rFonts w:ascii="Times New Roman" w:eastAsia="Times New Roman" w:hAnsi="Times New Roman" w:cs="Times New Roman"/>
          <w:b/>
          <w:bCs/>
          <w:kern w:val="0"/>
          <w:sz w:val="24"/>
          <w:szCs w:val="24"/>
          <w:lang w:eastAsia="en-IN"/>
          <w14:ligatures w14:val="none"/>
        </w:rPr>
        <w:t>Regulatory Compliance</w:t>
      </w:r>
      <w:r w:rsidRPr="006173D0">
        <w:rPr>
          <w:rFonts w:ascii="Times New Roman" w:eastAsia="Times New Roman" w:hAnsi="Times New Roman" w:cs="Times New Roman"/>
          <w:kern w:val="0"/>
          <w:sz w:val="24"/>
          <w:szCs w:val="24"/>
          <w:lang w:eastAsia="en-IN"/>
          <w14:ligatures w14:val="none"/>
        </w:rPr>
        <w:t>: Adhering to laws and regulations governing the financial industry to ensure transparency and protect clients' interests.</w:t>
      </w:r>
    </w:p>
    <w:p w14:paraId="231C6F60" w14:textId="77777777" w:rsidR="006173D0" w:rsidRPr="006173D0" w:rsidRDefault="006173D0" w:rsidP="006173D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73D0">
        <w:rPr>
          <w:rFonts w:ascii="Times New Roman" w:eastAsia="Times New Roman" w:hAnsi="Times New Roman" w:cs="Times New Roman"/>
          <w:b/>
          <w:bCs/>
          <w:kern w:val="0"/>
          <w:sz w:val="24"/>
          <w:szCs w:val="24"/>
          <w:lang w:eastAsia="en-IN"/>
          <w14:ligatures w14:val="none"/>
        </w:rPr>
        <w:t>Ethical Standards</w:t>
      </w:r>
      <w:r w:rsidRPr="006173D0">
        <w:rPr>
          <w:rFonts w:ascii="Times New Roman" w:eastAsia="Times New Roman" w:hAnsi="Times New Roman" w:cs="Times New Roman"/>
          <w:kern w:val="0"/>
          <w:sz w:val="24"/>
          <w:szCs w:val="24"/>
          <w:lang w:eastAsia="en-IN"/>
          <w14:ligatures w14:val="none"/>
        </w:rPr>
        <w:t>: Maintaining high ethical standards and fiduciary responsibility in managing clients' wealth.</w:t>
      </w:r>
    </w:p>
    <w:p w14:paraId="513572B4" w14:textId="11041718" w:rsidR="006173D0" w:rsidRPr="006173D0" w:rsidRDefault="006173D0" w:rsidP="006173D0">
      <w:pPr>
        <w:rPr>
          <w:b/>
          <w:bCs/>
          <w:sz w:val="24"/>
          <w:szCs w:val="24"/>
          <w:lang w:eastAsia="en-IN"/>
        </w:rPr>
      </w:pPr>
      <w:r w:rsidRPr="006173D0">
        <w:rPr>
          <w:b/>
          <w:bCs/>
          <w:sz w:val="24"/>
          <w:szCs w:val="24"/>
          <w:lang w:eastAsia="en-IN"/>
        </w:rPr>
        <w:t xml:space="preserve"> Market Size and Growth</w:t>
      </w:r>
    </w:p>
    <w:p w14:paraId="0A7E3E0F" w14:textId="77777777" w:rsidR="006173D0" w:rsidRPr="006173D0" w:rsidRDefault="006173D0" w:rsidP="006173D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73D0">
        <w:rPr>
          <w:rFonts w:ascii="Times New Roman" w:eastAsia="Times New Roman" w:hAnsi="Times New Roman" w:cs="Times New Roman"/>
          <w:b/>
          <w:bCs/>
          <w:kern w:val="0"/>
          <w:sz w:val="24"/>
          <w:szCs w:val="24"/>
          <w:lang w:eastAsia="en-IN"/>
          <w14:ligatures w14:val="none"/>
        </w:rPr>
        <w:t>Global Market Value</w:t>
      </w:r>
      <w:r w:rsidRPr="006173D0">
        <w:rPr>
          <w:rFonts w:ascii="Times New Roman" w:eastAsia="Times New Roman" w:hAnsi="Times New Roman" w:cs="Times New Roman"/>
          <w:kern w:val="0"/>
          <w:sz w:val="24"/>
          <w:szCs w:val="24"/>
          <w:lang w:eastAsia="en-IN"/>
          <w14:ligatures w14:val="none"/>
        </w:rPr>
        <w:t>: The global wealth management market was valued at approximately $1.3 trillion in 2022 and is expected to grow at a CAGR of around 7% from 2023 to 2030.</w:t>
      </w:r>
    </w:p>
    <w:p w14:paraId="281F70AF" w14:textId="77777777" w:rsidR="006173D0" w:rsidRDefault="006173D0" w:rsidP="006173D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73D0">
        <w:rPr>
          <w:rFonts w:ascii="Times New Roman" w:eastAsia="Times New Roman" w:hAnsi="Times New Roman" w:cs="Times New Roman"/>
          <w:b/>
          <w:bCs/>
          <w:kern w:val="0"/>
          <w:sz w:val="24"/>
          <w:szCs w:val="24"/>
          <w:lang w:eastAsia="en-IN"/>
          <w14:ligatures w14:val="none"/>
        </w:rPr>
        <w:t>Regional Markets</w:t>
      </w:r>
      <w:r w:rsidRPr="006173D0">
        <w:rPr>
          <w:rFonts w:ascii="Times New Roman" w:eastAsia="Times New Roman" w:hAnsi="Times New Roman" w:cs="Times New Roman"/>
          <w:kern w:val="0"/>
          <w:sz w:val="24"/>
          <w:szCs w:val="24"/>
          <w:lang w:eastAsia="en-IN"/>
          <w14:ligatures w14:val="none"/>
        </w:rPr>
        <w:t>: North America remains the largest market, followed by Europe and Asia-Pacific. The Asia-Pacific region is witnessing rapid growth due to increasing numbers of HNWIs and economic growth.</w:t>
      </w:r>
    </w:p>
    <w:p w14:paraId="77D8D11F" w14:textId="77777777" w:rsidR="006173D0" w:rsidRDefault="006173D0" w:rsidP="006173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27BFE5E0" w14:textId="77777777" w:rsidR="006173D0" w:rsidRPr="00902080" w:rsidRDefault="006173D0" w:rsidP="00902080">
      <w:pPr>
        <w:rPr>
          <w:b/>
          <w:bCs/>
        </w:rPr>
      </w:pPr>
    </w:p>
    <w:p w14:paraId="7E94F549" w14:textId="6BEB19E9" w:rsidR="006173D0" w:rsidRPr="006173D0" w:rsidRDefault="006173D0" w:rsidP="00902080">
      <w:pPr>
        <w:rPr>
          <w:b/>
          <w:bCs/>
          <w:lang w:eastAsia="en-IN"/>
        </w:rPr>
      </w:pPr>
      <w:r w:rsidRPr="006173D0">
        <w:rPr>
          <w:b/>
          <w:bCs/>
          <w:lang w:eastAsia="en-IN"/>
        </w:rPr>
        <w:t xml:space="preserve"> Client Segmentation</w:t>
      </w:r>
    </w:p>
    <w:p w14:paraId="3392FEE9" w14:textId="77777777" w:rsidR="006173D0" w:rsidRPr="006173D0" w:rsidRDefault="006173D0" w:rsidP="006173D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73D0">
        <w:rPr>
          <w:rFonts w:ascii="Times New Roman" w:eastAsia="Times New Roman" w:hAnsi="Times New Roman" w:cs="Times New Roman"/>
          <w:b/>
          <w:bCs/>
          <w:kern w:val="0"/>
          <w:sz w:val="24"/>
          <w:szCs w:val="24"/>
          <w:lang w:eastAsia="en-IN"/>
          <w14:ligatures w14:val="none"/>
        </w:rPr>
        <w:t>High-Net-Worth Individuals (HNWIs)</w:t>
      </w:r>
      <w:r w:rsidRPr="006173D0">
        <w:rPr>
          <w:rFonts w:ascii="Times New Roman" w:eastAsia="Times New Roman" w:hAnsi="Times New Roman" w:cs="Times New Roman"/>
          <w:kern w:val="0"/>
          <w:sz w:val="24"/>
          <w:szCs w:val="24"/>
          <w:lang w:eastAsia="en-IN"/>
          <w14:ligatures w14:val="none"/>
        </w:rPr>
        <w:t>: Individuals with liquid assets between $1 million and $30 million.</w:t>
      </w:r>
    </w:p>
    <w:p w14:paraId="294A0132" w14:textId="77777777" w:rsidR="006173D0" w:rsidRPr="006173D0" w:rsidRDefault="006173D0" w:rsidP="006173D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73D0">
        <w:rPr>
          <w:rFonts w:ascii="Times New Roman" w:eastAsia="Times New Roman" w:hAnsi="Times New Roman" w:cs="Times New Roman"/>
          <w:b/>
          <w:bCs/>
          <w:kern w:val="0"/>
          <w:sz w:val="24"/>
          <w:szCs w:val="24"/>
          <w:lang w:eastAsia="en-IN"/>
          <w14:ligatures w14:val="none"/>
        </w:rPr>
        <w:t>Ultra-High-Net-Worth Individuals (UHNWIs)</w:t>
      </w:r>
      <w:r w:rsidRPr="006173D0">
        <w:rPr>
          <w:rFonts w:ascii="Times New Roman" w:eastAsia="Times New Roman" w:hAnsi="Times New Roman" w:cs="Times New Roman"/>
          <w:kern w:val="0"/>
          <w:sz w:val="24"/>
          <w:szCs w:val="24"/>
          <w:lang w:eastAsia="en-IN"/>
          <w14:ligatures w14:val="none"/>
        </w:rPr>
        <w:t>: Individuals with liquid assets above $30 million.</w:t>
      </w:r>
    </w:p>
    <w:p w14:paraId="171C98C2" w14:textId="77777777" w:rsidR="006173D0" w:rsidRPr="006173D0" w:rsidRDefault="006173D0" w:rsidP="006173D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73D0">
        <w:rPr>
          <w:rFonts w:ascii="Times New Roman" w:eastAsia="Times New Roman" w:hAnsi="Times New Roman" w:cs="Times New Roman"/>
          <w:b/>
          <w:bCs/>
          <w:kern w:val="0"/>
          <w:sz w:val="24"/>
          <w:szCs w:val="24"/>
          <w:lang w:eastAsia="en-IN"/>
          <w14:ligatures w14:val="none"/>
        </w:rPr>
        <w:t>Family Offices</w:t>
      </w:r>
      <w:r w:rsidRPr="006173D0">
        <w:rPr>
          <w:rFonts w:ascii="Times New Roman" w:eastAsia="Times New Roman" w:hAnsi="Times New Roman" w:cs="Times New Roman"/>
          <w:kern w:val="0"/>
          <w:sz w:val="24"/>
          <w:szCs w:val="24"/>
          <w:lang w:eastAsia="en-IN"/>
          <w14:ligatures w14:val="none"/>
        </w:rPr>
        <w:t>: Private wealth management advisory firms that serve ultra-high-net-worth families.</w:t>
      </w:r>
    </w:p>
    <w:p w14:paraId="692D9028" w14:textId="77777777" w:rsidR="006173D0" w:rsidRPr="006173D0" w:rsidRDefault="006173D0" w:rsidP="006173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83CEFCD" w14:textId="77777777" w:rsidR="00372FBE" w:rsidRPr="00372FBE" w:rsidRDefault="00372FBE" w:rsidP="00902080">
      <w:pPr>
        <w:rPr>
          <w:b/>
          <w:bCs/>
          <w:lang w:eastAsia="en-IN"/>
        </w:rPr>
      </w:pPr>
      <w:r w:rsidRPr="00372FBE">
        <w:rPr>
          <w:b/>
          <w:bCs/>
          <w:lang w:eastAsia="en-IN"/>
        </w:rPr>
        <w:t>Technology and Innovation</w:t>
      </w:r>
    </w:p>
    <w:p w14:paraId="14C852E2" w14:textId="77777777" w:rsidR="00372FBE" w:rsidRPr="00372FBE" w:rsidRDefault="00372FBE" w:rsidP="00372FB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2FBE">
        <w:rPr>
          <w:rFonts w:ascii="Times New Roman" w:eastAsia="Times New Roman" w:hAnsi="Times New Roman" w:cs="Times New Roman"/>
          <w:b/>
          <w:bCs/>
          <w:kern w:val="0"/>
          <w:sz w:val="24"/>
          <w:szCs w:val="24"/>
          <w:lang w:eastAsia="en-IN"/>
          <w14:ligatures w14:val="none"/>
        </w:rPr>
        <w:t>Robo-Advisors</w:t>
      </w:r>
      <w:r w:rsidRPr="00372FBE">
        <w:rPr>
          <w:rFonts w:ascii="Times New Roman" w:eastAsia="Times New Roman" w:hAnsi="Times New Roman" w:cs="Times New Roman"/>
          <w:kern w:val="0"/>
          <w:sz w:val="24"/>
          <w:szCs w:val="24"/>
          <w:lang w:eastAsia="en-IN"/>
          <w14:ligatures w14:val="none"/>
        </w:rPr>
        <w:t>: Automated, algorithm-driven financial planning services that offer portfolio management with minimal human intervention.</w:t>
      </w:r>
    </w:p>
    <w:p w14:paraId="64205F8C" w14:textId="77777777" w:rsidR="00372FBE" w:rsidRPr="00372FBE" w:rsidRDefault="00372FBE" w:rsidP="00372FB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2FBE">
        <w:rPr>
          <w:rFonts w:ascii="Times New Roman" w:eastAsia="Times New Roman" w:hAnsi="Times New Roman" w:cs="Times New Roman"/>
          <w:b/>
          <w:bCs/>
          <w:kern w:val="0"/>
          <w:sz w:val="24"/>
          <w:szCs w:val="24"/>
          <w:lang w:eastAsia="en-IN"/>
          <w14:ligatures w14:val="none"/>
        </w:rPr>
        <w:t>AI and Big Data</w:t>
      </w:r>
      <w:r w:rsidRPr="00372FBE">
        <w:rPr>
          <w:rFonts w:ascii="Times New Roman" w:eastAsia="Times New Roman" w:hAnsi="Times New Roman" w:cs="Times New Roman"/>
          <w:kern w:val="0"/>
          <w:sz w:val="24"/>
          <w:szCs w:val="24"/>
          <w:lang w:eastAsia="en-IN"/>
          <w14:ligatures w14:val="none"/>
        </w:rPr>
        <w:t>: Utilizing artificial intelligence and big data for personalized investment strategies, risk management, and enhancing customer experience.</w:t>
      </w:r>
    </w:p>
    <w:p w14:paraId="48FE6795" w14:textId="77777777" w:rsidR="00372FBE" w:rsidRPr="00372FBE" w:rsidRDefault="00372FBE" w:rsidP="00372FB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2FBE">
        <w:rPr>
          <w:rFonts w:ascii="Times New Roman" w:eastAsia="Times New Roman" w:hAnsi="Times New Roman" w:cs="Times New Roman"/>
          <w:b/>
          <w:bCs/>
          <w:kern w:val="0"/>
          <w:sz w:val="24"/>
          <w:szCs w:val="24"/>
          <w:lang w:eastAsia="en-IN"/>
          <w14:ligatures w14:val="none"/>
        </w:rPr>
        <w:t>Blockchain</w:t>
      </w:r>
      <w:r w:rsidRPr="00372FBE">
        <w:rPr>
          <w:rFonts w:ascii="Times New Roman" w:eastAsia="Times New Roman" w:hAnsi="Times New Roman" w:cs="Times New Roman"/>
          <w:kern w:val="0"/>
          <w:sz w:val="24"/>
          <w:szCs w:val="24"/>
          <w:lang w:eastAsia="en-IN"/>
          <w14:ligatures w14:val="none"/>
        </w:rPr>
        <w:t>: Implementing blockchain for secure transactions, transparency, and reducing fraud.</w:t>
      </w:r>
    </w:p>
    <w:p w14:paraId="62D8A448" w14:textId="651BE1E0" w:rsidR="00372FBE" w:rsidRPr="00372FBE" w:rsidRDefault="00372FBE" w:rsidP="00372FBE">
      <w:pPr>
        <w:rPr>
          <w:b/>
          <w:bCs/>
          <w:sz w:val="24"/>
          <w:szCs w:val="24"/>
          <w:lang w:eastAsia="en-IN"/>
        </w:rPr>
      </w:pPr>
      <w:r w:rsidRPr="00372FBE">
        <w:rPr>
          <w:b/>
          <w:bCs/>
          <w:sz w:val="24"/>
          <w:szCs w:val="24"/>
          <w:lang w:eastAsia="en-IN"/>
        </w:rPr>
        <w:t xml:space="preserve"> Trends and Developments</w:t>
      </w:r>
    </w:p>
    <w:p w14:paraId="2C23403D" w14:textId="77777777" w:rsidR="00372FBE" w:rsidRPr="00372FBE" w:rsidRDefault="00372FBE" w:rsidP="00372FB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2FBE">
        <w:rPr>
          <w:rFonts w:ascii="Times New Roman" w:eastAsia="Times New Roman" w:hAnsi="Times New Roman" w:cs="Times New Roman"/>
          <w:b/>
          <w:bCs/>
          <w:kern w:val="0"/>
          <w:sz w:val="24"/>
          <w:szCs w:val="24"/>
          <w:lang w:eastAsia="en-IN"/>
          <w14:ligatures w14:val="none"/>
        </w:rPr>
        <w:t>ESG Investing</w:t>
      </w:r>
      <w:r w:rsidRPr="00372FBE">
        <w:rPr>
          <w:rFonts w:ascii="Times New Roman" w:eastAsia="Times New Roman" w:hAnsi="Times New Roman" w:cs="Times New Roman"/>
          <w:kern w:val="0"/>
          <w:sz w:val="24"/>
          <w:szCs w:val="24"/>
          <w:lang w:eastAsia="en-IN"/>
          <w14:ligatures w14:val="none"/>
        </w:rPr>
        <w:t>: Growing demand for investments that focus on environmental, social, and governance (ESG) criteria.</w:t>
      </w:r>
    </w:p>
    <w:p w14:paraId="5F643515" w14:textId="77777777" w:rsidR="00372FBE" w:rsidRPr="00372FBE" w:rsidRDefault="00372FBE" w:rsidP="00372FB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2FBE">
        <w:rPr>
          <w:rFonts w:ascii="Times New Roman" w:eastAsia="Times New Roman" w:hAnsi="Times New Roman" w:cs="Times New Roman"/>
          <w:b/>
          <w:bCs/>
          <w:kern w:val="0"/>
          <w:sz w:val="24"/>
          <w:szCs w:val="24"/>
          <w:lang w:eastAsia="en-IN"/>
          <w14:ligatures w14:val="none"/>
        </w:rPr>
        <w:t>Impact Investing</w:t>
      </w:r>
      <w:r w:rsidRPr="00372FBE">
        <w:rPr>
          <w:rFonts w:ascii="Times New Roman" w:eastAsia="Times New Roman" w:hAnsi="Times New Roman" w:cs="Times New Roman"/>
          <w:kern w:val="0"/>
          <w:sz w:val="24"/>
          <w:szCs w:val="24"/>
          <w:lang w:eastAsia="en-IN"/>
          <w14:ligatures w14:val="none"/>
        </w:rPr>
        <w:t>: Investments made with the intention to generate positive, measurable social and environmental impact alongside a financial return.</w:t>
      </w:r>
    </w:p>
    <w:p w14:paraId="22554710" w14:textId="77777777" w:rsidR="00372FBE" w:rsidRPr="00372FBE" w:rsidRDefault="00372FBE" w:rsidP="00372FB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2FBE">
        <w:rPr>
          <w:rFonts w:ascii="Times New Roman" w:eastAsia="Times New Roman" w:hAnsi="Times New Roman" w:cs="Times New Roman"/>
          <w:b/>
          <w:bCs/>
          <w:kern w:val="0"/>
          <w:sz w:val="24"/>
          <w:szCs w:val="24"/>
          <w:lang w:eastAsia="en-IN"/>
          <w14:ligatures w14:val="none"/>
        </w:rPr>
        <w:t>Digital Transformation</w:t>
      </w:r>
      <w:r w:rsidRPr="00372FBE">
        <w:rPr>
          <w:rFonts w:ascii="Times New Roman" w:eastAsia="Times New Roman" w:hAnsi="Times New Roman" w:cs="Times New Roman"/>
          <w:kern w:val="0"/>
          <w:sz w:val="24"/>
          <w:szCs w:val="24"/>
          <w:lang w:eastAsia="en-IN"/>
          <w14:ligatures w14:val="none"/>
        </w:rPr>
        <w:t>: Increased adoption of digital platforms and tools for enhancing customer interaction, operational efficiency, and service delivery.</w:t>
      </w:r>
    </w:p>
    <w:p w14:paraId="3C9401E3" w14:textId="6C46A1CD" w:rsidR="00372FBE" w:rsidRPr="00372FBE" w:rsidRDefault="00372FBE" w:rsidP="00372FBE">
      <w:pPr>
        <w:rPr>
          <w:b/>
          <w:bCs/>
          <w:sz w:val="24"/>
          <w:szCs w:val="24"/>
          <w:lang w:eastAsia="en-IN"/>
        </w:rPr>
      </w:pPr>
      <w:r w:rsidRPr="00372FBE">
        <w:rPr>
          <w:b/>
          <w:bCs/>
          <w:sz w:val="24"/>
          <w:szCs w:val="24"/>
          <w:lang w:eastAsia="en-IN"/>
        </w:rPr>
        <w:t>Regulatory Environment</w:t>
      </w:r>
    </w:p>
    <w:p w14:paraId="15192979" w14:textId="77777777" w:rsidR="00372FBE" w:rsidRPr="00372FBE" w:rsidRDefault="00372FBE" w:rsidP="00372FB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2FBE">
        <w:rPr>
          <w:rFonts w:ascii="Times New Roman" w:eastAsia="Times New Roman" w:hAnsi="Times New Roman" w:cs="Times New Roman"/>
          <w:b/>
          <w:bCs/>
          <w:kern w:val="0"/>
          <w:sz w:val="24"/>
          <w:szCs w:val="24"/>
          <w:lang w:eastAsia="en-IN"/>
          <w14:ligatures w14:val="none"/>
        </w:rPr>
        <w:t>MiFID II</w:t>
      </w:r>
      <w:r w:rsidRPr="00372FBE">
        <w:rPr>
          <w:rFonts w:ascii="Times New Roman" w:eastAsia="Times New Roman" w:hAnsi="Times New Roman" w:cs="Times New Roman"/>
          <w:kern w:val="0"/>
          <w:sz w:val="24"/>
          <w:szCs w:val="24"/>
          <w:lang w:eastAsia="en-IN"/>
          <w14:ligatures w14:val="none"/>
        </w:rPr>
        <w:t>: In Europe, the Markets in Financial Instruments Directive II aims to increase transparency and improve the functioning of financial markets.</w:t>
      </w:r>
    </w:p>
    <w:p w14:paraId="0158CFCB" w14:textId="77777777" w:rsidR="00372FBE" w:rsidRPr="00372FBE" w:rsidRDefault="00372FBE" w:rsidP="00372FB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2FBE">
        <w:rPr>
          <w:rFonts w:ascii="Times New Roman" w:eastAsia="Times New Roman" w:hAnsi="Times New Roman" w:cs="Times New Roman"/>
          <w:b/>
          <w:bCs/>
          <w:kern w:val="0"/>
          <w:sz w:val="24"/>
          <w:szCs w:val="24"/>
          <w:lang w:eastAsia="en-IN"/>
          <w14:ligatures w14:val="none"/>
        </w:rPr>
        <w:t>Dodd-Frank Act</w:t>
      </w:r>
      <w:r w:rsidRPr="00372FBE">
        <w:rPr>
          <w:rFonts w:ascii="Times New Roman" w:eastAsia="Times New Roman" w:hAnsi="Times New Roman" w:cs="Times New Roman"/>
          <w:kern w:val="0"/>
          <w:sz w:val="24"/>
          <w:szCs w:val="24"/>
          <w:lang w:eastAsia="en-IN"/>
          <w14:ligatures w14:val="none"/>
        </w:rPr>
        <w:t>: In the US, the Dodd-Frank Wall Street Reform and Consumer Protection Act regulates financial markets and protects consumers.</w:t>
      </w:r>
    </w:p>
    <w:p w14:paraId="47284123" w14:textId="77777777" w:rsidR="00372FBE" w:rsidRPr="00372FBE" w:rsidRDefault="00372FBE" w:rsidP="00372FB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2FBE">
        <w:rPr>
          <w:rFonts w:ascii="Times New Roman" w:eastAsia="Times New Roman" w:hAnsi="Times New Roman" w:cs="Times New Roman"/>
          <w:b/>
          <w:bCs/>
          <w:kern w:val="0"/>
          <w:sz w:val="24"/>
          <w:szCs w:val="24"/>
          <w:lang w:eastAsia="en-IN"/>
          <w14:ligatures w14:val="none"/>
        </w:rPr>
        <w:t>Fiduciary Rule</w:t>
      </w:r>
      <w:r w:rsidRPr="00372FBE">
        <w:rPr>
          <w:rFonts w:ascii="Times New Roman" w:eastAsia="Times New Roman" w:hAnsi="Times New Roman" w:cs="Times New Roman"/>
          <w:kern w:val="0"/>
          <w:sz w:val="24"/>
          <w:szCs w:val="24"/>
          <w:lang w:eastAsia="en-IN"/>
          <w14:ligatures w14:val="none"/>
        </w:rPr>
        <w:t>: Various regulations requiring financial advisors to act in the best interest of their clients.</w:t>
      </w:r>
    </w:p>
    <w:p w14:paraId="6E57C3DD" w14:textId="71EFBBD4" w:rsidR="00372FBE" w:rsidRPr="00372FBE" w:rsidRDefault="00372FBE" w:rsidP="00372FBE">
      <w:pPr>
        <w:rPr>
          <w:b/>
          <w:bCs/>
          <w:sz w:val="24"/>
          <w:szCs w:val="24"/>
          <w:lang w:eastAsia="en-IN"/>
        </w:rPr>
      </w:pPr>
      <w:r w:rsidRPr="00372FBE">
        <w:rPr>
          <w:b/>
          <w:bCs/>
          <w:sz w:val="24"/>
          <w:szCs w:val="24"/>
          <w:lang w:eastAsia="en-IN"/>
        </w:rPr>
        <w:t>Challenges</w:t>
      </w:r>
    </w:p>
    <w:p w14:paraId="3801ED05" w14:textId="77777777" w:rsidR="00372FBE" w:rsidRPr="00372FBE" w:rsidRDefault="00372FBE" w:rsidP="00372FB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2FBE">
        <w:rPr>
          <w:rFonts w:ascii="Times New Roman" w:eastAsia="Times New Roman" w:hAnsi="Times New Roman" w:cs="Times New Roman"/>
          <w:b/>
          <w:bCs/>
          <w:kern w:val="0"/>
          <w:sz w:val="24"/>
          <w:szCs w:val="24"/>
          <w:lang w:eastAsia="en-IN"/>
          <w14:ligatures w14:val="none"/>
        </w:rPr>
        <w:t>Market Volatility</w:t>
      </w:r>
      <w:r w:rsidRPr="00372FBE">
        <w:rPr>
          <w:rFonts w:ascii="Times New Roman" w:eastAsia="Times New Roman" w:hAnsi="Times New Roman" w:cs="Times New Roman"/>
          <w:kern w:val="0"/>
          <w:sz w:val="24"/>
          <w:szCs w:val="24"/>
          <w:lang w:eastAsia="en-IN"/>
          <w14:ligatures w14:val="none"/>
        </w:rPr>
        <w:t>: Navigating economic uncertainty and market fluctuations.</w:t>
      </w:r>
    </w:p>
    <w:p w14:paraId="3CEEBCD9" w14:textId="77777777" w:rsidR="00372FBE" w:rsidRPr="00372FBE" w:rsidRDefault="00372FBE" w:rsidP="00372FB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2FBE">
        <w:rPr>
          <w:rFonts w:ascii="Times New Roman" w:eastAsia="Times New Roman" w:hAnsi="Times New Roman" w:cs="Times New Roman"/>
          <w:b/>
          <w:bCs/>
          <w:kern w:val="0"/>
          <w:sz w:val="24"/>
          <w:szCs w:val="24"/>
          <w:lang w:eastAsia="en-IN"/>
          <w14:ligatures w14:val="none"/>
        </w:rPr>
        <w:t>Regulatory Compliance</w:t>
      </w:r>
      <w:r w:rsidRPr="00372FBE">
        <w:rPr>
          <w:rFonts w:ascii="Times New Roman" w:eastAsia="Times New Roman" w:hAnsi="Times New Roman" w:cs="Times New Roman"/>
          <w:kern w:val="0"/>
          <w:sz w:val="24"/>
          <w:szCs w:val="24"/>
          <w:lang w:eastAsia="en-IN"/>
          <w14:ligatures w14:val="none"/>
        </w:rPr>
        <w:t>: Keeping up with evolving regulations and ensuring compliance.</w:t>
      </w:r>
    </w:p>
    <w:p w14:paraId="2DCF971E" w14:textId="77777777" w:rsidR="00372FBE" w:rsidRPr="00372FBE" w:rsidRDefault="00372FBE" w:rsidP="00372FB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2FBE">
        <w:rPr>
          <w:rFonts w:ascii="Times New Roman" w:eastAsia="Times New Roman" w:hAnsi="Times New Roman" w:cs="Times New Roman"/>
          <w:b/>
          <w:bCs/>
          <w:kern w:val="0"/>
          <w:sz w:val="24"/>
          <w:szCs w:val="24"/>
          <w:lang w:eastAsia="en-IN"/>
          <w14:ligatures w14:val="none"/>
        </w:rPr>
        <w:t>Cybersecurity</w:t>
      </w:r>
      <w:r w:rsidRPr="00372FBE">
        <w:rPr>
          <w:rFonts w:ascii="Times New Roman" w:eastAsia="Times New Roman" w:hAnsi="Times New Roman" w:cs="Times New Roman"/>
          <w:kern w:val="0"/>
          <w:sz w:val="24"/>
          <w:szCs w:val="24"/>
          <w:lang w:eastAsia="en-IN"/>
          <w14:ligatures w14:val="none"/>
        </w:rPr>
        <w:t>: Protecting sensitive client data against cyber threats.</w:t>
      </w:r>
    </w:p>
    <w:p w14:paraId="0FE51BEA" w14:textId="77777777" w:rsidR="00372FBE" w:rsidRPr="00372FBE" w:rsidRDefault="00372FBE" w:rsidP="00372FB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2FBE">
        <w:rPr>
          <w:rFonts w:ascii="Times New Roman" w:eastAsia="Times New Roman" w:hAnsi="Times New Roman" w:cs="Times New Roman"/>
          <w:b/>
          <w:bCs/>
          <w:kern w:val="0"/>
          <w:sz w:val="24"/>
          <w:szCs w:val="24"/>
          <w:lang w:eastAsia="en-IN"/>
          <w14:ligatures w14:val="none"/>
        </w:rPr>
        <w:t>Client Retention</w:t>
      </w:r>
      <w:r w:rsidRPr="00372FBE">
        <w:rPr>
          <w:rFonts w:ascii="Times New Roman" w:eastAsia="Times New Roman" w:hAnsi="Times New Roman" w:cs="Times New Roman"/>
          <w:kern w:val="0"/>
          <w:sz w:val="24"/>
          <w:szCs w:val="24"/>
          <w:lang w:eastAsia="en-IN"/>
          <w14:ligatures w14:val="none"/>
        </w:rPr>
        <w:t>: Maintaining high levels of personalized service to retain clients.</w:t>
      </w:r>
    </w:p>
    <w:p w14:paraId="6D8480A3" w14:textId="77777777" w:rsidR="00372FBE" w:rsidRDefault="00372FBE" w:rsidP="00372FBE">
      <w:pPr>
        <w:rPr>
          <w:b/>
          <w:bCs/>
          <w:sz w:val="24"/>
          <w:szCs w:val="24"/>
          <w:lang w:eastAsia="en-IN"/>
        </w:rPr>
      </w:pPr>
    </w:p>
    <w:p w14:paraId="5D2D4793" w14:textId="70BC91AF" w:rsidR="00372FBE" w:rsidRDefault="00372FBE" w:rsidP="00372FBE">
      <w:pPr>
        <w:rPr>
          <w:b/>
          <w:bCs/>
          <w:sz w:val="24"/>
          <w:szCs w:val="24"/>
          <w:lang w:eastAsia="en-IN"/>
        </w:rPr>
      </w:pPr>
    </w:p>
    <w:p w14:paraId="636C9475" w14:textId="52107A36" w:rsidR="00372FBE" w:rsidRPr="00372FBE" w:rsidRDefault="00372FBE" w:rsidP="00372FBE">
      <w:pPr>
        <w:rPr>
          <w:b/>
          <w:bCs/>
          <w:sz w:val="24"/>
          <w:szCs w:val="24"/>
          <w:lang w:eastAsia="en-IN"/>
        </w:rPr>
      </w:pPr>
      <w:r w:rsidRPr="00372FBE">
        <w:rPr>
          <w:b/>
          <w:bCs/>
          <w:sz w:val="24"/>
          <w:szCs w:val="24"/>
          <w:lang w:eastAsia="en-IN"/>
        </w:rPr>
        <w:t>Competitive Landscape</w:t>
      </w:r>
    </w:p>
    <w:p w14:paraId="57882C09" w14:textId="77777777" w:rsidR="00372FBE" w:rsidRPr="00372FBE" w:rsidRDefault="00372FBE" w:rsidP="00372FB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2FBE">
        <w:rPr>
          <w:rFonts w:ascii="Times New Roman" w:eastAsia="Times New Roman" w:hAnsi="Times New Roman" w:cs="Times New Roman"/>
          <w:b/>
          <w:bCs/>
          <w:kern w:val="0"/>
          <w:sz w:val="24"/>
          <w:szCs w:val="24"/>
          <w:lang w:eastAsia="en-IN"/>
          <w14:ligatures w14:val="none"/>
        </w:rPr>
        <w:t>Major Players</w:t>
      </w:r>
      <w:r w:rsidRPr="00372FBE">
        <w:rPr>
          <w:rFonts w:ascii="Times New Roman" w:eastAsia="Times New Roman" w:hAnsi="Times New Roman" w:cs="Times New Roman"/>
          <w:kern w:val="0"/>
          <w:sz w:val="24"/>
          <w:szCs w:val="24"/>
          <w:lang w:eastAsia="en-IN"/>
          <w14:ligatures w14:val="none"/>
        </w:rPr>
        <w:t>: Large financial institutions such as UBS, Morgan Stanley, Bank of America Merrill Lynch, JPMorgan Chase, and Goldman Sachs.</w:t>
      </w:r>
    </w:p>
    <w:p w14:paraId="1E0E45D0" w14:textId="77777777" w:rsidR="00372FBE" w:rsidRPr="00372FBE" w:rsidRDefault="00372FBE" w:rsidP="00372FB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2FBE">
        <w:rPr>
          <w:rFonts w:ascii="Times New Roman" w:eastAsia="Times New Roman" w:hAnsi="Times New Roman" w:cs="Times New Roman"/>
          <w:b/>
          <w:bCs/>
          <w:kern w:val="0"/>
          <w:sz w:val="24"/>
          <w:szCs w:val="24"/>
          <w:lang w:eastAsia="en-IN"/>
          <w14:ligatures w14:val="none"/>
        </w:rPr>
        <w:t>Boutique Firms</w:t>
      </w:r>
      <w:r w:rsidRPr="00372FBE">
        <w:rPr>
          <w:rFonts w:ascii="Times New Roman" w:eastAsia="Times New Roman" w:hAnsi="Times New Roman" w:cs="Times New Roman"/>
          <w:kern w:val="0"/>
          <w:sz w:val="24"/>
          <w:szCs w:val="24"/>
          <w:lang w:eastAsia="en-IN"/>
          <w14:ligatures w14:val="none"/>
        </w:rPr>
        <w:t>: Specialized firms providing highly personalized services, often appealing to UHNWIs.</w:t>
      </w:r>
    </w:p>
    <w:p w14:paraId="24990FA9" w14:textId="5CA856E9" w:rsidR="00372FBE" w:rsidRPr="00372FBE" w:rsidRDefault="00372FBE" w:rsidP="00372FBE">
      <w:pPr>
        <w:rPr>
          <w:b/>
          <w:bCs/>
          <w:sz w:val="24"/>
          <w:szCs w:val="24"/>
          <w:lang w:eastAsia="en-IN"/>
        </w:rPr>
      </w:pPr>
      <w:r w:rsidRPr="00372FBE">
        <w:rPr>
          <w:b/>
          <w:bCs/>
          <w:sz w:val="24"/>
          <w:szCs w:val="24"/>
          <w:lang w:eastAsia="en-IN"/>
        </w:rPr>
        <w:t>Financial Performance Indicators</w:t>
      </w:r>
    </w:p>
    <w:p w14:paraId="1EFA8ABB" w14:textId="77777777" w:rsidR="00372FBE" w:rsidRPr="00372FBE" w:rsidRDefault="00372FBE" w:rsidP="00372FB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2FBE">
        <w:rPr>
          <w:rFonts w:ascii="Times New Roman" w:eastAsia="Times New Roman" w:hAnsi="Times New Roman" w:cs="Times New Roman"/>
          <w:b/>
          <w:bCs/>
          <w:kern w:val="0"/>
          <w:sz w:val="24"/>
          <w:szCs w:val="24"/>
          <w:lang w:eastAsia="en-IN"/>
          <w14:ligatures w14:val="none"/>
        </w:rPr>
        <w:t>Assets Under Management (AUM)</w:t>
      </w:r>
      <w:r w:rsidRPr="00372FBE">
        <w:rPr>
          <w:rFonts w:ascii="Times New Roman" w:eastAsia="Times New Roman" w:hAnsi="Times New Roman" w:cs="Times New Roman"/>
          <w:kern w:val="0"/>
          <w:sz w:val="24"/>
          <w:szCs w:val="24"/>
          <w:lang w:eastAsia="en-IN"/>
          <w14:ligatures w14:val="none"/>
        </w:rPr>
        <w:t>: A key metric indicating the total market value of assets managed on behalf of clients.</w:t>
      </w:r>
    </w:p>
    <w:p w14:paraId="0CA8F497" w14:textId="77777777" w:rsidR="00372FBE" w:rsidRPr="00372FBE" w:rsidRDefault="00372FBE" w:rsidP="00372FB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2FBE">
        <w:rPr>
          <w:rFonts w:ascii="Times New Roman" w:eastAsia="Times New Roman" w:hAnsi="Times New Roman" w:cs="Times New Roman"/>
          <w:b/>
          <w:bCs/>
          <w:kern w:val="0"/>
          <w:sz w:val="24"/>
          <w:szCs w:val="24"/>
          <w:lang w:eastAsia="en-IN"/>
          <w14:ligatures w14:val="none"/>
        </w:rPr>
        <w:t>Net New Money (NNM)</w:t>
      </w:r>
      <w:r w:rsidRPr="00372FBE">
        <w:rPr>
          <w:rFonts w:ascii="Times New Roman" w:eastAsia="Times New Roman" w:hAnsi="Times New Roman" w:cs="Times New Roman"/>
          <w:kern w:val="0"/>
          <w:sz w:val="24"/>
          <w:szCs w:val="24"/>
          <w:lang w:eastAsia="en-IN"/>
          <w14:ligatures w14:val="none"/>
        </w:rPr>
        <w:t>: The net inflow of new client money into the firm’s wealth management division.</w:t>
      </w:r>
    </w:p>
    <w:p w14:paraId="48BBF15D" w14:textId="77777777" w:rsidR="00372FBE" w:rsidRPr="00372FBE" w:rsidRDefault="00372FBE" w:rsidP="00372FB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2FBE">
        <w:rPr>
          <w:rFonts w:ascii="Times New Roman" w:eastAsia="Times New Roman" w:hAnsi="Times New Roman" w:cs="Times New Roman"/>
          <w:b/>
          <w:bCs/>
          <w:kern w:val="0"/>
          <w:sz w:val="24"/>
          <w:szCs w:val="24"/>
          <w:lang w:eastAsia="en-IN"/>
          <w14:ligatures w14:val="none"/>
        </w:rPr>
        <w:t>Revenue and Profit Margins</w:t>
      </w:r>
      <w:r w:rsidRPr="00372FBE">
        <w:rPr>
          <w:rFonts w:ascii="Times New Roman" w:eastAsia="Times New Roman" w:hAnsi="Times New Roman" w:cs="Times New Roman"/>
          <w:kern w:val="0"/>
          <w:sz w:val="24"/>
          <w:szCs w:val="24"/>
          <w:lang w:eastAsia="en-IN"/>
          <w14:ligatures w14:val="none"/>
        </w:rPr>
        <w:t>: Revenues generated from advisory fees, management fees, and commissions.</w:t>
      </w:r>
    </w:p>
    <w:p w14:paraId="6D275293" w14:textId="6A713127" w:rsidR="00372FBE" w:rsidRPr="00372FBE" w:rsidRDefault="00372FBE" w:rsidP="00372FBE">
      <w:pPr>
        <w:rPr>
          <w:b/>
          <w:bCs/>
          <w:sz w:val="24"/>
          <w:szCs w:val="24"/>
          <w:lang w:eastAsia="en-IN"/>
        </w:rPr>
      </w:pPr>
      <w:r w:rsidRPr="00372FBE">
        <w:rPr>
          <w:b/>
          <w:bCs/>
          <w:sz w:val="24"/>
          <w:szCs w:val="24"/>
          <w:lang w:eastAsia="en-IN"/>
        </w:rPr>
        <w:t>Client Experience and Satisfaction</w:t>
      </w:r>
    </w:p>
    <w:p w14:paraId="1897D0C8" w14:textId="77777777" w:rsidR="00372FBE" w:rsidRPr="00372FBE" w:rsidRDefault="00372FBE" w:rsidP="00372FB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2FBE">
        <w:rPr>
          <w:rFonts w:ascii="Times New Roman" w:eastAsia="Times New Roman" w:hAnsi="Times New Roman" w:cs="Times New Roman"/>
          <w:b/>
          <w:bCs/>
          <w:kern w:val="0"/>
          <w:sz w:val="24"/>
          <w:szCs w:val="24"/>
          <w:lang w:eastAsia="en-IN"/>
          <w14:ligatures w14:val="none"/>
        </w:rPr>
        <w:t>Personalization</w:t>
      </w:r>
      <w:r w:rsidRPr="00372FBE">
        <w:rPr>
          <w:rFonts w:ascii="Times New Roman" w:eastAsia="Times New Roman" w:hAnsi="Times New Roman" w:cs="Times New Roman"/>
          <w:kern w:val="0"/>
          <w:sz w:val="24"/>
          <w:szCs w:val="24"/>
          <w:lang w:eastAsia="en-IN"/>
          <w14:ligatures w14:val="none"/>
        </w:rPr>
        <w:t>: Tailored financial solutions based on individual client needs and preferences.</w:t>
      </w:r>
    </w:p>
    <w:p w14:paraId="13315A68" w14:textId="77777777" w:rsidR="00372FBE" w:rsidRPr="00372FBE" w:rsidRDefault="00372FBE" w:rsidP="00372FB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2FBE">
        <w:rPr>
          <w:rFonts w:ascii="Times New Roman" w:eastAsia="Times New Roman" w:hAnsi="Times New Roman" w:cs="Times New Roman"/>
          <w:b/>
          <w:bCs/>
          <w:kern w:val="0"/>
          <w:sz w:val="24"/>
          <w:szCs w:val="24"/>
          <w:lang w:eastAsia="en-IN"/>
          <w14:ligatures w14:val="none"/>
        </w:rPr>
        <w:t>Transparency</w:t>
      </w:r>
      <w:r w:rsidRPr="00372FBE">
        <w:rPr>
          <w:rFonts w:ascii="Times New Roman" w:eastAsia="Times New Roman" w:hAnsi="Times New Roman" w:cs="Times New Roman"/>
          <w:kern w:val="0"/>
          <w:sz w:val="24"/>
          <w:szCs w:val="24"/>
          <w:lang w:eastAsia="en-IN"/>
          <w14:ligatures w14:val="none"/>
        </w:rPr>
        <w:t>: Clear and transparent communication regarding fees, performance, and strategies.</w:t>
      </w:r>
    </w:p>
    <w:p w14:paraId="676601C6" w14:textId="77777777" w:rsidR="00372FBE" w:rsidRDefault="00372FBE" w:rsidP="00372FB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2FBE">
        <w:rPr>
          <w:rFonts w:ascii="Times New Roman" w:eastAsia="Times New Roman" w:hAnsi="Times New Roman" w:cs="Times New Roman"/>
          <w:b/>
          <w:bCs/>
          <w:kern w:val="0"/>
          <w:sz w:val="24"/>
          <w:szCs w:val="24"/>
          <w:lang w:eastAsia="en-IN"/>
          <w14:ligatures w14:val="none"/>
        </w:rPr>
        <w:t>Technology Integration</w:t>
      </w:r>
      <w:r w:rsidRPr="00372FBE">
        <w:rPr>
          <w:rFonts w:ascii="Times New Roman" w:eastAsia="Times New Roman" w:hAnsi="Times New Roman" w:cs="Times New Roman"/>
          <w:kern w:val="0"/>
          <w:sz w:val="24"/>
          <w:szCs w:val="24"/>
          <w:lang w:eastAsia="en-IN"/>
          <w14:ligatures w14:val="none"/>
        </w:rPr>
        <w:t>: Seamless integration of digital tools for enhanced client interaction and service delivery.</w:t>
      </w:r>
    </w:p>
    <w:p w14:paraId="477F9B16" w14:textId="77777777" w:rsidR="00372FBE" w:rsidRDefault="00372FBE" w:rsidP="00372FBE">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p>
    <w:p w14:paraId="51985307" w14:textId="77777777" w:rsidR="00372FBE" w:rsidRDefault="00372FBE" w:rsidP="00372FBE">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p>
    <w:p w14:paraId="71B65F93" w14:textId="77777777" w:rsidR="00372FBE" w:rsidRDefault="00372FBE" w:rsidP="00372FBE">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p>
    <w:p w14:paraId="73BD3633" w14:textId="77777777" w:rsidR="00372FBE" w:rsidRDefault="00372FBE" w:rsidP="00372FBE">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p>
    <w:p w14:paraId="58F87983" w14:textId="77777777" w:rsidR="00372FBE" w:rsidRDefault="00372FBE" w:rsidP="00372FBE">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p>
    <w:p w14:paraId="5D108CB1" w14:textId="77777777" w:rsidR="00372FBE" w:rsidRDefault="00372FBE" w:rsidP="00372FBE">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p>
    <w:p w14:paraId="0D7E6850" w14:textId="77777777" w:rsidR="00372FBE" w:rsidRDefault="00372FBE" w:rsidP="00372FBE">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p>
    <w:p w14:paraId="23BF0F96" w14:textId="77777777" w:rsidR="00372FBE" w:rsidRDefault="00372FBE" w:rsidP="00372FBE">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p>
    <w:p w14:paraId="0312D55C" w14:textId="77777777" w:rsidR="00372FBE" w:rsidRDefault="00372FBE" w:rsidP="00372FBE">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p>
    <w:p w14:paraId="1EBF0C8A" w14:textId="77777777" w:rsidR="00372FBE" w:rsidRDefault="00372FBE" w:rsidP="00372FBE">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p>
    <w:p w14:paraId="137A2657" w14:textId="77777777" w:rsidR="00372FBE" w:rsidRDefault="00372FBE" w:rsidP="00372FBE">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p>
    <w:p w14:paraId="194C3C48" w14:textId="77777777" w:rsidR="00372FBE" w:rsidRDefault="00372FBE" w:rsidP="00372FBE">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p>
    <w:p w14:paraId="595132CA" w14:textId="53148305" w:rsidR="00372FBE" w:rsidRPr="00E55BDE" w:rsidRDefault="00E55BDE" w:rsidP="00E55BDE">
      <w:pPr>
        <w:spacing w:before="100" w:beforeAutospacing="1" w:after="100" w:afterAutospacing="1" w:line="240" w:lineRule="auto"/>
        <w:rPr>
          <w:rFonts w:ascii="Times New Roman" w:eastAsia="Times New Roman" w:hAnsi="Times New Roman" w:cs="Times New Roman"/>
          <w:b/>
          <w:bCs/>
          <w:kern w:val="0"/>
          <w:sz w:val="40"/>
          <w:szCs w:val="40"/>
          <w:lang w:eastAsia="en-IN"/>
          <w14:ligatures w14:val="none"/>
        </w:rPr>
      </w:pPr>
      <w:r w:rsidRPr="00372FBE">
        <w:rPr>
          <w:rFonts w:ascii="Times New Roman" w:eastAsia="Times New Roman" w:hAnsi="Times New Roman" w:cs="Times New Roman"/>
          <w:b/>
          <w:bCs/>
          <w:kern w:val="0"/>
          <w:sz w:val="40"/>
          <w:szCs w:val="40"/>
          <w:lang w:eastAsia="en-IN"/>
          <w14:ligatures w14:val="none"/>
        </w:rPr>
        <w:lastRenderedPageBreak/>
        <w:t>Treasury management</w:t>
      </w:r>
    </w:p>
    <w:p w14:paraId="5EEC7508" w14:textId="08EC3AE4" w:rsidR="00372FBE" w:rsidRPr="00372FBE" w:rsidRDefault="00372FBE" w:rsidP="00372F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2FBE">
        <w:rPr>
          <w:rFonts w:ascii="Times New Roman" w:eastAsia="Times New Roman" w:hAnsi="Times New Roman" w:cs="Times New Roman"/>
          <w:kern w:val="0"/>
          <w:sz w:val="24"/>
          <w:szCs w:val="24"/>
          <w:lang w:eastAsia="en-IN"/>
          <w14:ligatures w14:val="none"/>
        </w:rPr>
        <w:t xml:space="preserve">Treasury management in banking operations involves the oversight and management of a bank's financial assets and liabilities to ensure liquidity, mitigate risks, and maximize profitability. It is a crucial function that encompasses various activities such as cash management, investment management, financial risk management, and corporate finance. </w:t>
      </w:r>
    </w:p>
    <w:p w14:paraId="30529444" w14:textId="77777777" w:rsidR="00372FBE" w:rsidRPr="00372FBE" w:rsidRDefault="00372FBE" w:rsidP="00372FBE">
      <w:pPr>
        <w:rPr>
          <w:b/>
          <w:bCs/>
          <w:lang w:eastAsia="en-IN"/>
        </w:rPr>
      </w:pPr>
      <w:r w:rsidRPr="00372FBE">
        <w:rPr>
          <w:b/>
          <w:bCs/>
          <w:lang w:eastAsia="en-IN"/>
        </w:rPr>
        <w:t>1. Cash Management</w:t>
      </w:r>
    </w:p>
    <w:p w14:paraId="6B0EBECE" w14:textId="77777777" w:rsidR="00372FBE" w:rsidRPr="00372FBE" w:rsidRDefault="00372FBE" w:rsidP="00372FB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2FBE">
        <w:rPr>
          <w:rFonts w:ascii="Times New Roman" w:eastAsia="Times New Roman" w:hAnsi="Times New Roman" w:cs="Times New Roman"/>
          <w:b/>
          <w:bCs/>
          <w:kern w:val="0"/>
          <w:sz w:val="24"/>
          <w:szCs w:val="24"/>
          <w:lang w:eastAsia="en-IN"/>
          <w14:ligatures w14:val="none"/>
        </w:rPr>
        <w:t>Liquidity Ratios</w:t>
      </w:r>
      <w:r w:rsidRPr="00372FBE">
        <w:rPr>
          <w:rFonts w:ascii="Times New Roman" w:eastAsia="Times New Roman" w:hAnsi="Times New Roman" w:cs="Times New Roman"/>
          <w:kern w:val="0"/>
          <w:sz w:val="24"/>
          <w:szCs w:val="24"/>
          <w:lang w:eastAsia="en-IN"/>
          <w14:ligatures w14:val="none"/>
        </w:rPr>
        <w:t>: Metrics like the Liquidity Coverage Ratio (LCR) and Net Stable Funding Ratio (NSFR) help ensure that banks maintain adequate levels of high-quality liquid assets.</w:t>
      </w:r>
    </w:p>
    <w:p w14:paraId="2FBAD754" w14:textId="77777777" w:rsidR="00372FBE" w:rsidRPr="00372FBE" w:rsidRDefault="00372FBE" w:rsidP="00372FB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2FBE">
        <w:rPr>
          <w:rFonts w:ascii="Times New Roman" w:eastAsia="Times New Roman" w:hAnsi="Times New Roman" w:cs="Times New Roman"/>
          <w:b/>
          <w:bCs/>
          <w:kern w:val="0"/>
          <w:sz w:val="24"/>
          <w:szCs w:val="24"/>
          <w:lang w:eastAsia="en-IN"/>
          <w14:ligatures w14:val="none"/>
        </w:rPr>
        <w:t>Cash Flow Forecasting</w:t>
      </w:r>
      <w:r w:rsidRPr="00372FBE">
        <w:rPr>
          <w:rFonts w:ascii="Times New Roman" w:eastAsia="Times New Roman" w:hAnsi="Times New Roman" w:cs="Times New Roman"/>
          <w:kern w:val="0"/>
          <w:sz w:val="24"/>
          <w:szCs w:val="24"/>
          <w:lang w:eastAsia="en-IN"/>
          <w14:ligatures w14:val="none"/>
        </w:rPr>
        <w:t>: Accurate predictions of cash inflows and outflows are essential for maintaining liquidity and operational efficiency.</w:t>
      </w:r>
    </w:p>
    <w:p w14:paraId="2DE379F9" w14:textId="77777777" w:rsidR="00372FBE" w:rsidRPr="00372FBE" w:rsidRDefault="00372FBE" w:rsidP="00372FB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2FBE">
        <w:rPr>
          <w:rFonts w:ascii="Times New Roman" w:eastAsia="Times New Roman" w:hAnsi="Times New Roman" w:cs="Times New Roman"/>
          <w:b/>
          <w:bCs/>
          <w:kern w:val="0"/>
          <w:sz w:val="24"/>
          <w:szCs w:val="24"/>
          <w:lang w:eastAsia="en-IN"/>
          <w14:ligatures w14:val="none"/>
        </w:rPr>
        <w:t>Intraday Liquidity</w:t>
      </w:r>
      <w:r w:rsidRPr="00372FBE">
        <w:rPr>
          <w:rFonts w:ascii="Times New Roman" w:eastAsia="Times New Roman" w:hAnsi="Times New Roman" w:cs="Times New Roman"/>
          <w:kern w:val="0"/>
          <w:sz w:val="24"/>
          <w:szCs w:val="24"/>
          <w:lang w:eastAsia="en-IN"/>
          <w14:ligatures w14:val="none"/>
        </w:rPr>
        <w:t>: Monitoring and managing liquidity on an intraday basis to ensure the bank can meet its payment and settlement obligations.</w:t>
      </w:r>
    </w:p>
    <w:p w14:paraId="0ACB11BD" w14:textId="77777777" w:rsidR="00372FBE" w:rsidRPr="00372FBE" w:rsidRDefault="00372FBE" w:rsidP="00372FBE">
      <w:pPr>
        <w:rPr>
          <w:b/>
          <w:bCs/>
          <w:lang w:eastAsia="en-IN"/>
        </w:rPr>
      </w:pPr>
      <w:r w:rsidRPr="00372FBE">
        <w:rPr>
          <w:b/>
          <w:bCs/>
          <w:lang w:eastAsia="en-IN"/>
        </w:rPr>
        <w:t>2. Investment Management</w:t>
      </w:r>
    </w:p>
    <w:p w14:paraId="2B742FB1" w14:textId="77777777" w:rsidR="00372FBE" w:rsidRPr="00372FBE" w:rsidRDefault="00372FBE" w:rsidP="00372FB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2FBE">
        <w:rPr>
          <w:rFonts w:ascii="Times New Roman" w:eastAsia="Times New Roman" w:hAnsi="Times New Roman" w:cs="Times New Roman"/>
          <w:b/>
          <w:bCs/>
          <w:kern w:val="0"/>
          <w:sz w:val="24"/>
          <w:szCs w:val="24"/>
          <w:lang w:eastAsia="en-IN"/>
          <w14:ligatures w14:val="none"/>
        </w:rPr>
        <w:t>Asset Allocation</w:t>
      </w:r>
      <w:r w:rsidRPr="00372FBE">
        <w:rPr>
          <w:rFonts w:ascii="Times New Roman" w:eastAsia="Times New Roman" w:hAnsi="Times New Roman" w:cs="Times New Roman"/>
          <w:kern w:val="0"/>
          <w:sz w:val="24"/>
          <w:szCs w:val="24"/>
          <w:lang w:eastAsia="en-IN"/>
          <w14:ligatures w14:val="none"/>
        </w:rPr>
        <w:t>: Distribution of investments across various asset classes (e.g., bonds, equities, real estate) to balance risk and return.</w:t>
      </w:r>
    </w:p>
    <w:p w14:paraId="23565D56" w14:textId="77777777" w:rsidR="00372FBE" w:rsidRPr="00372FBE" w:rsidRDefault="00372FBE" w:rsidP="00372FB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2FBE">
        <w:rPr>
          <w:rFonts w:ascii="Times New Roman" w:eastAsia="Times New Roman" w:hAnsi="Times New Roman" w:cs="Times New Roman"/>
          <w:b/>
          <w:bCs/>
          <w:kern w:val="0"/>
          <w:sz w:val="24"/>
          <w:szCs w:val="24"/>
          <w:lang w:eastAsia="en-IN"/>
          <w14:ligatures w14:val="none"/>
        </w:rPr>
        <w:t>Yield Curve Analysis</w:t>
      </w:r>
      <w:r w:rsidRPr="00372FBE">
        <w:rPr>
          <w:rFonts w:ascii="Times New Roman" w:eastAsia="Times New Roman" w:hAnsi="Times New Roman" w:cs="Times New Roman"/>
          <w:kern w:val="0"/>
          <w:sz w:val="24"/>
          <w:szCs w:val="24"/>
          <w:lang w:eastAsia="en-IN"/>
          <w14:ligatures w14:val="none"/>
        </w:rPr>
        <w:t>: Evaluating the term structure of interest rates to make informed investment decisions.</w:t>
      </w:r>
    </w:p>
    <w:p w14:paraId="43478362" w14:textId="77777777" w:rsidR="00372FBE" w:rsidRPr="00372FBE" w:rsidRDefault="00372FBE" w:rsidP="00372FB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2FBE">
        <w:rPr>
          <w:rFonts w:ascii="Times New Roman" w:eastAsia="Times New Roman" w:hAnsi="Times New Roman" w:cs="Times New Roman"/>
          <w:b/>
          <w:bCs/>
          <w:kern w:val="0"/>
          <w:sz w:val="24"/>
          <w:szCs w:val="24"/>
          <w:lang w:eastAsia="en-IN"/>
          <w14:ligatures w14:val="none"/>
        </w:rPr>
        <w:t>Credit Ratings</w:t>
      </w:r>
      <w:r w:rsidRPr="00372FBE">
        <w:rPr>
          <w:rFonts w:ascii="Times New Roman" w:eastAsia="Times New Roman" w:hAnsi="Times New Roman" w:cs="Times New Roman"/>
          <w:kern w:val="0"/>
          <w:sz w:val="24"/>
          <w:szCs w:val="24"/>
          <w:lang w:eastAsia="en-IN"/>
          <w14:ligatures w14:val="none"/>
        </w:rPr>
        <w:t>: Assessing the creditworthiness of investment instruments to mitigate default risk.</w:t>
      </w:r>
    </w:p>
    <w:p w14:paraId="298829F5" w14:textId="77777777" w:rsidR="00372FBE" w:rsidRPr="00372FBE" w:rsidRDefault="00372FBE" w:rsidP="00372FBE">
      <w:pPr>
        <w:rPr>
          <w:b/>
          <w:bCs/>
          <w:lang w:eastAsia="en-IN"/>
        </w:rPr>
      </w:pPr>
      <w:r w:rsidRPr="00372FBE">
        <w:rPr>
          <w:b/>
          <w:bCs/>
          <w:lang w:eastAsia="en-IN"/>
        </w:rPr>
        <w:t>3. Financial Risk Management</w:t>
      </w:r>
    </w:p>
    <w:p w14:paraId="67BE704C" w14:textId="77777777" w:rsidR="00372FBE" w:rsidRPr="00372FBE" w:rsidRDefault="00372FBE" w:rsidP="00372FBE">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2FBE">
        <w:rPr>
          <w:rFonts w:ascii="Times New Roman" w:eastAsia="Times New Roman" w:hAnsi="Times New Roman" w:cs="Times New Roman"/>
          <w:b/>
          <w:bCs/>
          <w:kern w:val="0"/>
          <w:sz w:val="24"/>
          <w:szCs w:val="24"/>
          <w:lang w:eastAsia="en-IN"/>
          <w14:ligatures w14:val="none"/>
        </w:rPr>
        <w:t>Interest Rate Risk</w:t>
      </w:r>
      <w:r w:rsidRPr="00372FBE">
        <w:rPr>
          <w:rFonts w:ascii="Times New Roman" w:eastAsia="Times New Roman" w:hAnsi="Times New Roman" w:cs="Times New Roman"/>
          <w:kern w:val="0"/>
          <w:sz w:val="24"/>
          <w:szCs w:val="24"/>
          <w:lang w:eastAsia="en-IN"/>
          <w14:ligatures w14:val="none"/>
        </w:rPr>
        <w:t>: Managing the impact of interest rate fluctuations on the bank’s earnings and capital.</w:t>
      </w:r>
    </w:p>
    <w:p w14:paraId="0FE6FAB7" w14:textId="77777777" w:rsidR="00372FBE" w:rsidRPr="00372FBE" w:rsidRDefault="00372FBE" w:rsidP="00372FBE">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2FBE">
        <w:rPr>
          <w:rFonts w:ascii="Times New Roman" w:eastAsia="Times New Roman" w:hAnsi="Times New Roman" w:cs="Times New Roman"/>
          <w:b/>
          <w:bCs/>
          <w:kern w:val="0"/>
          <w:sz w:val="24"/>
          <w:szCs w:val="24"/>
          <w:lang w:eastAsia="en-IN"/>
          <w14:ligatures w14:val="none"/>
        </w:rPr>
        <w:t>Foreign Exchange Risk</w:t>
      </w:r>
      <w:r w:rsidRPr="00372FBE">
        <w:rPr>
          <w:rFonts w:ascii="Times New Roman" w:eastAsia="Times New Roman" w:hAnsi="Times New Roman" w:cs="Times New Roman"/>
          <w:kern w:val="0"/>
          <w:sz w:val="24"/>
          <w:szCs w:val="24"/>
          <w:lang w:eastAsia="en-IN"/>
          <w14:ligatures w14:val="none"/>
        </w:rPr>
        <w:t>: Mitigating the risk arising from fluctuations in exchange rates, especially for banks with international operations.</w:t>
      </w:r>
    </w:p>
    <w:p w14:paraId="2B2CEF8F" w14:textId="77777777" w:rsidR="00372FBE" w:rsidRPr="00372FBE" w:rsidRDefault="00372FBE" w:rsidP="00372FBE">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2FBE">
        <w:rPr>
          <w:rFonts w:ascii="Times New Roman" w:eastAsia="Times New Roman" w:hAnsi="Times New Roman" w:cs="Times New Roman"/>
          <w:b/>
          <w:bCs/>
          <w:kern w:val="0"/>
          <w:sz w:val="24"/>
          <w:szCs w:val="24"/>
          <w:lang w:eastAsia="en-IN"/>
          <w14:ligatures w14:val="none"/>
        </w:rPr>
        <w:t>Credit Risk</w:t>
      </w:r>
      <w:r w:rsidRPr="00372FBE">
        <w:rPr>
          <w:rFonts w:ascii="Times New Roman" w:eastAsia="Times New Roman" w:hAnsi="Times New Roman" w:cs="Times New Roman"/>
          <w:kern w:val="0"/>
          <w:sz w:val="24"/>
          <w:szCs w:val="24"/>
          <w:lang w:eastAsia="en-IN"/>
          <w14:ligatures w14:val="none"/>
        </w:rPr>
        <w:t>: Monitoring the risk of default by borrowers and counterparties.</w:t>
      </w:r>
    </w:p>
    <w:p w14:paraId="75EF19D0" w14:textId="77777777" w:rsidR="00372FBE" w:rsidRPr="00372FBE" w:rsidRDefault="00372FBE" w:rsidP="00372FBE">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2FBE">
        <w:rPr>
          <w:rFonts w:ascii="Times New Roman" w:eastAsia="Times New Roman" w:hAnsi="Times New Roman" w:cs="Times New Roman"/>
          <w:b/>
          <w:bCs/>
          <w:kern w:val="0"/>
          <w:sz w:val="24"/>
          <w:szCs w:val="24"/>
          <w:lang w:eastAsia="en-IN"/>
          <w14:ligatures w14:val="none"/>
        </w:rPr>
        <w:t>Operational Risk</w:t>
      </w:r>
      <w:r w:rsidRPr="00372FBE">
        <w:rPr>
          <w:rFonts w:ascii="Times New Roman" w:eastAsia="Times New Roman" w:hAnsi="Times New Roman" w:cs="Times New Roman"/>
          <w:kern w:val="0"/>
          <w:sz w:val="24"/>
          <w:szCs w:val="24"/>
          <w:lang w:eastAsia="en-IN"/>
          <w14:ligatures w14:val="none"/>
        </w:rPr>
        <w:t>: Ensuring robust processes to prevent losses due to failures in internal processes, systems, or external events.</w:t>
      </w:r>
    </w:p>
    <w:p w14:paraId="70BE2ABC" w14:textId="77777777" w:rsidR="00372FBE" w:rsidRPr="00372FBE" w:rsidRDefault="00372FBE" w:rsidP="00372FBE">
      <w:pPr>
        <w:rPr>
          <w:b/>
          <w:bCs/>
          <w:lang w:eastAsia="en-IN"/>
        </w:rPr>
      </w:pPr>
      <w:r w:rsidRPr="00372FBE">
        <w:rPr>
          <w:b/>
          <w:bCs/>
          <w:lang w:eastAsia="en-IN"/>
        </w:rPr>
        <w:t>4. Corporate Finance</w:t>
      </w:r>
    </w:p>
    <w:p w14:paraId="4A7A56F9" w14:textId="77777777" w:rsidR="00372FBE" w:rsidRPr="00372FBE" w:rsidRDefault="00372FBE" w:rsidP="00372FB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2FBE">
        <w:rPr>
          <w:rFonts w:ascii="Times New Roman" w:eastAsia="Times New Roman" w:hAnsi="Times New Roman" w:cs="Times New Roman"/>
          <w:b/>
          <w:bCs/>
          <w:kern w:val="0"/>
          <w:sz w:val="24"/>
          <w:szCs w:val="24"/>
          <w:lang w:eastAsia="en-IN"/>
          <w14:ligatures w14:val="none"/>
        </w:rPr>
        <w:t>Capital Structure Management</w:t>
      </w:r>
      <w:r w:rsidRPr="00372FBE">
        <w:rPr>
          <w:rFonts w:ascii="Times New Roman" w:eastAsia="Times New Roman" w:hAnsi="Times New Roman" w:cs="Times New Roman"/>
          <w:kern w:val="0"/>
          <w:sz w:val="24"/>
          <w:szCs w:val="24"/>
          <w:lang w:eastAsia="en-IN"/>
          <w14:ligatures w14:val="none"/>
        </w:rPr>
        <w:t>: Optimizing the mix of debt and equity to minimize the cost of capital and maximize the value of the bank.</w:t>
      </w:r>
    </w:p>
    <w:p w14:paraId="52675EDB" w14:textId="77777777" w:rsidR="00372FBE" w:rsidRPr="00372FBE" w:rsidRDefault="00372FBE" w:rsidP="00372FB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2FBE">
        <w:rPr>
          <w:rFonts w:ascii="Times New Roman" w:eastAsia="Times New Roman" w:hAnsi="Times New Roman" w:cs="Times New Roman"/>
          <w:b/>
          <w:bCs/>
          <w:kern w:val="0"/>
          <w:sz w:val="24"/>
          <w:szCs w:val="24"/>
          <w:lang w:eastAsia="en-IN"/>
          <w14:ligatures w14:val="none"/>
        </w:rPr>
        <w:t>Dividend Policy</w:t>
      </w:r>
      <w:r w:rsidRPr="00372FBE">
        <w:rPr>
          <w:rFonts w:ascii="Times New Roman" w:eastAsia="Times New Roman" w:hAnsi="Times New Roman" w:cs="Times New Roman"/>
          <w:kern w:val="0"/>
          <w:sz w:val="24"/>
          <w:szCs w:val="24"/>
          <w:lang w:eastAsia="en-IN"/>
          <w14:ligatures w14:val="none"/>
        </w:rPr>
        <w:t>: Determining the portion of earnings to be distributed to shareholders versus retained for growth and investment.</w:t>
      </w:r>
    </w:p>
    <w:p w14:paraId="62AECD93" w14:textId="77777777" w:rsidR="00372FBE" w:rsidRPr="00372FBE" w:rsidRDefault="00372FBE" w:rsidP="00372FB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2FBE">
        <w:rPr>
          <w:rFonts w:ascii="Times New Roman" w:eastAsia="Times New Roman" w:hAnsi="Times New Roman" w:cs="Times New Roman"/>
          <w:b/>
          <w:bCs/>
          <w:kern w:val="0"/>
          <w:sz w:val="24"/>
          <w:szCs w:val="24"/>
          <w:lang w:eastAsia="en-IN"/>
          <w14:ligatures w14:val="none"/>
        </w:rPr>
        <w:t>Mergers and Acquisitions (M&amp;A)</w:t>
      </w:r>
      <w:r w:rsidRPr="00372FBE">
        <w:rPr>
          <w:rFonts w:ascii="Times New Roman" w:eastAsia="Times New Roman" w:hAnsi="Times New Roman" w:cs="Times New Roman"/>
          <w:kern w:val="0"/>
          <w:sz w:val="24"/>
          <w:szCs w:val="24"/>
          <w:lang w:eastAsia="en-IN"/>
          <w14:ligatures w14:val="none"/>
        </w:rPr>
        <w:t>: Assessing potential M&amp;A opportunities to enhance the bank’s strategic position and growth prospects.</w:t>
      </w:r>
    </w:p>
    <w:p w14:paraId="18C6B6D6" w14:textId="77777777" w:rsidR="00372FBE" w:rsidRDefault="00372FBE" w:rsidP="00372FBE">
      <w:pPr>
        <w:rPr>
          <w:b/>
          <w:bCs/>
          <w:lang w:eastAsia="en-IN"/>
        </w:rPr>
      </w:pPr>
    </w:p>
    <w:p w14:paraId="2BF376AB" w14:textId="77777777" w:rsidR="00E55BDE" w:rsidRDefault="00E55BDE" w:rsidP="00E55BDE">
      <w:pPr>
        <w:rPr>
          <w:b/>
          <w:bCs/>
          <w:lang w:eastAsia="en-IN"/>
        </w:rPr>
      </w:pPr>
    </w:p>
    <w:p w14:paraId="76A9D516" w14:textId="77777777" w:rsidR="00E55BDE" w:rsidRDefault="00E55BDE" w:rsidP="00E55BDE">
      <w:pPr>
        <w:rPr>
          <w:b/>
          <w:bCs/>
          <w:lang w:eastAsia="en-IN"/>
        </w:rPr>
      </w:pPr>
    </w:p>
    <w:p w14:paraId="0EB292CA" w14:textId="361C4C59" w:rsidR="00E55BDE" w:rsidRDefault="00372FBE" w:rsidP="00E55BDE">
      <w:pPr>
        <w:rPr>
          <w:b/>
          <w:bCs/>
          <w:lang w:eastAsia="en-IN"/>
        </w:rPr>
      </w:pPr>
      <w:r w:rsidRPr="00372FBE">
        <w:rPr>
          <w:b/>
          <w:bCs/>
          <w:lang w:eastAsia="en-IN"/>
        </w:rPr>
        <w:lastRenderedPageBreak/>
        <w:t>5. Regulatory Compliance</w:t>
      </w:r>
    </w:p>
    <w:p w14:paraId="22C22B8A" w14:textId="6C9E4464" w:rsidR="00372FBE" w:rsidRPr="00E55BDE" w:rsidRDefault="00372FBE" w:rsidP="00E55BDE">
      <w:pPr>
        <w:pStyle w:val="ListParagraph"/>
        <w:numPr>
          <w:ilvl w:val="0"/>
          <w:numId w:val="36"/>
        </w:numPr>
        <w:rPr>
          <w:b/>
          <w:bCs/>
          <w:lang w:eastAsia="en-IN"/>
        </w:rPr>
      </w:pPr>
      <w:r w:rsidRPr="00E55BDE">
        <w:rPr>
          <w:rFonts w:ascii="Times New Roman" w:eastAsia="Times New Roman" w:hAnsi="Times New Roman" w:cs="Times New Roman"/>
          <w:b/>
          <w:bCs/>
          <w:kern w:val="0"/>
          <w:sz w:val="24"/>
          <w:szCs w:val="24"/>
          <w:lang w:eastAsia="en-IN"/>
          <w14:ligatures w14:val="none"/>
        </w:rPr>
        <w:t>Basel III Requirements</w:t>
      </w:r>
      <w:r w:rsidRPr="00E55BDE">
        <w:rPr>
          <w:rFonts w:ascii="Times New Roman" w:eastAsia="Times New Roman" w:hAnsi="Times New Roman" w:cs="Times New Roman"/>
          <w:kern w:val="0"/>
          <w:sz w:val="24"/>
          <w:szCs w:val="24"/>
          <w:lang w:eastAsia="en-IN"/>
          <w14:ligatures w14:val="none"/>
        </w:rPr>
        <w:t>: Adhering to international regulatory frameworks that dictate capital adequacy, stress testing, and market liquidity standards.</w:t>
      </w:r>
    </w:p>
    <w:p w14:paraId="0E0D0841" w14:textId="77777777" w:rsidR="00372FBE" w:rsidRPr="00372FBE" w:rsidRDefault="00372FBE" w:rsidP="00372FB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2FBE">
        <w:rPr>
          <w:rFonts w:ascii="Times New Roman" w:eastAsia="Times New Roman" w:hAnsi="Times New Roman" w:cs="Times New Roman"/>
          <w:b/>
          <w:bCs/>
          <w:kern w:val="0"/>
          <w:sz w:val="24"/>
          <w:szCs w:val="24"/>
          <w:lang w:eastAsia="en-IN"/>
          <w14:ligatures w14:val="none"/>
        </w:rPr>
        <w:t>Dodd-Frank Act</w:t>
      </w:r>
      <w:r w:rsidRPr="00372FBE">
        <w:rPr>
          <w:rFonts w:ascii="Times New Roman" w:eastAsia="Times New Roman" w:hAnsi="Times New Roman" w:cs="Times New Roman"/>
          <w:kern w:val="0"/>
          <w:sz w:val="24"/>
          <w:szCs w:val="24"/>
          <w:lang w:eastAsia="en-IN"/>
          <w14:ligatures w14:val="none"/>
        </w:rPr>
        <w:t>: Complying with regulations aimed at reducing risks in the financial system and enhancing transparency.</w:t>
      </w:r>
    </w:p>
    <w:p w14:paraId="25026528" w14:textId="77777777" w:rsidR="00372FBE" w:rsidRPr="00372FBE" w:rsidRDefault="00372FBE" w:rsidP="00372FBE">
      <w:pPr>
        <w:rPr>
          <w:b/>
          <w:bCs/>
          <w:lang w:eastAsia="en-IN"/>
        </w:rPr>
      </w:pPr>
      <w:r w:rsidRPr="00372FBE">
        <w:rPr>
          <w:b/>
          <w:bCs/>
          <w:lang w:eastAsia="en-IN"/>
        </w:rPr>
        <w:t>6. Technology and Innovation</w:t>
      </w:r>
    </w:p>
    <w:p w14:paraId="67EF6434" w14:textId="77777777" w:rsidR="00372FBE" w:rsidRPr="00372FBE" w:rsidRDefault="00372FBE" w:rsidP="00372FBE">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2FBE">
        <w:rPr>
          <w:rFonts w:ascii="Times New Roman" w:eastAsia="Times New Roman" w:hAnsi="Times New Roman" w:cs="Times New Roman"/>
          <w:b/>
          <w:bCs/>
          <w:kern w:val="0"/>
          <w:sz w:val="24"/>
          <w:szCs w:val="24"/>
          <w:lang w:eastAsia="en-IN"/>
          <w14:ligatures w14:val="none"/>
        </w:rPr>
        <w:t>Treasury Management Systems (TMS)</w:t>
      </w:r>
      <w:r w:rsidRPr="00372FBE">
        <w:rPr>
          <w:rFonts w:ascii="Times New Roman" w:eastAsia="Times New Roman" w:hAnsi="Times New Roman" w:cs="Times New Roman"/>
          <w:kern w:val="0"/>
          <w:sz w:val="24"/>
          <w:szCs w:val="24"/>
          <w:lang w:eastAsia="en-IN"/>
          <w14:ligatures w14:val="none"/>
        </w:rPr>
        <w:t>: Implementing advanced software solutions to automate and streamline treasury operations.</w:t>
      </w:r>
    </w:p>
    <w:p w14:paraId="65E41354" w14:textId="77777777" w:rsidR="00372FBE" w:rsidRPr="00372FBE" w:rsidRDefault="00372FBE" w:rsidP="00372FBE">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2FBE">
        <w:rPr>
          <w:rFonts w:ascii="Times New Roman" w:eastAsia="Times New Roman" w:hAnsi="Times New Roman" w:cs="Times New Roman"/>
          <w:b/>
          <w:bCs/>
          <w:kern w:val="0"/>
          <w:sz w:val="24"/>
          <w:szCs w:val="24"/>
          <w:lang w:eastAsia="en-IN"/>
          <w14:ligatures w14:val="none"/>
        </w:rPr>
        <w:t>Blockchain and Distributed Ledger Technology (DLT)</w:t>
      </w:r>
      <w:r w:rsidRPr="00372FBE">
        <w:rPr>
          <w:rFonts w:ascii="Times New Roman" w:eastAsia="Times New Roman" w:hAnsi="Times New Roman" w:cs="Times New Roman"/>
          <w:kern w:val="0"/>
          <w:sz w:val="24"/>
          <w:szCs w:val="24"/>
          <w:lang w:eastAsia="en-IN"/>
          <w14:ligatures w14:val="none"/>
        </w:rPr>
        <w:t>: Exploring new technologies for more secure and efficient transaction processing.</w:t>
      </w:r>
    </w:p>
    <w:p w14:paraId="79C661B1" w14:textId="77777777" w:rsidR="00372FBE" w:rsidRPr="00372FBE" w:rsidRDefault="00372FBE" w:rsidP="00372FBE">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2FBE">
        <w:rPr>
          <w:rFonts w:ascii="Times New Roman" w:eastAsia="Times New Roman" w:hAnsi="Times New Roman" w:cs="Times New Roman"/>
          <w:b/>
          <w:bCs/>
          <w:kern w:val="0"/>
          <w:sz w:val="24"/>
          <w:szCs w:val="24"/>
          <w:lang w:eastAsia="en-IN"/>
          <w14:ligatures w14:val="none"/>
        </w:rPr>
        <w:t>Big Data and Analytics</w:t>
      </w:r>
      <w:r w:rsidRPr="00372FBE">
        <w:rPr>
          <w:rFonts w:ascii="Times New Roman" w:eastAsia="Times New Roman" w:hAnsi="Times New Roman" w:cs="Times New Roman"/>
          <w:kern w:val="0"/>
          <w:sz w:val="24"/>
          <w:szCs w:val="24"/>
          <w:lang w:eastAsia="en-IN"/>
          <w14:ligatures w14:val="none"/>
        </w:rPr>
        <w:t>: Leveraging data analytics to gain insights into financial performance and risk management.</w:t>
      </w:r>
    </w:p>
    <w:p w14:paraId="4A9EBDE2" w14:textId="77777777" w:rsidR="00372FBE" w:rsidRPr="00372FBE" w:rsidRDefault="00372FBE" w:rsidP="00372FBE">
      <w:pPr>
        <w:rPr>
          <w:b/>
          <w:bCs/>
          <w:lang w:eastAsia="en-IN"/>
        </w:rPr>
      </w:pPr>
      <w:r w:rsidRPr="00372FBE">
        <w:rPr>
          <w:b/>
          <w:bCs/>
          <w:lang w:eastAsia="en-IN"/>
        </w:rPr>
        <w:t>Key Performance Indicators (KPIs) in Treasury Management</w:t>
      </w:r>
    </w:p>
    <w:p w14:paraId="46E7673C" w14:textId="77777777" w:rsidR="00372FBE" w:rsidRPr="00372FBE" w:rsidRDefault="00372FBE" w:rsidP="00372FBE">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2FBE">
        <w:rPr>
          <w:rFonts w:ascii="Times New Roman" w:eastAsia="Times New Roman" w:hAnsi="Times New Roman" w:cs="Times New Roman"/>
          <w:b/>
          <w:bCs/>
          <w:kern w:val="0"/>
          <w:sz w:val="24"/>
          <w:szCs w:val="24"/>
          <w:lang w:eastAsia="en-IN"/>
          <w14:ligatures w14:val="none"/>
        </w:rPr>
        <w:t>Return on Assets (ROA)</w:t>
      </w:r>
      <w:r w:rsidRPr="00372FBE">
        <w:rPr>
          <w:rFonts w:ascii="Times New Roman" w:eastAsia="Times New Roman" w:hAnsi="Times New Roman" w:cs="Times New Roman"/>
          <w:kern w:val="0"/>
          <w:sz w:val="24"/>
          <w:szCs w:val="24"/>
          <w:lang w:eastAsia="en-IN"/>
          <w14:ligatures w14:val="none"/>
        </w:rPr>
        <w:t>: Measures the profitability relative to the bank’s total assets.</w:t>
      </w:r>
    </w:p>
    <w:p w14:paraId="3670445C" w14:textId="77777777" w:rsidR="00372FBE" w:rsidRPr="00372FBE" w:rsidRDefault="00372FBE" w:rsidP="00372FBE">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2FBE">
        <w:rPr>
          <w:rFonts w:ascii="Times New Roman" w:eastAsia="Times New Roman" w:hAnsi="Times New Roman" w:cs="Times New Roman"/>
          <w:b/>
          <w:bCs/>
          <w:kern w:val="0"/>
          <w:sz w:val="24"/>
          <w:szCs w:val="24"/>
          <w:lang w:eastAsia="en-IN"/>
          <w14:ligatures w14:val="none"/>
        </w:rPr>
        <w:t>Return on Equity (ROE)</w:t>
      </w:r>
      <w:r w:rsidRPr="00372FBE">
        <w:rPr>
          <w:rFonts w:ascii="Times New Roman" w:eastAsia="Times New Roman" w:hAnsi="Times New Roman" w:cs="Times New Roman"/>
          <w:kern w:val="0"/>
          <w:sz w:val="24"/>
          <w:szCs w:val="24"/>
          <w:lang w:eastAsia="en-IN"/>
          <w14:ligatures w14:val="none"/>
        </w:rPr>
        <w:t>: Assesses the profitability relative to shareholders' equity.</w:t>
      </w:r>
    </w:p>
    <w:p w14:paraId="0BFB55EA" w14:textId="77777777" w:rsidR="00372FBE" w:rsidRPr="00372FBE" w:rsidRDefault="00372FBE" w:rsidP="00372FBE">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2FBE">
        <w:rPr>
          <w:rFonts w:ascii="Times New Roman" w:eastAsia="Times New Roman" w:hAnsi="Times New Roman" w:cs="Times New Roman"/>
          <w:b/>
          <w:bCs/>
          <w:kern w:val="0"/>
          <w:sz w:val="24"/>
          <w:szCs w:val="24"/>
          <w:lang w:eastAsia="en-IN"/>
          <w14:ligatures w14:val="none"/>
        </w:rPr>
        <w:t>Net Interest Margin (NIM)</w:t>
      </w:r>
      <w:r w:rsidRPr="00372FBE">
        <w:rPr>
          <w:rFonts w:ascii="Times New Roman" w:eastAsia="Times New Roman" w:hAnsi="Times New Roman" w:cs="Times New Roman"/>
          <w:kern w:val="0"/>
          <w:sz w:val="24"/>
          <w:szCs w:val="24"/>
          <w:lang w:eastAsia="en-IN"/>
          <w14:ligatures w14:val="none"/>
        </w:rPr>
        <w:t>: The difference between interest income generated and interest expenses paid, relative to the amount of interest-earning assets.</w:t>
      </w:r>
    </w:p>
    <w:p w14:paraId="441BB957" w14:textId="77777777" w:rsidR="00372FBE" w:rsidRPr="00372FBE" w:rsidRDefault="00372FBE" w:rsidP="00372FBE">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2FBE">
        <w:rPr>
          <w:rFonts w:ascii="Times New Roman" w:eastAsia="Times New Roman" w:hAnsi="Times New Roman" w:cs="Times New Roman"/>
          <w:b/>
          <w:bCs/>
          <w:kern w:val="0"/>
          <w:sz w:val="24"/>
          <w:szCs w:val="24"/>
          <w:lang w:eastAsia="en-IN"/>
          <w14:ligatures w14:val="none"/>
        </w:rPr>
        <w:t>Cost-to-Income Ratio</w:t>
      </w:r>
      <w:r w:rsidRPr="00372FBE">
        <w:rPr>
          <w:rFonts w:ascii="Times New Roman" w:eastAsia="Times New Roman" w:hAnsi="Times New Roman" w:cs="Times New Roman"/>
          <w:kern w:val="0"/>
          <w:sz w:val="24"/>
          <w:szCs w:val="24"/>
          <w:lang w:eastAsia="en-IN"/>
          <w14:ligatures w14:val="none"/>
        </w:rPr>
        <w:t>: Efficiency metric that compares operating expenses to operating income.</w:t>
      </w:r>
    </w:p>
    <w:p w14:paraId="76A21572" w14:textId="77777777" w:rsidR="00372FBE" w:rsidRPr="00372FBE" w:rsidRDefault="00372FBE" w:rsidP="00372FBE">
      <w:pPr>
        <w:rPr>
          <w:b/>
          <w:bCs/>
          <w:lang w:eastAsia="en-IN"/>
        </w:rPr>
      </w:pPr>
      <w:r w:rsidRPr="00372FBE">
        <w:rPr>
          <w:b/>
          <w:bCs/>
          <w:lang w:eastAsia="en-IN"/>
        </w:rPr>
        <w:t>Challenges and Trends</w:t>
      </w:r>
    </w:p>
    <w:p w14:paraId="431DA442" w14:textId="77777777" w:rsidR="00372FBE" w:rsidRPr="00372FBE" w:rsidRDefault="00372FBE" w:rsidP="00372FB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2FBE">
        <w:rPr>
          <w:rFonts w:ascii="Times New Roman" w:eastAsia="Times New Roman" w:hAnsi="Times New Roman" w:cs="Times New Roman"/>
          <w:b/>
          <w:bCs/>
          <w:kern w:val="0"/>
          <w:sz w:val="24"/>
          <w:szCs w:val="24"/>
          <w:lang w:eastAsia="en-IN"/>
          <w14:ligatures w14:val="none"/>
        </w:rPr>
        <w:t>Economic Uncertainty</w:t>
      </w:r>
      <w:r w:rsidRPr="00372FBE">
        <w:rPr>
          <w:rFonts w:ascii="Times New Roman" w:eastAsia="Times New Roman" w:hAnsi="Times New Roman" w:cs="Times New Roman"/>
          <w:kern w:val="0"/>
          <w:sz w:val="24"/>
          <w:szCs w:val="24"/>
          <w:lang w:eastAsia="en-IN"/>
          <w14:ligatures w14:val="none"/>
        </w:rPr>
        <w:t>: Navigating through economic cycles, geopolitical risks, and market volatility.</w:t>
      </w:r>
    </w:p>
    <w:p w14:paraId="63335CE7" w14:textId="77777777" w:rsidR="00372FBE" w:rsidRPr="00372FBE" w:rsidRDefault="00372FBE" w:rsidP="00372FB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2FBE">
        <w:rPr>
          <w:rFonts w:ascii="Times New Roman" w:eastAsia="Times New Roman" w:hAnsi="Times New Roman" w:cs="Times New Roman"/>
          <w:b/>
          <w:bCs/>
          <w:kern w:val="0"/>
          <w:sz w:val="24"/>
          <w:szCs w:val="24"/>
          <w:lang w:eastAsia="en-IN"/>
          <w14:ligatures w14:val="none"/>
        </w:rPr>
        <w:t>Sustainability and ESG</w:t>
      </w:r>
      <w:r w:rsidRPr="00372FBE">
        <w:rPr>
          <w:rFonts w:ascii="Times New Roman" w:eastAsia="Times New Roman" w:hAnsi="Times New Roman" w:cs="Times New Roman"/>
          <w:kern w:val="0"/>
          <w:sz w:val="24"/>
          <w:szCs w:val="24"/>
          <w:lang w:eastAsia="en-IN"/>
          <w14:ligatures w14:val="none"/>
        </w:rPr>
        <w:t>: Integrating environmental, social, and governance (ESG) factors into treasury strategies.</w:t>
      </w:r>
    </w:p>
    <w:p w14:paraId="447FFD75" w14:textId="77777777" w:rsidR="00372FBE" w:rsidRPr="00372FBE" w:rsidRDefault="00372FBE" w:rsidP="00372FB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2FBE">
        <w:rPr>
          <w:rFonts w:ascii="Times New Roman" w:eastAsia="Times New Roman" w:hAnsi="Times New Roman" w:cs="Times New Roman"/>
          <w:b/>
          <w:bCs/>
          <w:kern w:val="0"/>
          <w:sz w:val="24"/>
          <w:szCs w:val="24"/>
          <w:lang w:eastAsia="en-IN"/>
          <w14:ligatures w14:val="none"/>
        </w:rPr>
        <w:t>Cybersecurity</w:t>
      </w:r>
      <w:r w:rsidRPr="00372FBE">
        <w:rPr>
          <w:rFonts w:ascii="Times New Roman" w:eastAsia="Times New Roman" w:hAnsi="Times New Roman" w:cs="Times New Roman"/>
          <w:kern w:val="0"/>
          <w:sz w:val="24"/>
          <w:szCs w:val="24"/>
          <w:lang w:eastAsia="en-IN"/>
          <w14:ligatures w14:val="none"/>
        </w:rPr>
        <w:t>: Protecting financial data and transactions from cyber threats.</w:t>
      </w:r>
    </w:p>
    <w:p w14:paraId="7D2B4EC9" w14:textId="77777777" w:rsidR="00372FBE" w:rsidRPr="00372FBE" w:rsidRDefault="00372FBE" w:rsidP="00372FBE">
      <w:pPr>
        <w:rPr>
          <w:b/>
          <w:bCs/>
          <w:lang w:eastAsia="en-IN"/>
        </w:rPr>
      </w:pPr>
      <w:r w:rsidRPr="00372FBE">
        <w:rPr>
          <w:b/>
          <w:bCs/>
          <w:lang w:eastAsia="en-IN"/>
        </w:rPr>
        <w:t>Conclusion</w:t>
      </w:r>
    </w:p>
    <w:p w14:paraId="017A7AB2" w14:textId="77777777" w:rsidR="00372FBE" w:rsidRPr="00372FBE" w:rsidRDefault="00372FBE" w:rsidP="00372F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2FBE">
        <w:rPr>
          <w:rFonts w:ascii="Times New Roman" w:eastAsia="Times New Roman" w:hAnsi="Times New Roman" w:cs="Times New Roman"/>
          <w:kern w:val="0"/>
          <w:sz w:val="24"/>
          <w:szCs w:val="24"/>
          <w:lang w:eastAsia="en-IN"/>
          <w14:ligatures w14:val="none"/>
        </w:rPr>
        <w:t>Effective treasury management in banking operations is vital for maintaining financial stability, achieving regulatory compliance, and enhancing profitability. It involves a multifaceted approach that integrates cash management, investment strategies, risk management, and the adoption of innovative technologies. Banks must continuously monitor financial metrics, adhere to regulatory standards, and adapt to evolving market conditions to ensure optimal performance and sustainability.</w:t>
      </w:r>
    </w:p>
    <w:p w14:paraId="03494651" w14:textId="77777777" w:rsidR="00372FBE" w:rsidRPr="00372FBE" w:rsidRDefault="00372FBE" w:rsidP="00372FBE">
      <w:pPr>
        <w:pStyle w:val="Heading1"/>
        <w:rPr>
          <w:rFonts w:eastAsia="Times New Roman"/>
          <w:lang w:eastAsia="en-IN"/>
        </w:rPr>
      </w:pPr>
    </w:p>
    <w:p w14:paraId="46EF85C9" w14:textId="77777777" w:rsidR="006C0044" w:rsidRDefault="006C0044"/>
    <w:p w14:paraId="5C47722E" w14:textId="77777777" w:rsidR="00372FBE" w:rsidRDefault="00372FBE"/>
    <w:p w14:paraId="24C3CCDB" w14:textId="2FC0C089" w:rsidR="00372FBE" w:rsidRPr="00E55BDE" w:rsidRDefault="00E55BDE">
      <w:pPr>
        <w:rPr>
          <w:b/>
          <w:bCs/>
          <w:sz w:val="40"/>
          <w:szCs w:val="40"/>
        </w:rPr>
      </w:pPr>
      <w:r w:rsidRPr="00E55BDE">
        <w:rPr>
          <w:b/>
          <w:bCs/>
          <w:sz w:val="40"/>
          <w:szCs w:val="40"/>
        </w:rPr>
        <w:lastRenderedPageBreak/>
        <w:t>Risk management</w:t>
      </w:r>
    </w:p>
    <w:p w14:paraId="77CF6EFC" w14:textId="17ADFDBF" w:rsidR="00412833" w:rsidRDefault="00412833" w:rsidP="00412833">
      <w:pPr>
        <w:pStyle w:val="NormalWeb"/>
      </w:pPr>
      <w:r>
        <w:t xml:space="preserve">Risk management in banking operations involves identifying, assessing, and mitigating risks that can affect a bank’s operations, financial performance, and reputation. Key types of risks include credit risk, market risk, operational risk, liquidity risk, and compliance risk. Effective risk management ensures the stability and reliability of financial institutions. </w:t>
      </w:r>
    </w:p>
    <w:p w14:paraId="6BE1A01F" w14:textId="77777777" w:rsidR="00412833" w:rsidRPr="00412833" w:rsidRDefault="00412833" w:rsidP="00412833">
      <w:pPr>
        <w:rPr>
          <w:b/>
          <w:bCs/>
        </w:rPr>
      </w:pPr>
      <w:r w:rsidRPr="00412833">
        <w:rPr>
          <w:b/>
          <w:bCs/>
        </w:rPr>
        <w:t>1. Credit Risk Management</w:t>
      </w:r>
    </w:p>
    <w:p w14:paraId="49C8B8BA" w14:textId="77777777" w:rsidR="00412833" w:rsidRDefault="00412833" w:rsidP="00412833">
      <w:pPr>
        <w:numPr>
          <w:ilvl w:val="0"/>
          <w:numId w:val="28"/>
        </w:numPr>
        <w:spacing w:before="100" w:beforeAutospacing="1" w:after="100" w:afterAutospacing="1" w:line="240" w:lineRule="auto"/>
      </w:pPr>
      <w:r>
        <w:rPr>
          <w:rStyle w:val="Strong"/>
        </w:rPr>
        <w:t>Credit Risk Analysis</w:t>
      </w:r>
      <w:r>
        <w:t>: Involves assessing the creditworthiness of borrowers through credit scoring models, analyzing financial statements, and reviewing credit history.</w:t>
      </w:r>
    </w:p>
    <w:p w14:paraId="34638DF7" w14:textId="77777777" w:rsidR="00412833" w:rsidRDefault="00412833" w:rsidP="00412833">
      <w:pPr>
        <w:numPr>
          <w:ilvl w:val="0"/>
          <w:numId w:val="28"/>
        </w:numPr>
        <w:spacing w:before="100" w:beforeAutospacing="1" w:after="100" w:afterAutospacing="1" w:line="240" w:lineRule="auto"/>
      </w:pPr>
      <w:r>
        <w:rPr>
          <w:rStyle w:val="Strong"/>
        </w:rPr>
        <w:t>Loan Portfolio Diversification</w:t>
      </w:r>
      <w:r>
        <w:t>: Reduces exposure to any single borrower or sector.</w:t>
      </w:r>
    </w:p>
    <w:p w14:paraId="6A4A00C3" w14:textId="77777777" w:rsidR="00412833" w:rsidRDefault="00412833" w:rsidP="00412833">
      <w:pPr>
        <w:numPr>
          <w:ilvl w:val="0"/>
          <w:numId w:val="28"/>
        </w:numPr>
        <w:spacing w:before="100" w:beforeAutospacing="1" w:after="100" w:afterAutospacing="1" w:line="240" w:lineRule="auto"/>
      </w:pPr>
      <w:r>
        <w:rPr>
          <w:rStyle w:val="Strong"/>
        </w:rPr>
        <w:t>Collateral Management</w:t>
      </w:r>
      <w:r>
        <w:t>: Ensuring adequate collateral is in place to mitigate potential losses.</w:t>
      </w:r>
    </w:p>
    <w:p w14:paraId="340C3659" w14:textId="77777777" w:rsidR="00412833" w:rsidRDefault="00412833" w:rsidP="00412833">
      <w:pPr>
        <w:numPr>
          <w:ilvl w:val="0"/>
          <w:numId w:val="28"/>
        </w:numPr>
        <w:spacing w:before="100" w:beforeAutospacing="1" w:after="100" w:afterAutospacing="1" w:line="240" w:lineRule="auto"/>
      </w:pPr>
      <w:r>
        <w:rPr>
          <w:rStyle w:val="Strong"/>
        </w:rPr>
        <w:t>Credit Default Swaps (CDS)</w:t>
      </w:r>
      <w:r>
        <w:t>: Instruments to transfer credit exposure between parties.</w:t>
      </w:r>
    </w:p>
    <w:p w14:paraId="538DB153" w14:textId="77777777" w:rsidR="00412833" w:rsidRPr="00412833" w:rsidRDefault="00412833" w:rsidP="00412833">
      <w:pPr>
        <w:rPr>
          <w:b/>
          <w:bCs/>
        </w:rPr>
      </w:pPr>
      <w:r w:rsidRPr="00412833">
        <w:rPr>
          <w:b/>
          <w:bCs/>
        </w:rPr>
        <w:t>2. Market Risk Management</w:t>
      </w:r>
    </w:p>
    <w:p w14:paraId="7DD89171" w14:textId="77777777" w:rsidR="00412833" w:rsidRDefault="00412833" w:rsidP="00412833">
      <w:pPr>
        <w:numPr>
          <w:ilvl w:val="0"/>
          <w:numId w:val="29"/>
        </w:numPr>
        <w:spacing w:before="100" w:beforeAutospacing="1" w:after="100" w:afterAutospacing="1" w:line="240" w:lineRule="auto"/>
      </w:pPr>
      <w:r>
        <w:rPr>
          <w:rStyle w:val="Strong"/>
        </w:rPr>
        <w:t>Value at Risk (VaR)</w:t>
      </w:r>
      <w:r>
        <w:t>: Measures potential losses in the value of a portfolio over a defined period for a given confidence interval.</w:t>
      </w:r>
    </w:p>
    <w:p w14:paraId="7850A983" w14:textId="77777777" w:rsidR="00412833" w:rsidRDefault="00412833" w:rsidP="00412833">
      <w:pPr>
        <w:numPr>
          <w:ilvl w:val="0"/>
          <w:numId w:val="29"/>
        </w:numPr>
        <w:spacing w:before="100" w:beforeAutospacing="1" w:after="100" w:afterAutospacing="1" w:line="240" w:lineRule="auto"/>
      </w:pPr>
      <w:r>
        <w:rPr>
          <w:rStyle w:val="Strong"/>
        </w:rPr>
        <w:t>Stress Testing and Scenario Analysis</w:t>
      </w:r>
      <w:r>
        <w:t>: Evaluates the impact of extreme market conditions on the bank’s portfolio.</w:t>
      </w:r>
    </w:p>
    <w:p w14:paraId="49840465" w14:textId="77777777" w:rsidR="00412833" w:rsidRDefault="00412833" w:rsidP="00412833">
      <w:pPr>
        <w:numPr>
          <w:ilvl w:val="0"/>
          <w:numId w:val="29"/>
        </w:numPr>
        <w:spacing w:before="100" w:beforeAutospacing="1" w:after="100" w:afterAutospacing="1" w:line="240" w:lineRule="auto"/>
      </w:pPr>
      <w:r>
        <w:rPr>
          <w:rStyle w:val="Strong"/>
        </w:rPr>
        <w:t>Hedging</w:t>
      </w:r>
      <w:r>
        <w:t>: Using derivatives like options, futures, and swaps to mitigate exposure to market movements.</w:t>
      </w:r>
    </w:p>
    <w:p w14:paraId="68A96FA1" w14:textId="77777777" w:rsidR="00412833" w:rsidRDefault="00412833" w:rsidP="00412833">
      <w:pPr>
        <w:numPr>
          <w:ilvl w:val="0"/>
          <w:numId w:val="29"/>
        </w:numPr>
        <w:spacing w:before="100" w:beforeAutospacing="1" w:after="100" w:afterAutospacing="1" w:line="240" w:lineRule="auto"/>
      </w:pPr>
      <w:r>
        <w:rPr>
          <w:rStyle w:val="Strong"/>
        </w:rPr>
        <w:t>Interest Rate Risk Management</w:t>
      </w:r>
      <w:r>
        <w:t>: Strategies to manage exposure to fluctuations in interest rates, including gap analysis and duration analysis.</w:t>
      </w:r>
    </w:p>
    <w:p w14:paraId="472C64A1" w14:textId="77777777" w:rsidR="00412833" w:rsidRPr="00412833" w:rsidRDefault="00412833" w:rsidP="00412833">
      <w:pPr>
        <w:rPr>
          <w:b/>
          <w:bCs/>
        </w:rPr>
      </w:pPr>
      <w:r w:rsidRPr="00412833">
        <w:rPr>
          <w:b/>
          <w:bCs/>
        </w:rPr>
        <w:t>3. Operational Risk Management</w:t>
      </w:r>
    </w:p>
    <w:p w14:paraId="0D1D58F8" w14:textId="77777777" w:rsidR="00412833" w:rsidRDefault="00412833" w:rsidP="00412833">
      <w:pPr>
        <w:numPr>
          <w:ilvl w:val="0"/>
          <w:numId w:val="30"/>
        </w:numPr>
        <w:spacing w:before="100" w:beforeAutospacing="1" w:after="100" w:afterAutospacing="1" w:line="240" w:lineRule="auto"/>
      </w:pPr>
      <w:r>
        <w:rPr>
          <w:rStyle w:val="Strong"/>
        </w:rPr>
        <w:t>Risk and Control Self-Assessments (RCSAs)</w:t>
      </w:r>
      <w:r>
        <w:t>: Identifying and assessing risks within various operations.</w:t>
      </w:r>
    </w:p>
    <w:p w14:paraId="39EAEBD3" w14:textId="77777777" w:rsidR="00412833" w:rsidRDefault="00412833" w:rsidP="00412833">
      <w:pPr>
        <w:numPr>
          <w:ilvl w:val="0"/>
          <w:numId w:val="30"/>
        </w:numPr>
        <w:spacing w:before="100" w:beforeAutospacing="1" w:after="100" w:afterAutospacing="1" w:line="240" w:lineRule="auto"/>
      </w:pPr>
      <w:r>
        <w:rPr>
          <w:rStyle w:val="Strong"/>
        </w:rPr>
        <w:t>Key Risk Indicators (KRIs)</w:t>
      </w:r>
      <w:r>
        <w:t>: Metrics used to monitor identified risks and potential exposures.</w:t>
      </w:r>
    </w:p>
    <w:p w14:paraId="0465CD4E" w14:textId="77777777" w:rsidR="00412833" w:rsidRDefault="00412833" w:rsidP="00412833">
      <w:pPr>
        <w:numPr>
          <w:ilvl w:val="0"/>
          <w:numId w:val="30"/>
        </w:numPr>
        <w:spacing w:before="100" w:beforeAutospacing="1" w:after="100" w:afterAutospacing="1" w:line="240" w:lineRule="auto"/>
      </w:pPr>
      <w:r>
        <w:rPr>
          <w:rStyle w:val="Strong"/>
        </w:rPr>
        <w:t>Incident Management Systems</w:t>
      </w:r>
      <w:r>
        <w:t>: Tools to track and manage operational risk events and losses.</w:t>
      </w:r>
    </w:p>
    <w:p w14:paraId="5081E008" w14:textId="77777777" w:rsidR="00412833" w:rsidRDefault="00412833" w:rsidP="00412833">
      <w:pPr>
        <w:numPr>
          <w:ilvl w:val="0"/>
          <w:numId w:val="30"/>
        </w:numPr>
        <w:spacing w:before="100" w:beforeAutospacing="1" w:after="100" w:afterAutospacing="1" w:line="240" w:lineRule="auto"/>
      </w:pPr>
      <w:r>
        <w:rPr>
          <w:rStyle w:val="Strong"/>
        </w:rPr>
        <w:t>Business Continuity Planning (BCP)</w:t>
      </w:r>
      <w:r>
        <w:t>: Ensures operations can continue during and after a disruptive event.</w:t>
      </w:r>
    </w:p>
    <w:p w14:paraId="217C83AD" w14:textId="77777777" w:rsidR="00412833" w:rsidRPr="00412833" w:rsidRDefault="00412833" w:rsidP="00412833">
      <w:pPr>
        <w:rPr>
          <w:b/>
          <w:bCs/>
        </w:rPr>
      </w:pPr>
      <w:r w:rsidRPr="00412833">
        <w:rPr>
          <w:b/>
          <w:bCs/>
        </w:rPr>
        <w:t>4. Liquidity Risk Management</w:t>
      </w:r>
    </w:p>
    <w:p w14:paraId="40D4457C" w14:textId="77777777" w:rsidR="00412833" w:rsidRDefault="00412833" w:rsidP="00412833">
      <w:pPr>
        <w:numPr>
          <w:ilvl w:val="0"/>
          <w:numId w:val="31"/>
        </w:numPr>
        <w:spacing w:before="100" w:beforeAutospacing="1" w:after="100" w:afterAutospacing="1" w:line="240" w:lineRule="auto"/>
      </w:pPr>
      <w:r>
        <w:rPr>
          <w:rStyle w:val="Strong"/>
        </w:rPr>
        <w:t>Liquidity Coverage Ratio (LCR)</w:t>
      </w:r>
      <w:r>
        <w:t>: Ensures that banks have enough high-quality liquid assets to cover short-term obligations.</w:t>
      </w:r>
    </w:p>
    <w:p w14:paraId="2A7A8462" w14:textId="77777777" w:rsidR="00412833" w:rsidRDefault="00412833" w:rsidP="00412833">
      <w:pPr>
        <w:numPr>
          <w:ilvl w:val="0"/>
          <w:numId w:val="31"/>
        </w:numPr>
        <w:spacing w:before="100" w:beforeAutospacing="1" w:after="100" w:afterAutospacing="1" w:line="240" w:lineRule="auto"/>
      </w:pPr>
      <w:r>
        <w:rPr>
          <w:rStyle w:val="Strong"/>
        </w:rPr>
        <w:t>Net Stable Funding Ratio (NSFR)</w:t>
      </w:r>
      <w:r>
        <w:t>: Promotes longer-term stability by requiring banks to maintain a stable funding profile relative to their assets.</w:t>
      </w:r>
    </w:p>
    <w:p w14:paraId="39357161" w14:textId="77777777" w:rsidR="00412833" w:rsidRDefault="00412833" w:rsidP="00412833">
      <w:pPr>
        <w:numPr>
          <w:ilvl w:val="0"/>
          <w:numId w:val="31"/>
        </w:numPr>
        <w:spacing w:before="100" w:beforeAutospacing="1" w:after="100" w:afterAutospacing="1" w:line="240" w:lineRule="auto"/>
      </w:pPr>
      <w:r>
        <w:rPr>
          <w:rStyle w:val="Strong"/>
        </w:rPr>
        <w:t>Cash Flow Projections</w:t>
      </w:r>
      <w:r>
        <w:t>: Regularly updated to monitor and manage liquidity needs.</w:t>
      </w:r>
    </w:p>
    <w:p w14:paraId="524B5E8B" w14:textId="77777777" w:rsidR="00412833" w:rsidRDefault="00412833" w:rsidP="00412833">
      <w:pPr>
        <w:numPr>
          <w:ilvl w:val="0"/>
          <w:numId w:val="31"/>
        </w:numPr>
        <w:spacing w:before="100" w:beforeAutospacing="1" w:after="100" w:afterAutospacing="1" w:line="240" w:lineRule="auto"/>
      </w:pPr>
      <w:r>
        <w:rPr>
          <w:rStyle w:val="Strong"/>
        </w:rPr>
        <w:t>Contingency Funding Plans (CFPs)</w:t>
      </w:r>
      <w:r>
        <w:t>: Strategies to address potential liquidity shortfalls.</w:t>
      </w:r>
    </w:p>
    <w:p w14:paraId="3076DF33" w14:textId="77777777" w:rsidR="00412833" w:rsidRPr="00412833" w:rsidRDefault="00412833" w:rsidP="00412833">
      <w:pPr>
        <w:rPr>
          <w:b/>
          <w:bCs/>
        </w:rPr>
      </w:pPr>
      <w:r w:rsidRPr="00412833">
        <w:rPr>
          <w:b/>
          <w:bCs/>
        </w:rPr>
        <w:t>5. Compliance Risk Management</w:t>
      </w:r>
    </w:p>
    <w:p w14:paraId="5B5D8629" w14:textId="77777777" w:rsidR="00412833" w:rsidRDefault="00412833" w:rsidP="00412833">
      <w:pPr>
        <w:numPr>
          <w:ilvl w:val="0"/>
          <w:numId w:val="32"/>
        </w:numPr>
        <w:spacing w:before="100" w:beforeAutospacing="1" w:after="100" w:afterAutospacing="1" w:line="240" w:lineRule="auto"/>
      </w:pPr>
      <w:r>
        <w:rPr>
          <w:rStyle w:val="Strong"/>
        </w:rPr>
        <w:t>Regulatory Reporting</w:t>
      </w:r>
      <w:r>
        <w:t>: Ensuring timely and accurate reporting to regulatory bodies.</w:t>
      </w:r>
    </w:p>
    <w:p w14:paraId="2DF0BC8B" w14:textId="77777777" w:rsidR="00412833" w:rsidRDefault="00412833" w:rsidP="00412833">
      <w:pPr>
        <w:numPr>
          <w:ilvl w:val="0"/>
          <w:numId w:val="32"/>
        </w:numPr>
        <w:spacing w:before="100" w:beforeAutospacing="1" w:after="100" w:afterAutospacing="1" w:line="240" w:lineRule="auto"/>
      </w:pPr>
      <w:r>
        <w:rPr>
          <w:rStyle w:val="Strong"/>
        </w:rPr>
        <w:lastRenderedPageBreak/>
        <w:t>Anti-Money Laundering (AML) and Counter-Terrorism Financing (CTF)</w:t>
      </w:r>
      <w:r>
        <w:t>: Implementing robust systems to detect and report suspicious activities.</w:t>
      </w:r>
    </w:p>
    <w:p w14:paraId="077DFEAF" w14:textId="77777777" w:rsidR="00412833" w:rsidRDefault="00412833" w:rsidP="00412833">
      <w:pPr>
        <w:numPr>
          <w:ilvl w:val="0"/>
          <w:numId w:val="32"/>
        </w:numPr>
        <w:spacing w:before="100" w:beforeAutospacing="1" w:after="100" w:afterAutospacing="1" w:line="240" w:lineRule="auto"/>
      </w:pPr>
      <w:r>
        <w:rPr>
          <w:rStyle w:val="Strong"/>
        </w:rPr>
        <w:t>Know Your Customer (KYC) Procedures</w:t>
      </w:r>
      <w:r>
        <w:t>: Detailed processes for customer identification and verification.</w:t>
      </w:r>
    </w:p>
    <w:p w14:paraId="07A03F6B" w14:textId="77777777" w:rsidR="00412833" w:rsidRDefault="00412833" w:rsidP="00412833">
      <w:pPr>
        <w:numPr>
          <w:ilvl w:val="0"/>
          <w:numId w:val="32"/>
        </w:numPr>
        <w:spacing w:before="100" w:beforeAutospacing="1" w:after="100" w:afterAutospacing="1" w:line="240" w:lineRule="auto"/>
      </w:pPr>
      <w:r>
        <w:rPr>
          <w:rStyle w:val="Strong"/>
        </w:rPr>
        <w:t>Internal Audits and Compliance Reviews</w:t>
      </w:r>
      <w:r>
        <w:t>: Regularly assessing the effectiveness of compliance programs and controls.</w:t>
      </w:r>
    </w:p>
    <w:p w14:paraId="29AD960F" w14:textId="77777777" w:rsidR="00412833" w:rsidRPr="00412833" w:rsidRDefault="00412833" w:rsidP="00412833">
      <w:pPr>
        <w:rPr>
          <w:b/>
          <w:bCs/>
        </w:rPr>
      </w:pPr>
      <w:r w:rsidRPr="00412833">
        <w:rPr>
          <w:b/>
          <w:bCs/>
        </w:rPr>
        <w:t>6. Technological and Cyber Risk Management</w:t>
      </w:r>
    </w:p>
    <w:p w14:paraId="03627B0B" w14:textId="77777777" w:rsidR="00412833" w:rsidRDefault="00412833" w:rsidP="00412833">
      <w:pPr>
        <w:numPr>
          <w:ilvl w:val="0"/>
          <w:numId w:val="33"/>
        </w:numPr>
        <w:spacing w:before="100" w:beforeAutospacing="1" w:after="100" w:afterAutospacing="1" w:line="240" w:lineRule="auto"/>
      </w:pPr>
      <w:r>
        <w:rPr>
          <w:rStyle w:val="Strong"/>
        </w:rPr>
        <w:t>Cybersecurity Frameworks</w:t>
      </w:r>
      <w:r>
        <w:t>: Implementing multi-layered security measures to protect against cyber threats.</w:t>
      </w:r>
    </w:p>
    <w:p w14:paraId="7417144F" w14:textId="77777777" w:rsidR="00412833" w:rsidRDefault="00412833" w:rsidP="00412833">
      <w:pPr>
        <w:numPr>
          <w:ilvl w:val="0"/>
          <w:numId w:val="33"/>
        </w:numPr>
        <w:spacing w:before="100" w:beforeAutospacing="1" w:after="100" w:afterAutospacing="1" w:line="240" w:lineRule="auto"/>
      </w:pPr>
      <w:r>
        <w:rPr>
          <w:rStyle w:val="Strong"/>
        </w:rPr>
        <w:t>Data Encryption and Protection</w:t>
      </w:r>
      <w:r>
        <w:t>: Ensuring sensitive information is secure and protected against breaches.</w:t>
      </w:r>
    </w:p>
    <w:p w14:paraId="34730732" w14:textId="77777777" w:rsidR="00412833" w:rsidRDefault="00412833" w:rsidP="00412833">
      <w:pPr>
        <w:numPr>
          <w:ilvl w:val="0"/>
          <w:numId w:val="33"/>
        </w:numPr>
        <w:spacing w:before="100" w:beforeAutospacing="1" w:after="100" w:afterAutospacing="1" w:line="240" w:lineRule="auto"/>
      </w:pPr>
      <w:r>
        <w:rPr>
          <w:rStyle w:val="Strong"/>
        </w:rPr>
        <w:t>Incident Response Plans</w:t>
      </w:r>
      <w:r>
        <w:t>: Strategies to respond to and recover from cyber incidents.</w:t>
      </w:r>
    </w:p>
    <w:p w14:paraId="3BE7E39A" w14:textId="77777777" w:rsidR="00412833" w:rsidRDefault="00412833" w:rsidP="00412833">
      <w:pPr>
        <w:numPr>
          <w:ilvl w:val="0"/>
          <w:numId w:val="33"/>
        </w:numPr>
        <w:spacing w:before="100" w:beforeAutospacing="1" w:after="100" w:afterAutospacing="1" w:line="240" w:lineRule="auto"/>
      </w:pPr>
      <w:r>
        <w:rPr>
          <w:rStyle w:val="Strong"/>
        </w:rPr>
        <w:t>Continuous Monitoring and Testing</w:t>
      </w:r>
      <w:r>
        <w:t>: Regularly assessing the security posture through vulnerability assessments and penetration testing.</w:t>
      </w:r>
    </w:p>
    <w:p w14:paraId="4A136E00" w14:textId="77777777" w:rsidR="00412833" w:rsidRPr="00412833" w:rsidRDefault="00412833" w:rsidP="00412833">
      <w:pPr>
        <w:rPr>
          <w:b/>
          <w:bCs/>
        </w:rPr>
      </w:pPr>
      <w:r w:rsidRPr="00412833">
        <w:rPr>
          <w:b/>
          <w:bCs/>
        </w:rPr>
        <w:t>7. Risk Governance and Culture</w:t>
      </w:r>
    </w:p>
    <w:p w14:paraId="666FD4C8" w14:textId="77777777" w:rsidR="00412833" w:rsidRDefault="00412833" w:rsidP="00412833">
      <w:pPr>
        <w:numPr>
          <w:ilvl w:val="0"/>
          <w:numId w:val="34"/>
        </w:numPr>
        <w:spacing w:before="100" w:beforeAutospacing="1" w:after="100" w:afterAutospacing="1" w:line="240" w:lineRule="auto"/>
      </w:pPr>
      <w:r>
        <w:rPr>
          <w:rStyle w:val="Strong"/>
        </w:rPr>
        <w:t>Board and Senior Management Oversight</w:t>
      </w:r>
      <w:r>
        <w:t>: Ensuring active involvement in risk management practices and decision-making.</w:t>
      </w:r>
    </w:p>
    <w:p w14:paraId="6B42F43D" w14:textId="77777777" w:rsidR="00412833" w:rsidRDefault="00412833" w:rsidP="00412833">
      <w:pPr>
        <w:numPr>
          <w:ilvl w:val="0"/>
          <w:numId w:val="34"/>
        </w:numPr>
        <w:spacing w:before="100" w:beforeAutospacing="1" w:after="100" w:afterAutospacing="1" w:line="240" w:lineRule="auto"/>
      </w:pPr>
      <w:r>
        <w:rPr>
          <w:rStyle w:val="Strong"/>
        </w:rPr>
        <w:t>Risk Appetite Framework</w:t>
      </w:r>
      <w:r>
        <w:t>: Defining the level and types of risk a bank is willing to take.</w:t>
      </w:r>
    </w:p>
    <w:p w14:paraId="02A0C478" w14:textId="77777777" w:rsidR="00412833" w:rsidRDefault="00412833" w:rsidP="00412833">
      <w:pPr>
        <w:numPr>
          <w:ilvl w:val="0"/>
          <w:numId w:val="34"/>
        </w:numPr>
        <w:spacing w:before="100" w:beforeAutospacing="1" w:after="100" w:afterAutospacing="1" w:line="240" w:lineRule="auto"/>
      </w:pPr>
      <w:r>
        <w:rPr>
          <w:rStyle w:val="Strong"/>
        </w:rPr>
        <w:t>Risk Culture</w:t>
      </w:r>
      <w:r>
        <w:t>: Promoting a culture where risk management is embedded in daily operations.</w:t>
      </w:r>
    </w:p>
    <w:p w14:paraId="6C9DF041" w14:textId="77777777" w:rsidR="00412833" w:rsidRDefault="00412833" w:rsidP="00412833">
      <w:pPr>
        <w:numPr>
          <w:ilvl w:val="0"/>
          <w:numId w:val="34"/>
        </w:numPr>
        <w:spacing w:before="100" w:beforeAutospacing="1" w:after="100" w:afterAutospacing="1" w:line="240" w:lineRule="auto"/>
      </w:pPr>
      <w:r>
        <w:rPr>
          <w:rStyle w:val="Strong"/>
        </w:rPr>
        <w:t>Training and Awareness Programs</w:t>
      </w:r>
      <w:r>
        <w:t>: Regularly educating employees about risk management policies and practices.</w:t>
      </w:r>
    </w:p>
    <w:p w14:paraId="0216E475" w14:textId="77777777" w:rsidR="00412833" w:rsidRPr="00412833" w:rsidRDefault="00412833" w:rsidP="00412833">
      <w:pPr>
        <w:rPr>
          <w:b/>
          <w:bCs/>
        </w:rPr>
      </w:pPr>
      <w:r w:rsidRPr="00412833">
        <w:rPr>
          <w:b/>
          <w:bCs/>
        </w:rPr>
        <w:t>Key Metrics and Data Used in Risk Management</w:t>
      </w:r>
    </w:p>
    <w:p w14:paraId="434703D7" w14:textId="77777777" w:rsidR="00412833" w:rsidRDefault="00412833" w:rsidP="00412833">
      <w:pPr>
        <w:numPr>
          <w:ilvl w:val="0"/>
          <w:numId w:val="35"/>
        </w:numPr>
        <w:spacing w:before="100" w:beforeAutospacing="1" w:after="100" w:afterAutospacing="1" w:line="240" w:lineRule="auto"/>
      </w:pPr>
      <w:r>
        <w:rPr>
          <w:rStyle w:val="Strong"/>
        </w:rPr>
        <w:t>Credit Risk Metrics</w:t>
      </w:r>
      <w:r>
        <w:t>: Default rates, recovery rates, credit rating migrations.</w:t>
      </w:r>
    </w:p>
    <w:p w14:paraId="166B36D0" w14:textId="77777777" w:rsidR="00412833" w:rsidRDefault="00412833" w:rsidP="00412833">
      <w:pPr>
        <w:numPr>
          <w:ilvl w:val="0"/>
          <w:numId w:val="35"/>
        </w:numPr>
        <w:spacing w:before="100" w:beforeAutospacing="1" w:after="100" w:afterAutospacing="1" w:line="240" w:lineRule="auto"/>
      </w:pPr>
      <w:r>
        <w:rPr>
          <w:rStyle w:val="Strong"/>
        </w:rPr>
        <w:t>Market Risk Metrics</w:t>
      </w:r>
      <w:r>
        <w:t>: VaR, stress loss figures, market value adjustments.</w:t>
      </w:r>
    </w:p>
    <w:p w14:paraId="2A227CAA" w14:textId="77777777" w:rsidR="00412833" w:rsidRDefault="00412833" w:rsidP="00412833">
      <w:pPr>
        <w:numPr>
          <w:ilvl w:val="0"/>
          <w:numId w:val="35"/>
        </w:numPr>
        <w:spacing w:before="100" w:beforeAutospacing="1" w:after="100" w:afterAutospacing="1" w:line="240" w:lineRule="auto"/>
      </w:pPr>
      <w:r>
        <w:rPr>
          <w:rStyle w:val="Strong"/>
        </w:rPr>
        <w:t>Operational Risk Metrics</w:t>
      </w:r>
      <w:r>
        <w:t>: Frequency and severity of loss events, KRIs.</w:t>
      </w:r>
    </w:p>
    <w:p w14:paraId="08155AF4" w14:textId="77777777" w:rsidR="00412833" w:rsidRDefault="00412833" w:rsidP="00412833">
      <w:pPr>
        <w:numPr>
          <w:ilvl w:val="0"/>
          <w:numId w:val="35"/>
        </w:numPr>
        <w:spacing w:before="100" w:beforeAutospacing="1" w:after="100" w:afterAutospacing="1" w:line="240" w:lineRule="auto"/>
      </w:pPr>
      <w:r>
        <w:rPr>
          <w:rStyle w:val="Strong"/>
        </w:rPr>
        <w:t>Liquidity Metrics</w:t>
      </w:r>
      <w:r>
        <w:t>: LCR, NSFR, cash flow gaps.</w:t>
      </w:r>
    </w:p>
    <w:p w14:paraId="364F0A46" w14:textId="77777777" w:rsidR="00412833" w:rsidRDefault="00412833" w:rsidP="00412833">
      <w:pPr>
        <w:numPr>
          <w:ilvl w:val="0"/>
          <w:numId w:val="35"/>
        </w:numPr>
        <w:spacing w:before="100" w:beforeAutospacing="1" w:after="100" w:afterAutospacing="1" w:line="240" w:lineRule="auto"/>
      </w:pPr>
      <w:r>
        <w:rPr>
          <w:rStyle w:val="Strong"/>
        </w:rPr>
        <w:t>Compliance Metrics</w:t>
      </w:r>
      <w:r>
        <w:t>: Number of compliance breaches, audit findings, AML alerts.</w:t>
      </w:r>
    </w:p>
    <w:p w14:paraId="1149EBC9" w14:textId="77777777" w:rsidR="00412833" w:rsidRDefault="00412833" w:rsidP="00412833">
      <w:pPr>
        <w:pStyle w:val="NormalWeb"/>
      </w:pPr>
      <w:r>
        <w:t>Effective risk management in banking operations requires a comprehensive approach that integrates advanced analytical tools, robust governance structures, and a risk-aware culture.</w:t>
      </w:r>
    </w:p>
    <w:p w14:paraId="5FF6B68A" w14:textId="77777777" w:rsidR="00372FBE" w:rsidRDefault="00372FBE"/>
    <w:sectPr w:rsidR="00372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04AD5"/>
    <w:multiLevelType w:val="multilevel"/>
    <w:tmpl w:val="2B96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D224B"/>
    <w:multiLevelType w:val="multilevel"/>
    <w:tmpl w:val="9AF6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31DE9"/>
    <w:multiLevelType w:val="multilevel"/>
    <w:tmpl w:val="450A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031B2"/>
    <w:multiLevelType w:val="multilevel"/>
    <w:tmpl w:val="4C98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A6BBD"/>
    <w:multiLevelType w:val="multilevel"/>
    <w:tmpl w:val="05EC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87F12"/>
    <w:multiLevelType w:val="multilevel"/>
    <w:tmpl w:val="6E4E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EC3B5D"/>
    <w:multiLevelType w:val="multilevel"/>
    <w:tmpl w:val="266A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20208"/>
    <w:multiLevelType w:val="multilevel"/>
    <w:tmpl w:val="28F8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387E7C"/>
    <w:multiLevelType w:val="multilevel"/>
    <w:tmpl w:val="646E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1416E3"/>
    <w:multiLevelType w:val="multilevel"/>
    <w:tmpl w:val="83F8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505C74"/>
    <w:multiLevelType w:val="multilevel"/>
    <w:tmpl w:val="0F44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3E1036"/>
    <w:multiLevelType w:val="multilevel"/>
    <w:tmpl w:val="2392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7E7BDC"/>
    <w:multiLevelType w:val="multilevel"/>
    <w:tmpl w:val="FEF6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FF77BB"/>
    <w:multiLevelType w:val="multilevel"/>
    <w:tmpl w:val="39A0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77540F"/>
    <w:multiLevelType w:val="multilevel"/>
    <w:tmpl w:val="0FEC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8A2FA9"/>
    <w:multiLevelType w:val="multilevel"/>
    <w:tmpl w:val="4E12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950249"/>
    <w:multiLevelType w:val="multilevel"/>
    <w:tmpl w:val="CC18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3D6FAA"/>
    <w:multiLevelType w:val="multilevel"/>
    <w:tmpl w:val="44FA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BF3A5C"/>
    <w:multiLevelType w:val="multilevel"/>
    <w:tmpl w:val="31A6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7C2D8F"/>
    <w:multiLevelType w:val="multilevel"/>
    <w:tmpl w:val="1AEA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B10195"/>
    <w:multiLevelType w:val="multilevel"/>
    <w:tmpl w:val="B1FA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F22CB2"/>
    <w:multiLevelType w:val="multilevel"/>
    <w:tmpl w:val="A7B8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B44805"/>
    <w:multiLevelType w:val="multilevel"/>
    <w:tmpl w:val="7990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BF00BD"/>
    <w:multiLevelType w:val="multilevel"/>
    <w:tmpl w:val="1C14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FD2925"/>
    <w:multiLevelType w:val="multilevel"/>
    <w:tmpl w:val="4422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BB1351"/>
    <w:multiLevelType w:val="multilevel"/>
    <w:tmpl w:val="8356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33562E"/>
    <w:multiLevelType w:val="multilevel"/>
    <w:tmpl w:val="F69E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E633A5"/>
    <w:multiLevelType w:val="multilevel"/>
    <w:tmpl w:val="E90A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4007C4"/>
    <w:multiLevelType w:val="multilevel"/>
    <w:tmpl w:val="1B4A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C144FD"/>
    <w:multiLevelType w:val="multilevel"/>
    <w:tmpl w:val="D786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4C3BE2"/>
    <w:multiLevelType w:val="multilevel"/>
    <w:tmpl w:val="1CB6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72222D"/>
    <w:multiLevelType w:val="multilevel"/>
    <w:tmpl w:val="928C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4E6092"/>
    <w:multiLevelType w:val="multilevel"/>
    <w:tmpl w:val="F966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7E688C"/>
    <w:multiLevelType w:val="multilevel"/>
    <w:tmpl w:val="0668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FA7464"/>
    <w:multiLevelType w:val="hybridMultilevel"/>
    <w:tmpl w:val="E3FA8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1C04FB"/>
    <w:multiLevelType w:val="multilevel"/>
    <w:tmpl w:val="983A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643414">
    <w:abstractNumId w:val="31"/>
  </w:num>
  <w:num w:numId="2" w16cid:durableId="1001733230">
    <w:abstractNumId w:val="14"/>
  </w:num>
  <w:num w:numId="3" w16cid:durableId="1490708389">
    <w:abstractNumId w:val="4"/>
  </w:num>
  <w:num w:numId="4" w16cid:durableId="611400930">
    <w:abstractNumId w:val="32"/>
  </w:num>
  <w:num w:numId="5" w16cid:durableId="1729448838">
    <w:abstractNumId w:val="28"/>
  </w:num>
  <w:num w:numId="6" w16cid:durableId="1457989984">
    <w:abstractNumId w:val="6"/>
  </w:num>
  <w:num w:numId="7" w16cid:durableId="531381615">
    <w:abstractNumId w:val="0"/>
  </w:num>
  <w:num w:numId="8" w16cid:durableId="941376750">
    <w:abstractNumId w:val="35"/>
  </w:num>
  <w:num w:numId="9" w16cid:durableId="1591935561">
    <w:abstractNumId w:val="8"/>
  </w:num>
  <w:num w:numId="10" w16cid:durableId="460850721">
    <w:abstractNumId w:val="24"/>
  </w:num>
  <w:num w:numId="11" w16cid:durableId="1613395174">
    <w:abstractNumId w:val="29"/>
  </w:num>
  <w:num w:numId="12" w16cid:durableId="543055310">
    <w:abstractNumId w:val="1"/>
  </w:num>
  <w:num w:numId="13" w16cid:durableId="1340082283">
    <w:abstractNumId w:val="23"/>
  </w:num>
  <w:num w:numId="14" w16cid:durableId="1708262544">
    <w:abstractNumId w:val="10"/>
  </w:num>
  <w:num w:numId="15" w16cid:durableId="146554835">
    <w:abstractNumId w:val="18"/>
  </w:num>
  <w:num w:numId="16" w16cid:durableId="1589775536">
    <w:abstractNumId w:val="13"/>
  </w:num>
  <w:num w:numId="17" w16cid:durableId="648483132">
    <w:abstractNumId w:val="26"/>
  </w:num>
  <w:num w:numId="18" w16cid:durableId="2120290522">
    <w:abstractNumId w:val="27"/>
  </w:num>
  <w:num w:numId="19" w16cid:durableId="742802111">
    <w:abstractNumId w:val="11"/>
  </w:num>
  <w:num w:numId="20" w16cid:durableId="653608259">
    <w:abstractNumId w:val="9"/>
  </w:num>
  <w:num w:numId="21" w16cid:durableId="379599748">
    <w:abstractNumId w:val="22"/>
  </w:num>
  <w:num w:numId="22" w16cid:durableId="905187667">
    <w:abstractNumId w:val="2"/>
  </w:num>
  <w:num w:numId="23" w16cid:durableId="402871075">
    <w:abstractNumId w:val="20"/>
  </w:num>
  <w:num w:numId="24" w16cid:durableId="271475736">
    <w:abstractNumId w:val="15"/>
  </w:num>
  <w:num w:numId="25" w16cid:durableId="1959793164">
    <w:abstractNumId w:val="19"/>
  </w:num>
  <w:num w:numId="26" w16cid:durableId="1281113371">
    <w:abstractNumId w:val="7"/>
  </w:num>
  <w:num w:numId="27" w16cid:durableId="1271812938">
    <w:abstractNumId w:val="33"/>
  </w:num>
  <w:num w:numId="28" w16cid:durableId="1014720592">
    <w:abstractNumId w:val="3"/>
  </w:num>
  <w:num w:numId="29" w16cid:durableId="1747266644">
    <w:abstractNumId w:val="5"/>
  </w:num>
  <w:num w:numId="30" w16cid:durableId="896017592">
    <w:abstractNumId w:val="17"/>
  </w:num>
  <w:num w:numId="31" w16cid:durableId="5255200">
    <w:abstractNumId w:val="21"/>
  </w:num>
  <w:num w:numId="32" w16cid:durableId="894389090">
    <w:abstractNumId w:val="30"/>
  </w:num>
  <w:num w:numId="33" w16cid:durableId="1350571351">
    <w:abstractNumId w:val="12"/>
  </w:num>
  <w:num w:numId="34" w16cid:durableId="102846884">
    <w:abstractNumId w:val="25"/>
  </w:num>
  <w:num w:numId="35" w16cid:durableId="778450944">
    <w:abstractNumId w:val="16"/>
  </w:num>
  <w:num w:numId="36" w16cid:durableId="194583967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3D0"/>
    <w:rsid w:val="00372FBE"/>
    <w:rsid w:val="00412833"/>
    <w:rsid w:val="006173D0"/>
    <w:rsid w:val="006C0044"/>
    <w:rsid w:val="008F2DE6"/>
    <w:rsid w:val="00902080"/>
    <w:rsid w:val="00B10D6B"/>
    <w:rsid w:val="00B16EC4"/>
    <w:rsid w:val="00B50A47"/>
    <w:rsid w:val="00D44B8A"/>
    <w:rsid w:val="00DD4EA9"/>
    <w:rsid w:val="00E55B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F8CCC"/>
  <w15:chartTrackingRefBased/>
  <w15:docId w15:val="{733F5442-E164-4807-B120-74799A7BA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3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73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73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73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3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3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3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3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3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3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73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73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73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73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73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3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3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3D0"/>
    <w:rPr>
      <w:rFonts w:eastAsiaTheme="majorEastAsia" w:cstheme="majorBidi"/>
      <w:color w:val="272727" w:themeColor="text1" w:themeTint="D8"/>
    </w:rPr>
  </w:style>
  <w:style w:type="paragraph" w:styleId="Title">
    <w:name w:val="Title"/>
    <w:basedOn w:val="Normal"/>
    <w:next w:val="Normal"/>
    <w:link w:val="TitleChar"/>
    <w:uiPriority w:val="10"/>
    <w:qFormat/>
    <w:rsid w:val="006173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3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3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3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3D0"/>
    <w:pPr>
      <w:spacing w:before="160"/>
      <w:jc w:val="center"/>
    </w:pPr>
    <w:rPr>
      <w:i/>
      <w:iCs/>
      <w:color w:val="404040" w:themeColor="text1" w:themeTint="BF"/>
    </w:rPr>
  </w:style>
  <w:style w:type="character" w:customStyle="1" w:styleId="QuoteChar">
    <w:name w:val="Quote Char"/>
    <w:basedOn w:val="DefaultParagraphFont"/>
    <w:link w:val="Quote"/>
    <w:uiPriority w:val="29"/>
    <w:rsid w:val="006173D0"/>
    <w:rPr>
      <w:i/>
      <w:iCs/>
      <w:color w:val="404040" w:themeColor="text1" w:themeTint="BF"/>
    </w:rPr>
  </w:style>
  <w:style w:type="paragraph" w:styleId="ListParagraph">
    <w:name w:val="List Paragraph"/>
    <w:basedOn w:val="Normal"/>
    <w:uiPriority w:val="34"/>
    <w:qFormat/>
    <w:rsid w:val="006173D0"/>
    <w:pPr>
      <w:ind w:left="720"/>
      <w:contextualSpacing/>
    </w:pPr>
  </w:style>
  <w:style w:type="character" w:styleId="IntenseEmphasis">
    <w:name w:val="Intense Emphasis"/>
    <w:basedOn w:val="DefaultParagraphFont"/>
    <w:uiPriority w:val="21"/>
    <w:qFormat/>
    <w:rsid w:val="006173D0"/>
    <w:rPr>
      <w:i/>
      <w:iCs/>
      <w:color w:val="0F4761" w:themeColor="accent1" w:themeShade="BF"/>
    </w:rPr>
  </w:style>
  <w:style w:type="paragraph" w:styleId="IntenseQuote">
    <w:name w:val="Intense Quote"/>
    <w:basedOn w:val="Normal"/>
    <w:next w:val="Normal"/>
    <w:link w:val="IntenseQuoteChar"/>
    <w:uiPriority w:val="30"/>
    <w:qFormat/>
    <w:rsid w:val="006173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3D0"/>
    <w:rPr>
      <w:i/>
      <w:iCs/>
      <w:color w:val="0F4761" w:themeColor="accent1" w:themeShade="BF"/>
    </w:rPr>
  </w:style>
  <w:style w:type="character" w:styleId="IntenseReference">
    <w:name w:val="Intense Reference"/>
    <w:basedOn w:val="DefaultParagraphFont"/>
    <w:uiPriority w:val="32"/>
    <w:qFormat/>
    <w:rsid w:val="006173D0"/>
    <w:rPr>
      <w:b/>
      <w:bCs/>
      <w:smallCaps/>
      <w:color w:val="0F4761" w:themeColor="accent1" w:themeShade="BF"/>
      <w:spacing w:val="5"/>
    </w:rPr>
  </w:style>
  <w:style w:type="paragraph" w:styleId="NormalWeb">
    <w:name w:val="Normal (Web)"/>
    <w:basedOn w:val="Normal"/>
    <w:uiPriority w:val="99"/>
    <w:semiHidden/>
    <w:unhideWhenUsed/>
    <w:rsid w:val="006173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173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644750">
      <w:bodyDiv w:val="1"/>
      <w:marLeft w:val="0"/>
      <w:marRight w:val="0"/>
      <w:marTop w:val="0"/>
      <w:marBottom w:val="0"/>
      <w:divBdr>
        <w:top w:val="none" w:sz="0" w:space="0" w:color="auto"/>
        <w:left w:val="none" w:sz="0" w:space="0" w:color="auto"/>
        <w:bottom w:val="none" w:sz="0" w:space="0" w:color="auto"/>
        <w:right w:val="none" w:sz="0" w:space="0" w:color="auto"/>
      </w:divBdr>
    </w:div>
    <w:div w:id="1367412916">
      <w:bodyDiv w:val="1"/>
      <w:marLeft w:val="0"/>
      <w:marRight w:val="0"/>
      <w:marTop w:val="0"/>
      <w:marBottom w:val="0"/>
      <w:divBdr>
        <w:top w:val="none" w:sz="0" w:space="0" w:color="auto"/>
        <w:left w:val="none" w:sz="0" w:space="0" w:color="auto"/>
        <w:bottom w:val="none" w:sz="0" w:space="0" w:color="auto"/>
        <w:right w:val="none" w:sz="0" w:space="0" w:color="auto"/>
      </w:divBdr>
    </w:div>
    <w:div w:id="1634016596">
      <w:bodyDiv w:val="1"/>
      <w:marLeft w:val="0"/>
      <w:marRight w:val="0"/>
      <w:marTop w:val="0"/>
      <w:marBottom w:val="0"/>
      <w:divBdr>
        <w:top w:val="none" w:sz="0" w:space="0" w:color="auto"/>
        <w:left w:val="none" w:sz="0" w:space="0" w:color="auto"/>
        <w:bottom w:val="none" w:sz="0" w:space="0" w:color="auto"/>
        <w:right w:val="none" w:sz="0" w:space="0" w:color="auto"/>
      </w:divBdr>
    </w:div>
    <w:div w:id="1647590542">
      <w:bodyDiv w:val="1"/>
      <w:marLeft w:val="0"/>
      <w:marRight w:val="0"/>
      <w:marTop w:val="0"/>
      <w:marBottom w:val="0"/>
      <w:divBdr>
        <w:top w:val="none" w:sz="0" w:space="0" w:color="auto"/>
        <w:left w:val="none" w:sz="0" w:space="0" w:color="auto"/>
        <w:bottom w:val="none" w:sz="0" w:space="0" w:color="auto"/>
        <w:right w:val="none" w:sz="0" w:space="0" w:color="auto"/>
      </w:divBdr>
    </w:div>
    <w:div w:id="1919049080">
      <w:bodyDiv w:val="1"/>
      <w:marLeft w:val="0"/>
      <w:marRight w:val="0"/>
      <w:marTop w:val="0"/>
      <w:marBottom w:val="0"/>
      <w:divBdr>
        <w:top w:val="none" w:sz="0" w:space="0" w:color="auto"/>
        <w:left w:val="none" w:sz="0" w:space="0" w:color="auto"/>
        <w:bottom w:val="none" w:sz="0" w:space="0" w:color="auto"/>
        <w:right w:val="none" w:sz="0" w:space="0" w:color="auto"/>
      </w:divBdr>
    </w:div>
    <w:div w:id="208294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2266</Words>
  <Characters>12920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SINGH</dc:creator>
  <cp:keywords/>
  <dc:description/>
  <cp:lastModifiedBy>RISHIKA SINGH</cp:lastModifiedBy>
  <cp:revision>1</cp:revision>
  <dcterms:created xsi:type="dcterms:W3CDTF">2024-06-20T08:57:00Z</dcterms:created>
  <dcterms:modified xsi:type="dcterms:W3CDTF">2024-06-20T09:48:00Z</dcterms:modified>
</cp:coreProperties>
</file>