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/>
        <w:spacing w:after="40" w:before="0" w:line="288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05CA9"/>
          <w:sz w:val="34"/>
          <w:szCs w:val="34"/>
        </w:rPr>
        <w:t xml:space="preserve">Plano Estratégico de Ação n.º 2</w:t>
      </w:r>
    </w:p>
    <w:p>
      <w:pPr>
        <w:keepLines/>
        <w:spacing w:after="30" w:before="0" w:line="288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A1A1A"/>
          <w:sz w:val="21"/>
          <w:szCs w:val="21"/>
        </w:rPr>
        <w:t xml:space="preserve">Ocorrência n.º 20261158256 — Classificação 3102 (Incêndio Rural)</w:t>
      </w:r>
    </w:p>
    <w:p>
      <w:pPr>
        <w:keepLines/>
        <w:spacing w:after="60" w:before="0" w:line="288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404040"/>
          <w:sz w:val="21"/>
          <w:szCs w:val="21"/>
        </w:rPr>
        <w:t xml:space="preserve">Castedo · Torre de Moncorvo — Em Curso</w:t>
      </w:r>
    </w:p>
    <w:p>
      <w:pPr>
        <w:keepLines/>
        <w:spacing w:after="100" w:before="0" w:line="288"/>
        <w:jc w:val="righ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>Aprovado — O COS: _______________________</w:t>
      </w:r>
    </w:p>
    <w:tbl>
      <w:tblPr>
        <w:tblW w:type="dxa" w:w="921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</w:tblGrid>
      <w:tr>
        <w:trPr>
          <w:trHeight w:val="140" w:hRule="exact"/>
        </w:trPr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</w:tr>
    </w:tbl>
    <w:p>
      <w:pPr>
        <w:keepLines/>
        <w:spacing w:after="60" w:before="0" w:line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tbl>
      <w:tblPr>
        <w:tblW w:type="dxa" w:w="9200"/>
        <w:tblBorders>
          <w:top w:val="single" w:color="404040" w:sz="6"/>
          <w:left w:val="single" w:color="404040" w:sz="6"/>
          <w:bottom w:val="single" w:color="404040" w:sz="6"/>
          <w:right w:val="single" w:color="404040" w:sz="6"/>
          <w:insideH w:val="single" w:color="404040" w:sz="6"/>
          <w:insideV w:val="single" w:color="404040" w:sz="6"/>
        </w:tblBorders>
      </w:tblPr>
      <w:tblGrid>
        <w:gridCol w:w="2300"/>
        <w:gridCol w:w="2300"/>
        <w:gridCol w:w="2300"/>
        <w:gridCol w:w="2300"/>
      </w:tblGrid>
      <w:tr>
        <w:trPr>
          <w:cantSplit/>
        </w:trP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Elaborado (GDH):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172130AGO26</w:t>
            </w:r>
          </w:p>
        </w:tc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Nome do COS: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____________________</w:t>
            </w:r>
          </w:p>
        </w:tc>
      </w:tr>
      <w:tr>
        <w:trPr>
          <w:cantSplit/>
        </w:trPr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Válido até (GDH):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180800AGO26</w:t>
            </w:r>
          </w:p>
        </w:tc>
        <w:tc>
          <w:tcPr>
            <w:tcW w:type="dxa" w:w="23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Substitui o PEA:</w:t>
            </w:r>
          </w:p>
        </w:tc>
        <w:tc>
          <w:tcPr>
            <w:tcW w:type="dxa" w:w="2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N.º 1</w:t>
            </w:r>
          </w:p>
        </w:tc>
      </w:tr>
    </w:tbl>
    <w:p>
      <w:pPr>
        <w:keepLines/>
        <w:spacing w:after="60" w:before="0" w:line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tbl>
      <w:tblPr>
        <w:tblW w:type="dxa" w:w="9200"/>
        <w:tblBorders>
          <w:top w:val="single" w:color="404040" w:sz="6"/>
          <w:left w:val="single" w:color="404040" w:sz="6"/>
          <w:bottom w:val="single" w:color="404040" w:sz="6"/>
          <w:right w:val="single" w:color="404040" w:sz="6"/>
          <w:insideH w:val="single" w:color="404040" w:sz="6"/>
          <w:insideV w:val="single" w:color="404040" w:sz="6"/>
        </w:tblBorders>
      </w:tblPr>
      <w:tblGrid>
        <w:gridCol w:w="1000"/>
        <w:gridCol w:w="900"/>
        <w:gridCol w:w="650"/>
        <w:gridCol w:w="1500"/>
        <w:gridCol w:w="2750"/>
        <w:gridCol w:w="800"/>
        <w:gridCol w:w="1600"/>
      </w:tblGrid>
      <w:tr>
        <w:trPr>
          <w:cantSplit/>
        </w:trPr>
        <w:tc>
          <w:tcPr>
            <w:tcW w:type="dxa" w:w="1000"/>
            <w:shd w:fill="005CA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PCO</w:t>
            </w:r>
          </w:p>
        </w:tc>
        <w:tc>
          <w:tcPr>
            <w:tcW w:type="dxa" w:w="9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Fase</w:t>
            </w:r>
          </w:p>
        </w:tc>
        <w:tc>
          <w:tcPr>
            <w:tcW w:type="dxa" w:w="6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E84E0F"/>
                <w:sz w:val="21"/>
                <w:szCs w:val="21"/>
              </w:rPr>
              <w:t xml:space="preserve">IV</w:t>
            </w:r>
          </w:p>
        </w:tc>
        <w:tc>
          <w:tcPr>
            <w:tcW w:type="dxa" w:w="15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Coordenadas</w:t>
            </w:r>
          </w:p>
        </w:tc>
        <w:tc>
          <w:tcPr>
            <w:tcW w:type="dxa" w:w="275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N 41º 12’ 10’’  W 007º 12’ 53’’</w:t>
            </w:r>
          </w:p>
        </w:tc>
        <w:tc>
          <w:tcPr>
            <w:tcW w:type="dxa" w:w="8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Local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Vilarinho da Castanheira</w:t>
            </w:r>
          </w:p>
        </w:tc>
      </w:tr>
    </w:tbl>
    <w:p>
      <w:pPr>
        <w:keepLines/>
        <w:spacing w:after="60" w:before="0" w:line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shd w:fill="3AAA3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Célula de Planeamento</w:t>
            </w:r>
          </w:p>
        </w:tc>
      </w:tr>
    </w:tbl>
    <w:tbl>
      <w:tblPr>
        <w:tblW w:type="dxa" w:w="9200"/>
        <w:tblBorders>
          <w:top w:val="single" w:color="404040" w:sz="6"/>
          <w:left w:val="single" w:color="404040" w:sz="6"/>
          <w:bottom w:val="single" w:color="404040" w:sz="6"/>
          <w:right w:val="single" w:color="404040" w:sz="6"/>
          <w:insideH w:val="single" w:color="404040" w:sz="6"/>
          <w:insideV w:val="single" w:color="404040" w:sz="6"/>
        </w:tblBorders>
      </w:tblPr>
      <w:tblGrid>
        <w:gridCol w:w="580"/>
        <w:gridCol w:w="8620"/>
      </w:tblGrid>
      <w:tr>
        <w:tc>
          <w:tcPr>
            <w:tcW w:type="dxa" w:w="5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C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É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L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U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L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A</w:t>
            </w:r>
          </w:p>
          <w:p>
            <w:pPr>
              <w:keepLines/>
              <w:spacing w:after="6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 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D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E</w:t>
            </w:r>
          </w:p>
          <w:p>
            <w:pPr>
              <w:keepLines/>
              <w:spacing w:after="6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 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P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L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A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N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E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A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M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E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N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T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3AAA35"/>
                <w:sz w:val="19"/>
                <w:szCs w:val="19"/>
              </w:rPr>
              <w:t xml:space="preserve">O</w:t>
            </w:r>
          </w:p>
        </w:tc>
        <w:tc>
          <w:tcPr>
            <w:tcW w:type="dxa" w:w="8620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8620"/>
              <w:tblBorders>
                <w:top w:val="single" w:color="404040" w:sz="6"/>
                <w:left w:val="single" w:color="404040" w:sz="6"/>
                <w:bottom w:val="single" w:color="404040" w:sz="6"/>
                <w:right w:val="single" w:color="404040" w:sz="6"/>
                <w:insideH w:val="single" w:color="404040" w:sz="6"/>
                <w:insideV w:val="single" w:color="404040" w:sz="6"/>
              </w:tblBorders>
            </w:tblPr>
            <w:tblGrid>
              <w:gridCol w:w="1480"/>
              <w:gridCol w:w="7140"/>
            </w:tblGrid>
            <w:tr>
              <w:tc>
                <w:tcPr>
                  <w:tcW w:type="dxa" w:w="1480"/>
                  <w:shd w:fill="F2F2F2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keepLines/>
                    <w:spacing w:after="0" w:before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Situação</w:t>
                  </w:r>
                </w:p>
              </w:tc>
              <w:tc>
                <w:tcPr>
                  <w:tcW w:type="dxa" w:w="714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C00000"/>
                      <w:sz w:val="21"/>
                      <w:szCs w:val="21"/>
                    </w:rPr>
                    <w:t xml:space="preserve">POSIT: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Incêndio ativo com perímetro de 1865 ha; cerca de 80 % do perímetro em consolidação e uma frente ativa no quadrante sul, sobre a povoação de Lousa; pontos quentes dispersos no bordo O/NO. Empenhados 55 meios terrestres, 6 meios aéreos e 396 operacionais.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C00000"/>
                      <w:sz w:val="21"/>
                      <w:szCs w:val="21"/>
                    </w:rPr>
                    <w:t xml:space="preserve">POSIT Setor Alfa: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setor em consolidação e rescaldo; 22 meios / 166 operacionais; sem frente ativa.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C00000"/>
                      <w:sz w:val="21"/>
                      <w:szCs w:val="21"/>
                    </w:rPr>
                    <w:t xml:space="preserve">POSIT Setor Bravo: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setor em consolidação; 7 meios / 69 operacionais; é o setor com menor densidade de meios do TO, pelo que qualquer atribuição da frente sul a este setor exige reforço prévio da reserva.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C00000"/>
                      <w:sz w:val="21"/>
                      <w:szCs w:val="21"/>
                    </w:rPr>
                    <w:t xml:space="preserve">POSIT Setor Charlie: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uma frente ativa a ceder a meios em direção a Lousa, em encosta descendente com progressão condicionada pelos acessos; 12 meios / 43 operacionais; meios ANEPC (VTTP01, VOPE04, COM3) posicionados na defesa do aglomerado.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C00000"/>
                      <w:sz w:val="21"/>
                      <w:szCs w:val="21"/>
                    </w:rPr>
                    <w:t xml:space="preserve">POSIT Meios Aéreos: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6 aeronaves; último ciclo de descargas do dia integralmente empenhado na frente sul até ao ocaso (~20h45); reativação prevista ao nascer do sol (~06h45).</w:t>
                  </w:r>
                </w:p>
              </w:tc>
            </w:tr>
            <w:tr>
              <w:tc>
                <w:tcPr>
                  <w:tcW w:type="dxa" w:w="1480"/>
                  <w:shd w:fill="F2F2F2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keepLines/>
                    <w:spacing w:after="0" w:before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Análise das ZI</w:t>
                  </w:r>
                </w:p>
              </w:tc>
              <w:tc>
                <w:tcPr>
                  <w:tcW w:type="dxa" w:w="714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O perímetro de 1865 ha impõe distâncias internas significativas entre pontos de ancoragem, dificultando a movimentação e reposição de meios nos setores e a progressão de máquinas de rasto nas vertentes que descem para o Douro. Esta realidade fundamenta a opção por um esforço concentrado numa única frente de cada vez, em lugar da dispersão do dispositivo.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A orografia de planalto sobre vales encaixados orientados a sul coloca a frente ativa de Lousa em alinhamento total com os eixos descendentes das encostas, que coincidem com o escoamento catabático noturno previsto. Fogo, declive e vento alinhados no mesmo eixo constituem o cenário clássico de progressão noturna sustentada, ainda que lenta, pelo que a frente sul não se extinguirá sozinha durante a noite.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O combustível fino morto encontra-se em extrema secura: com HR de 16 % ao fim do dia, o teor de humidade estima-se inferior a 6 %, plenamente disponível para a combustão. A recuperação noturna prevista (máximo de 66 % às 07h00) elevará este teor apenas temporariamente, com nova secagem completa até às 12h00 de 18AGO. Este ciclo humedecimento-secagem justifica a concentração do esforço ofensivo na janela noturna e a urgência da liquidação dos pontos quentes antes do meio-dia.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Cintura térmica: nas encostas para Lousa, a meia-encosta permanecerá durante a noite mais quente e seca do que o fundo do vale, por efeito da inversão térmica que acumula ar frio no fundo e mantém ar quente residual a meia altura. A frente pode assim manter atividade a meia-encosta mesmo com a humidade de vale em recuperação, pelo que as leituras de HR feitas junto ao PCO ou no fundo do vale não devem ser extrapoladas para toda a vertente.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Rede viária de apoio: N324, EM623/EM624 e CM1143/CM1144. A linha de contenção sul apoia-se no CM1143, valorizando a rede existente como ancoragem, por ser mais rápida e segura do que a abertura de linha nova em encosta durante a noite. Caminhos internos com combustível nas bermas exigem prudência na circulação.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Aglomerados expostos: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Lousa (prioridade imediata, no eixo da frente ativa) e Cabeça Boa (vigilância).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C00000"/>
                      <w:sz w:val="21"/>
                      <w:szCs w:val="21"/>
                    </w:rPr>
                    <w:t xml:space="preserve">ATENÇÃO: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com a rotação do vento para SE prevista para as 11h00 de 18AGO, o bordo O/NO do perímetro pode virar cabeça. Tudo o que não estiver consolidado até às 09h00 enfrentará 38 °C, HR de 19 % e vento alinhado — a noite de hoje decide a tarde de amanhã.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Presença de civis e trânsito nas vias próximas do TO; fumo residual a condicionar a visibilidade em zonas de vale.</w:t>
                  </w:r>
                </w:p>
              </w:tc>
            </w:tr>
            <w:tr>
              <w:tc>
                <w:tcPr>
                  <w:tcW w:type="dxa" w:w="1480"/>
                  <w:shd w:fill="F2F2F2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keepLines/>
                    <w:spacing w:after="0" w:before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Previsão</w:t>
                  </w:r>
                </w:p>
              </w:tc>
              <w:tc>
                <w:tcPr>
                  <w:tcW w:type="dxa" w:w="714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keepLines/>
                    <w:spacing w:after="6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005CA9"/>
                      <w:sz w:val="21"/>
                      <w:szCs w:val="21"/>
                    </w:rPr>
                    <w:t xml:space="preserve">Proposta do planeamento: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005CA9"/>
                      <w:sz w:val="21"/>
                      <w:szCs w:val="21"/>
                    </w:rPr>
                    <w:t xml:space="preserve">P1 —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Empenhamento total dos meios aéreos na frente sul (Lousa) até ao ocaso (~20h45); reativação ao nascer do sol (~06h45) com prioridade aos pontos quentes do bordo O/NO e ao fecho da frente sul se ainda ativa.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a frente de Lousa é a única que a noite vai alimentar; cada descarga antes do ocaso reduz a intensidade com que os catabáticos a vão empurrar.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005CA9"/>
                      <w:sz w:val="21"/>
                      <w:szCs w:val="21"/>
                    </w:rPr>
                    <w:t xml:space="preserve">P2 —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Postura defensiva na frente sul no período 21h00–03h00: contenção do avanço descendente sem ataque direto em encosta com catabático estabelecido; defesa do aglomerado de Lousa com os meios posicionados.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com HR ainda entre 24 % e 46 % e vento descendente, o ataque direto em encosta é ineficaz e perigoso; a doutrina LACES impõe rotas de fuga que a noite e o declive não garantem.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005CA9"/>
                      <w:sz w:val="21"/>
                      <w:szCs w:val="21"/>
                    </w:rPr>
                    <w:t xml:space="preserve">P3 —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Empenhamento da reserva (21 meios / 60 op.) no ataque direto à frente sul na janela de consolidação 03h00–08h00, com máquinas de rasto na consolidação da linha CM1143; objetivo: frente dominada e perímetro sul fechado até às 08h00.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entre as 03h00 e as 08h00 a HR sobe de 51 % para 66 % e a temperatura cai para 15 °C — o combustível fino absorve humidade e a intensidade de chama atinge o mínimo do ciclo; é a única janela em que o ataque direto tem vantagem clara.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005CA9"/>
                      <w:sz w:val="21"/>
                      <w:szCs w:val="21"/>
                    </w:rPr>
                    <w:t xml:space="preserve">P4 —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Liquidação sistemática dos pontos quentes do bordo O/NO durante a noite, obrigatoriamente concluída antes da rotação do vento para SE (11h00 de 18AGO), com equipas ligeiras e vigias.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após a rotação SE, o bordo O/NO fica a sotavento do perímetro ardido e qualquer ponto quente vira potencial nova cabeça com 38 °C e HR 19 %.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005CA9"/>
                      <w:sz w:val="21"/>
                      <w:szCs w:val="21"/>
                    </w:rPr>
                    <w:t xml:space="preserve">P5 —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Vigilância ativa com vigias em todos os setores; pontos de situação obrigatórios ao PCO às 21h00, 00h00, 03h00, 06h00 e 08h00.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a deteção precoce de reativações durante a noite custa uma equipa ligeira; a mesma reativação descoberta às 14h00 de amanhã custa um grupo de combate.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005CA9"/>
                      <w:sz w:val="21"/>
                      <w:szCs w:val="21"/>
                    </w:rPr>
                    <w:t xml:space="preserve">P6 —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Rendições faseadas com meios frescos às 03h00 e às 08h00; reposicionamento do dispositivo para o bordo O/NO antes das 11h00 de 18AGO.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é o terceiro dia de episódio de calor; equipas exaustas na fase crítica da tarde de 18AGO são um risco de segurança e uma perda de capacidade precisamente quando ela será mais necessária.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005CA9"/>
                      <w:sz w:val="21"/>
                      <w:szCs w:val="21"/>
                    </w:rPr>
                    <w:t xml:space="preserve">P7 —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Defesas perimétricas aos pontos sensíveis; confinamento ou evacuação nas aldeias validadas pelo ERAS, em articulação com SMPC, INEM, CVP e GNR.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competência do COS nos termos do art. 8.º, n.º 2, als. l) e m), do Despacho n.º 4067/2024, em coordenação com as forças de segurança.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005CA9"/>
                      <w:sz w:val="21"/>
                      <w:szCs w:val="21"/>
                    </w:rPr>
                    <w:t xml:space="preserve">P8 —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A partir das 14h00 de 18AGO, acompanhamento de descargas elétricas (IPMA); se confirmado desenvolvimento convectivo, retirada das equipas de zonas alinhadas e reavaliação imediata.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o modelo assinala precipitação residual (0,12 mm) às 17h00–18h00 com rotação S/SO — assinatura convectiva com risco de rajadas erráticas e ignições por raio fora do perímetro.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005CA9"/>
                      <w:sz w:val="21"/>
                      <w:szCs w:val="21"/>
                    </w:rPr>
                    <w:t xml:space="preserve">P9 —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Reduzir ao máximo o uso de fogo de supressão; sem validação do COS está proibida qualquer manobra. </w:t>
                  </w:r>
                  <w:r>
                    <w:rPr>
                      <w:rFonts w:ascii="Calibri" w:cs="Calibri" w:eastAsia="Calibri" w:hAnsi="Calibri"/>
                      <w:b/>
                      <w:bCs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Fundamento: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595959"/>
                      <w:sz w:val="21"/>
                      <w:szCs w:val="21"/>
                    </w:rPr>
                    <w:t xml:space="preserve">com combustível a menos de 6 % de humidade e rotação de vento prevista, qualquer fogo tático não validado é um risco inaceitável de perda de controlo.</w:t>
                  </w:r>
                </w:p>
                <w:p>
                  <w:pPr>
                    <w:keepLines/>
                    <w:spacing w:after="60" w:before="8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005CA9"/>
                      <w:sz w:val="21"/>
                      <w:szCs w:val="21"/>
                    </w:rPr>
                    <w:t xml:space="preserve">A nível meteorológico prevê-se (GDPS/ECCC 15 km, ponto 41,20 N 7,20 W; SpotWX; avisos IPMA):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HR %: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16 % às 19h00; recuperação noturna acima do padrão do episódio — 28 % (22h00), 37 % (00h00), 51 % (03h00), máximo de 66 % (07h00); colapso rápido após as 09h00 de 18AGO: 38 % (10h00), 29 % (12h00), mínimo de 19 % às 16h00.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Temperatura: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36 °C ao fim do dia; mínima de 15 °C às 07h00; máxima de 38,4 °C às 16h00 de 18AGO — o dia de amanhã será cerca de 2 °C mais severo do que o de hoje.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Vento: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NE fraco até às 20h00; rotação para N às 21h00 com colapso do gradiente (1–3 km/h) e estabelecimento de drenagem noturna N/NNO até às 08h00; rotação para ESE/SE às 11h00 de 18AGO com novo alinhamento sobre o bordo O/NO; rotação S/SO com precipitação residual às 17h00–18h00 de 18AGO, compatível com atividade convectiva.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C00000"/>
                      <w:sz w:val="21"/>
                      <w:szCs w:val="21"/>
                    </w:rPr>
                    <w:t xml:space="preserve">Perigo específico: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o modelo de 15 km não resolve as circulações de vale — os catabáticos reais nas encostas para Lousa serão superiores aos valores tabelados, com período de máxima instabilidade de comportamento entre as 21h00 e as 22h00, na transição de regime de vento. Validação permanente por observação local em todos os setores.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3AAA35"/>
                      <w:sz w:val="21"/>
                      <w:szCs w:val="21"/>
                    </w:rPr>
                    <w:t xml:space="preserve">Janela de consolidação: 03h00–08h00 de 18AGO.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Fecho definitivo às 08h00, com revisão obrigatória do presente PEA.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shd w:fill="005CA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Célula de Operações</w:t>
            </w:r>
          </w:p>
        </w:tc>
      </w:tr>
    </w:tbl>
    <w:tbl>
      <w:tblPr>
        <w:tblW w:type="dxa" w:w="9200"/>
        <w:tblBorders>
          <w:top w:val="single" w:color="404040" w:sz="6"/>
          <w:left w:val="single" w:color="404040" w:sz="6"/>
          <w:bottom w:val="single" w:color="404040" w:sz="6"/>
          <w:right w:val="single" w:color="404040" w:sz="6"/>
          <w:insideH w:val="single" w:color="404040" w:sz="6"/>
          <w:insideV w:val="single" w:color="404040" w:sz="6"/>
        </w:tblBorders>
      </w:tblPr>
      <w:tblGrid>
        <w:gridCol w:w="580"/>
        <w:gridCol w:w="8620"/>
      </w:tblGrid>
      <w:tr>
        <w:tc>
          <w:tcPr>
            <w:tcW w:type="dxa" w:w="5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C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É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L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U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L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A</w:t>
            </w:r>
          </w:p>
          <w:p>
            <w:pPr>
              <w:keepLines/>
              <w:spacing w:after="6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 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D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E</w:t>
            </w:r>
          </w:p>
          <w:p>
            <w:pPr>
              <w:keepLines/>
              <w:spacing w:after="6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 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O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P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E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R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A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Ç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Õ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E</w:t>
            </w:r>
          </w:p>
          <w:p>
            <w:pPr>
              <w:keepLines/>
              <w:spacing w:after="0" w:before="0" w:line="20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19"/>
                <w:szCs w:val="19"/>
              </w:rPr>
              <w:t xml:space="preserve">S</w:t>
            </w:r>
          </w:p>
        </w:tc>
        <w:tc>
          <w:tcPr>
            <w:tcW w:type="dxa" w:w="8620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8620"/>
              <w:tblBorders>
                <w:top w:val="single" w:color="404040" w:sz="6"/>
                <w:left w:val="single" w:color="404040" w:sz="6"/>
                <w:bottom w:val="single" w:color="404040" w:sz="6"/>
                <w:right w:val="single" w:color="404040" w:sz="6"/>
                <w:insideH w:val="single" w:color="404040" w:sz="6"/>
                <w:insideV w:val="single" w:color="404040" w:sz="6"/>
              </w:tblBorders>
            </w:tblPr>
            <w:tblGrid>
              <w:gridCol w:w="1480"/>
              <w:gridCol w:w="7140"/>
            </w:tblGrid>
            <w:tr>
              <w:tc>
                <w:tcPr>
                  <w:tcW w:type="dxa" w:w="1480"/>
                  <w:shd w:fill="F2F2F2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keepLines/>
                    <w:spacing w:after="0" w:before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Organização do TO</w:t>
                  </w:r>
                </w:p>
              </w:tc>
              <w:tc>
                <w:tcPr>
                  <w:tcW w:type="dxa" w:w="714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Zona de sinistro com área muito significativa (1865 ha); SGO na fase IV — 396 operacionais, dentro do intervalo de referência do art. 43.º do Despacho n.º 4067/2024.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COS: ____________________ (em fase IV, comandante de corpo de bombeiros designado pelo comandante sub-regional ou elemento da estrutura operacional da ANEPC).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Coordenador do posto de comando operacional: ____________________.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Oficial de Operações: ____________________; Oficial de Planeamento: ____________________; Oficial de Logística e Finanças: ____________________.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Adjunto de Segurança: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____________________ — elabora a componente de segurança do presente PEA e detém autoridade, conferida pelo COS nos termos do art. 36.º, para ordenar a cessação de trabalhos que comprometam a segurança. Adjunto de Ligação: ____________________ (oficiais de ligação GNR/FA no PCO). Adjunto de Relações Públicas: ____________________.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Núcleo de monitorização e controlo: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3AAA35"/>
                      <w:sz w:val="21"/>
                      <w:szCs w:val="21"/>
                    </w:rPr>
                    <w:t xml:space="preserve">ATIVADO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 (obrigatório em fase IV — art. 18.º); verifica a execução do presente PEA, monitoriza o cumprimento das missões e o empenhamento de meios; fita do tempo em registo permanente pela célula de operações.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Núcleo de meios aéreos: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3AAA35"/>
                      <w:sz w:val="21"/>
                      <w:szCs w:val="21"/>
                    </w:rPr>
                    <w:t xml:space="preserve">ATIVADO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 — OPAR: ____________________; com 6 aeronaves no TO é obrigatória a coordenação por COPAR-A em articulação com COPAR-T (art. 20.º, n.os 6 e 7): COPAR-T ____________________; COPAR-A ____________________.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ERAS — EPCO NORTE; núcleo de segurança (GNR) e núcleo de emergência médica (INEM) ativados junto do oficial de operações.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005CA9"/>
                      <w:sz w:val="21"/>
                      <w:szCs w:val="21"/>
                    </w:rPr>
                    <w:t xml:space="preserve">Setor Alfa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— Cmd: C01 DR; Tát: T01 DR; Man: M01 DR (2.º Cmdt CB Torre de Moncorvo — 914 546 334); 22 meios / 166 op.: GRIR 01 Centro, GRIR 01 DR, GRIR 01 Alentejo, BCIN 03 DR, CATE Viseu, BMR15 ICNF, MR01_CM, 2 VFCI Torre de Moncorvo, VCOT 02.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005CA9"/>
                      <w:sz w:val="21"/>
                      <w:szCs w:val="21"/>
                    </w:rPr>
                    <w:t xml:space="preserve">Setor Bravo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— Tát: T02 DR; Man: M02 DR (Cmdt CB Sanfins do Douro — 969 941 945); 7 meios / 69 op.: BCIN 04 DR, BRIR 01 BSE, GRIR Aveiro, VTTU 01 Carrazeda.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005CA9"/>
                      <w:sz w:val="21"/>
                      <w:szCs w:val="21"/>
                    </w:rPr>
                    <w:t xml:space="preserve">Setor Charlie 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— Tát: T03 DR; Man: M04 DR (Cmdt CB Mesão Frio — 964 330 195); 12 meios / 43 op.: GCIN 01 DR, B. Máq. RE3, Grupo Cald., VFCI06 CRZ, VCOT 02 Mesão Frio, VCOT-01 Murça, veículo de reforço.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Reserva — 21 meios / 60 op. + 2 meios sem setor (B01/B05, H12), no local estratégico de reserva sob gestão da célula de logística e finanças; ZA — 3 meios / 25 op.; disponíveis fora do TO — 27 meios; apoio no PCO: EPCO INEM, EAUF 02, VCOT 10 ANEPC, SMPC, ERAS ENB-01, ABSC CVP.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Plano de comunicações: COM 1 — ______ (elaborado pelo núcleo de comunicações e sistemas de informação da célula de logística e finanças, para aprovação do COS — art. 34.º); ligação PCO — Central BV Moncorvo 279 200 200; redundância SIRESP e contactos dos comandantes de setor.</w:t>
                  </w:r>
                </w:p>
              </w:tc>
            </w:tr>
            <w:tr>
              <w:tc>
                <w:tcPr>
                  <w:tcW w:type="dxa" w:w="1480"/>
                  <w:shd w:fill="F2F2F2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keepLines/>
                    <w:spacing w:after="0" w:before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Objetivo</w:t>
                  </w:r>
                </w:p>
              </w:tc>
              <w:tc>
                <w:tcPr>
                  <w:tcW w:type="dxa" w:w="714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C00000"/>
                      <w:sz w:val="21"/>
                      <w:szCs w:val="21"/>
                    </w:rPr>
                    <w:t xml:space="preserve">Dominar a frente ativa sul (Lousa) e fechar o perímetro sul até às 08h00 de 18AGO26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, com empenho da reserva na janela de consolidação 03h00–08h00; 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C00000"/>
                      <w:sz w:val="21"/>
                      <w:szCs w:val="21"/>
                    </w:rPr>
                    <w:t xml:space="preserve">liquidar os pontos quentes do bordo O/NO antes da rotação do vento para SE (11h00 de 18AGO26)</w:t>
                  </w: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. O tempo-limite não é administrativo: decorre diretamente do ciclo meteorológico — após as 08h00 a janela fecha e após as 11h00 o vento passa a trabalhar contra o dispositivo.</w:t>
                  </w:r>
                </w:p>
              </w:tc>
            </w:tr>
            <w:tr>
              <w:tc>
                <w:tcPr>
                  <w:tcW w:type="dxa" w:w="1480"/>
                  <w:shd w:fill="F2F2F2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keepLines/>
                    <w:spacing w:after="0" w:before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Segurança das forças</w:t>
                  </w:r>
                </w:p>
              </w:tc>
              <w:tc>
                <w:tcPr>
                  <w:tcW w:type="dxa" w:w="714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Implementação do protocolo LACES (vigias, comunicações, rotas de fuga, zonas de segurança) e EPI florestal obrigatório em todos os setores.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C00000"/>
                      <w:sz w:val="21"/>
                      <w:szCs w:val="21"/>
                    </w:rPr>
                    <w:t xml:space="preserve">Proibição de ataque direto descendente em encosta com catabático estabelecido sem rota de fuga e zona de segurança confirmadas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 — o fogo descendente noturno é lento mas persistente, e a encosta que ajuda a chama a descer é a mesma que atrasa a fuga de quem trabalha abaixo dela.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E84E0F"/>
                      <w:sz w:val="21"/>
                      <w:szCs w:val="21"/>
                    </w:rPr>
                    <w:t xml:space="preserve">Período de máxima atenção: 21h00–22h00</w:t>
                  </w: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 — colapso do gradiente e transição de regime de vento, com comportamento errático previsível; nenhuma equipa deve mudar de posição neste período sem validação do comandante de setor.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Implantação do plano Aldeia Segura; interdição das vias de acesso à zona da ocorrência pelas forças de segurança, por solicitação do COS (art. 23.º).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Hidratação de todas as equipas e períodos de descanso garantidos: é o terceiro dia de episódio de calor e o dia de 18AGO será mais severo do que o de hoje.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Maquinaria pesada sempre articulada com meios humanos, devido à visibilidade reduzida pelo fumo e ao trabalho noturno.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Trabalho noturno: iluminação individual, movimentação em equipa, atenção a árvores enfraquecidas e piso instável em zona ardida.</w:t>
                  </w:r>
                </w:p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A partir das 14h00 de 18AGO, vigilância convectiva: se confirmada trovoada, retirada imediata das zonas alinhadas e suspensão de operações em cumeada até avaliação do PCO. O adjunto de segurança tem autoridade para ordenar a cessação de trabalhos (art. 36.º, n.º 2).</w:t>
                  </w:r>
                </w:p>
              </w:tc>
            </w:tr>
            <w:tr>
              <w:tc>
                <w:tcPr>
                  <w:tcW w:type="dxa" w:w="1480"/>
                  <w:shd w:fill="F2F2F2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center"/>
                </w:tcPr>
                <w:p>
                  <w:pPr>
                    <w:keepLines/>
                    <w:spacing w:after="0" w:before="0" w:line="252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Reservas</w:t>
                  </w:r>
                </w:p>
              </w:tc>
              <w:tc>
                <w:tcPr>
                  <w:tcW w:type="dxa" w:w="7140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keepLines/>
                    <w:spacing w:after="100" w:before="0" w:line="288"/>
                    <w:jc w:val="both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1A1A1A"/>
                      <w:sz w:val="21"/>
                      <w:szCs w:val="21"/>
                    </w:rPr>
                    <w:t xml:space="preserve">Reserva de 21 meios / 60 operacionais pré-posicionada no local estratégico de reserva a partir das 01h00, para empenho na janela 03h00–08h00; 27 meios disponíveis fora do TO para reforço imediato; articulação com os SMPC de Carrazeda de Ansiães e Torre de Moncorvo. A reserva não é um excedente: é o instrumento da ação decisiva e o seguro da fase crítica da tarde de 18AGO.</w:t>
                  </w:r>
                </w:p>
              </w:tc>
            </w:tr>
          </w:tbl>
          <w:p/>
        </w:tc>
      </w:tr>
    </w:tbl>
    <w:p>
      <w:pPr>
        <w:keepLines/>
        <w:spacing w:after="60" w:before="0" w:line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shd w:fill="005CA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Missões</w:t>
            </w:r>
          </w:p>
        </w:tc>
      </w:tr>
    </w:tbl>
    <w:tbl>
      <w:tblPr>
        <w:tblW w:type="dxa" w:w="9200"/>
        <w:tblBorders>
          <w:top w:val="single" w:color="404040" w:sz="6"/>
          <w:left w:val="single" w:color="404040" w:sz="6"/>
          <w:bottom w:val="single" w:color="404040" w:sz="6"/>
          <w:right w:val="single" w:color="404040" w:sz="6"/>
          <w:insideH w:val="single" w:color="404040" w:sz="6"/>
          <w:insideV w:val="single" w:color="404040" w:sz="6"/>
        </w:tblBorders>
      </w:tblPr>
      <w:tblGrid>
        <w:gridCol w:w="1700"/>
        <w:gridCol w:w="4300"/>
        <w:gridCol w:w="1600"/>
        <w:gridCol w:w="1600"/>
      </w:tblGrid>
      <w:tr>
        <w:trPr>
          <w:cantSplit/>
          <w:tblHeader/>
        </w:trPr>
        <w:tc>
          <w:tcPr>
            <w:tcW w:type="dxa" w:w="1700"/>
            <w:shd w:fill="005CA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4300"/>
            <w:shd w:fill="005CA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Missão</w:t>
            </w:r>
          </w:p>
        </w:tc>
        <w:tc>
          <w:tcPr>
            <w:tcW w:type="dxa" w:w="1600"/>
            <w:shd w:fill="005CA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Atribuída a:</w:t>
            </w:r>
          </w:p>
        </w:tc>
        <w:tc>
          <w:tcPr>
            <w:tcW w:type="dxa" w:w="1600"/>
            <w:shd w:fill="005CA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Até (GDH):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00000"/>
                <w:sz w:val="21"/>
                <w:szCs w:val="21"/>
              </w:rPr>
              <w:t xml:space="preserve">Ação decisiva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Dominar a frente sul (Lousa) e fechar o perímetro sul, com empenho da reserva na janela de consolidação 03h00–08h00.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Setores Bravo e Charlie + Reserva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180800AGO26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21"/>
                <w:szCs w:val="21"/>
              </w:rPr>
              <w:t xml:space="preserve">Ação de moldagem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Defesa preventiva do aglomerado de Lousa e contenção defensiva da frente sul no período noturno (21h00–03h00), sem ataque direto descendente com catabático estabelecido.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Setor Charlie + meios ANEPC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180300AGO26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21"/>
                <w:szCs w:val="21"/>
              </w:rPr>
              <w:t xml:space="preserve">Ação de moldagem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Liquidação sistemática dos pontos quentes do bordo O/NO com equipas ligeiras e vigias, concluída antes da rotação do vento para SE.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Setor Alfa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181000AGO26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21"/>
                <w:szCs w:val="21"/>
              </w:rPr>
              <w:t xml:space="preserve">Ação de moldagem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Meios aéreos: último ciclo integral na frente sul até ao ocaso; reativação ao nascer do sol sobre os pontos quentes O/NO e fecho da frente sul.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Meios aéreos (6) — OPAR/COPAR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181100AGO26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005CA9"/>
                <w:sz w:val="21"/>
                <w:szCs w:val="21"/>
              </w:rPr>
              <w:t xml:space="preserve">Ação de moldagem</w:t>
            </w:r>
          </w:p>
        </w:tc>
        <w:tc>
          <w:tcPr>
            <w:tcW w:type="dxa" w:w="4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Rendições faseadas com meios frescos (03h00 e 08h00) e reposicionamento do dispositivo para o bordo O/NO antes das 11h00.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Todos os setores + Reserva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181100AGO26</w:t>
            </w:r>
          </w:p>
        </w:tc>
      </w:tr>
    </w:tbl>
    <w:p>
      <w:r>
        <w:br w:type="page"/>
      </w:r>
    </w:p>
    <w:tbl>
      <w:tblPr>
        <w:tblW w:type="dxa" w:w="9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200"/>
      </w:tblGrid>
      <w:tr>
        <w:tc>
          <w:tcPr>
            <w:tcW w:type="dxa" w:w="9200"/>
            <w:shd w:fill="E84E0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Célula de Logística e Finanças — Plano Logístico</w:t>
            </w:r>
          </w:p>
        </w:tc>
      </w:tr>
    </w:tbl>
    <w:tbl>
      <w:tblPr>
        <w:tblW w:type="dxa" w:w="9200"/>
        <w:tblBorders>
          <w:top w:val="single" w:color="404040" w:sz="6"/>
          <w:left w:val="single" w:color="404040" w:sz="6"/>
          <w:bottom w:val="single" w:color="404040" w:sz="6"/>
          <w:right w:val="single" w:color="404040" w:sz="6"/>
          <w:insideH w:val="single" w:color="404040" w:sz="6"/>
          <w:insideV w:val="single" w:color="404040" w:sz="6"/>
        </w:tblBorders>
      </w:tblPr>
      <w:tblGrid>
        <w:gridCol w:w="3000"/>
        <w:gridCol w:w="3100"/>
        <w:gridCol w:w="3100"/>
      </w:tblGrid>
      <w:tr>
        <w:trPr>
          <w:cantSplit/>
          <w:tblHeader/>
        </w:trPr>
        <w:tc>
          <w:tcPr>
            <w:tcW w:type="dxa" w:w="3000"/>
            <w:shd w:fill="E84E0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Localização</w:t>
            </w:r>
          </w:p>
        </w:tc>
        <w:tc>
          <w:tcPr>
            <w:tcW w:type="dxa" w:w="3100"/>
            <w:shd w:fill="E84E0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Ativado (GDH) / Estado</w:t>
            </w:r>
          </w:p>
        </w:tc>
        <w:tc>
          <w:tcPr>
            <w:tcW w:type="dxa" w:w="3100"/>
            <w:shd w:fill="E84E0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1"/>
                <w:szCs w:val="21"/>
              </w:rPr>
              <w:t xml:space="preserve">Responsável / Contacto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Ponto de Trânsito (obrigatório — art. 7.º)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ATIVO — entrada do TO, EM624 / Vilarinho da Castanheira; reporta ao oficial de logística e finanças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Responsável PT: 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Local Estratégico de Reserva (ZCR)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Ativo — pré-posicionamento da reserva 180100AGO26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Célula de logística e finanças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Área de Alimentação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Reforço noturno: jantar tardio + reforço às 03h00 para as equipas da ação decisiva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Célula de logística e finanças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Área de Apoio Médico-Sanitário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Ativa — EPCO INEM no PCO; ABSC CVP e SIV em prevenção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EPCO INEM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Área de Higiene e Descanso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__________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Área de Manutenção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__________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Área de Reabastecimento (combustíveis, água, consumíveis)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Circuito pela ZA (veículo de abastecimento); confirmar pontos de água a sul (apoio à frente de Lousa) até às 03h00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1"/>
                <w:szCs w:val="21"/>
              </w:rPr>
              <w:t xml:space="preserve">Célula de logística e finanças</w:t>
            </w:r>
          </w:p>
        </w:tc>
      </w:tr>
    </w:tbl>
    <w:p>
      <w:pPr>
        <w:keepLines/>
        <w:spacing w:after="60" w:before="0" w:line="10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1"/>
          <w:szCs w:val="21"/>
        </w:rPr>
        <w:t xml:space="preserve"/>
      </w:r>
    </w:p>
    <w:p>
      <w:pPr>
        <w:keepLines/>
        <w:spacing w:after="100" w:before="0" w:line="288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95959"/>
          <w:sz w:val="17"/>
          <w:szCs w:val="17"/>
        </w:rPr>
        <w:t xml:space="preserve">Previsão elaborada (GDH): 171815AGO26 — válida até (GDH): 181000AGO26. Fonte meteorológica: GDPS/ECCC 15 km via SpotWX; avisos IPMA (aviso laranja — tempo quente, Bragança, até 181800AGO26). Elaborado pela célula de planeamento e aprovado pelo COS nos termos dos arts. 27.º e 46.º do Despacho n.º 4067/2024, de 15 de abril (SGO), conjugado com o Decreto-Lei n.º 90-A/2022, de 30 de dezembro (SIOPS). O presente PEA baseia-se em previsão numérica e no quadro de meios registado na plataforma do PCO; a decisão operacional pertence ao COS, com validação permanente pela observação de terreno.</w:t>
      </w:r>
    </w:p>
    <w:tbl>
      <w:tblPr>
        <w:tblW w:type="dxa" w:w="921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  <w:gridCol w:w="256"/>
      </w:tblGrid>
      <w:tr>
        <w:trPr>
          <w:trHeight w:val="140" w:hRule="exact"/>
        </w:trPr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C000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  <w:tc>
          <w:tcPr>
            <w:tcW w:type="dxa" w:w="25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before="0" w:line="1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8"/>
                <w:szCs w:val="8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Lines/>
      <w:spacing w:after="0" w:before="0" w:line="288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7"/>
        <w:szCs w:val="17"/>
      </w:rPr>
      <w:t xml:space="preserve">PEA n.º 2 — Ocorrência 20261158256 · Castedo — Torre de Moncorvo          </w:t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1A1A1A"/>
        <w:sz w:val="17"/>
        <w:szCs w:val="17"/>
      </w:rPr>
      <w:t xml:space="preserve">Este documento tem carácter: </w:t>
    </w:r>
    <w:r>
      <w:rPr>
        <w:rFonts w:ascii="Calibri" w:cs="Calibri" w:eastAsia="Calibri" w:hAnsi="Calibri"/>
        <w:b/>
        <w:bCs/>
        <w:i w:val="false"/>
        <w:iCs w:val="false"/>
        <w:caps w:val="false"/>
        <w:color w:val="C00000"/>
        <w:sz w:val="17"/>
        <w:szCs w:val="17"/>
      </w:rPr>
      <w:t xml:space="preserve">RESERVADO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2026-08-22T20:44:51.337Z</dcterms:created>
  <dcterms:modified xsi:type="dcterms:W3CDTF">2026-08-22T20:44:51.353Z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