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insoku w:val="0"/>
        <w:overflowPunct w:val="0"/>
        <w:ind w:left="0"/>
        <w:jc w:val="center"/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2020年观湖街道工业企业点位风险评估表</w:t>
      </w:r>
    </w:p>
    <w:p>
      <w:pPr>
        <w:pStyle w:val="2"/>
        <w:kinsoku w:val="0"/>
        <w:overflowPunct w:val="0"/>
        <w:ind w:left="0"/>
        <w:rPr>
          <w:rFonts w:hint="default"/>
          <w:sz w:val="15"/>
          <w:szCs w:val="28"/>
        </w:rPr>
      </w:pPr>
    </w:p>
    <w:tbl>
      <w:tblPr>
        <w:tblStyle w:val="8"/>
        <w:tblW w:w="10361" w:type="dxa"/>
        <w:tblInd w:w="-3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725"/>
        <w:gridCol w:w="1386"/>
        <w:gridCol w:w="990"/>
        <w:gridCol w:w="810"/>
        <w:gridCol w:w="1001"/>
        <w:gridCol w:w="720"/>
        <w:gridCol w:w="240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tblHeader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影响因素</w:t>
            </w:r>
          </w:p>
        </w:tc>
        <w:tc>
          <w:tcPr>
            <w:tcW w:w="2376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判定要素</w:t>
            </w:r>
          </w:p>
        </w:tc>
        <w:tc>
          <w:tcPr>
            <w:tcW w:w="81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赋分标准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实际</w:t>
            </w:r>
            <w:r>
              <w:rPr>
                <w:rFonts w:hint="eastAsia"/>
                <w:b/>
                <w:bCs/>
                <w:sz w:val="22"/>
                <w:szCs w:val="22"/>
              </w:rPr>
              <w:t>状况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tblHeader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具体情况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现场</w:t>
            </w:r>
            <w:r>
              <w:rPr>
                <w:b/>
                <w:bCs/>
                <w:sz w:val="22"/>
                <w:szCs w:val="22"/>
              </w:rPr>
              <w:t>照片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事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故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后</w:t>
            </w: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果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1.重大危险源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{#photoOne}</w:t>
            </w:r>
          </w:p>
          <w:p>
            <w:pPr>
              <w:spacing w:line="262" w:lineRule="auto"/>
              <w:ind w:right="1" w:firstLine="240" w:firstLineChars="100"/>
            </w:pPr>
            <w:r>
              <w:t>{</w:t>
            </w:r>
            <w:r>
              <w:rPr>
                <w:rFonts w:hint="eastAsia"/>
                <w:lang w:val="en-US" w:eastAsia="zh-CN"/>
              </w:rPr>
              <w:t>%photoOne</w:t>
            </w:r>
            <w:bookmarkStart w:id="0" w:name="_GoBack"/>
            <w:bookmarkEnd w:id="0"/>
            <w:r>
              <w:t>}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{/photoOne}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二级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{二级}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</w:t>
            </w:r>
            <w:r>
              <w:rPr>
                <w:rFonts w:hint="eastAsia"/>
                <w:color w:val="FF0000"/>
                <w:sz w:val="21"/>
                <w:szCs w:val="21"/>
              </w:rPr>
              <w:t>Two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{三级}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{%photo3Three}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四级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{四级}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{%photo4Four}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无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{%photoFive}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2.特种设备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锅炉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{锅炉}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锅炉图片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压力容器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{压力容器}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压力容器图片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其他（电梯）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{其他}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特种设备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特种设备无图片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3.危险设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备、设施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洁净车间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{洁净车间}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洁净车间图片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砂光机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{砂光机}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砂光机图片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冲剪压机械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冲剪压机械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冲剪压机械图片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烤箱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{烤箱}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烤箱图片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4.危险化学品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危险化学品名称（闪点）、最大存量、MSDS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5.危险工艺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铝镁粉尘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{铝镁粉尘}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铝镁粉尘图片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{涉氨}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涉氨图片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有限空间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{有限空间}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有限空间图片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喷漆喷油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{喷漆喷油}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喷漆喷油图片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涂层烘干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{涂层烘干}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图层烘干图片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锂离子电池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{锂离子电池}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锂离子电池图片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高温熔融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{高温熔融}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高温熔融图片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使用排风管道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{使用排风管道}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使用排风管道图片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危险工艺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危险工艺无图片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6.应急反应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无预案无演练</w:t>
            </w: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{无预案无演练}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有预案无演练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有预案有演练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{有预案有演练}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有预案有演练图片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事故可能性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安全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生产标准化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未达标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{未达标}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未达标图片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达标但记录不完善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{达标但记录不完善}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达标但记录不完善图片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达标且有效运行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{达标且有效运行}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both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 xml:space="preserve">  {#达标且有效运行图片}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达标且有效运行图片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{/达标且有效运行图片}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8.隐患自查自报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有自查自报并上传到系统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{有自查自报并上传到系统}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有自查自报并上传到系统图片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有自查自报，但未上传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{有自查自报，但未上传}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有自查自报，但未上传图片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未进行自查自报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{未进行自查自报}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未进行自查自白图片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9.安全教育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培训情况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无三级培训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{无三级培训}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无三级培训图片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有三级培训但不完善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{有三级培训但不完善}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有三级培训但不完善图片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三级培训完善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{三级培训完善}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三级培训完善图片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>事故暴露程度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10.从业人数</w:t>
            </w:r>
          </w:p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（每班）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≥300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10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≥300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100～300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7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100～300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30～100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4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30～100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&lt;30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&lt;30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ind w:left="1440" w:hanging="1440" w:hangingChars="60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事故风险值=事故后果*事故可能性事故暴露程度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主要危险源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主要危险源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主要风险名称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ind w:left="1260" w:hanging="1260" w:hangingChars="600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主要风险名称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单位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31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单位名称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经/纬度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经纬度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全员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人数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全员人数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exact"/>
        </w:trPr>
        <w:tc>
          <w:tcPr>
            <w:tcW w:w="7841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近三年有无发生一般事故及以上事故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（备注：一般事故是指3人以下死亡，或者10人以下重伤，或者1000万元以下直接经济损失的事故）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有无发生事故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</w:tbl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z w:val="22"/>
          <w:szCs w:val="24"/>
        </w:rPr>
      </w:pP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color w:val="FF0000"/>
          <w:spacing w:val="-3"/>
        </w:rPr>
      </w:pPr>
      <w:r>
        <w:rPr>
          <w:color w:val="FF0000"/>
          <w:sz w:val="22"/>
          <w:szCs w:val="24"/>
        </w:rPr>
        <w:t>注：照片尽量横拍（照片尺寸：3.5*4.5），蓝色部分需要企业核对，红色部分需要企业填写。</w:t>
      </w: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pacing w:val="-3"/>
          <w:szCs w:val="22"/>
        </w:rPr>
      </w:pPr>
      <w:r>
        <w:rPr>
          <w:spacing w:val="-3"/>
        </w:rPr>
        <w:t>计算说明：事</w:t>
      </w:r>
      <w:r>
        <w:rPr>
          <w:spacing w:val="-3"/>
          <w:szCs w:val="22"/>
        </w:rPr>
        <w:t>故后果得分值=重大危险源得分值+特种设备得分值+危险设备得分值+危险化学品得分值+危险工艺得分值+应急反应得分值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事故可能性得分值=标准化得分值+隐患自查自报得分值+安全教育培训情况得分值 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>事故暴露程度得分值=从业人数得分值和频度综合得分值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事故风险值=事故后果*事故可能性*事故暴露程度 </w:t>
      </w:r>
    </w:p>
    <w:p>
      <w:pPr>
        <w:pStyle w:val="10"/>
        <w:kinsoku w:val="0"/>
        <w:overflowPunct w:val="0"/>
        <w:spacing w:line="273" w:lineRule="auto"/>
        <w:ind w:left="196" w:right="192"/>
        <w:rPr>
          <w:rFonts w:ascii="宋体" w:hAnsi="宋体"/>
          <w:sz w:val="22"/>
          <w:szCs w:val="24"/>
        </w:rPr>
      </w:pPr>
    </w:p>
    <w:p>
      <w:pPr>
        <w:pStyle w:val="10"/>
        <w:kinsoku w:val="0"/>
        <w:overflowPunct w:val="0"/>
        <w:spacing w:line="273" w:lineRule="auto"/>
        <w:ind w:right="192"/>
        <w:jc w:val="center"/>
        <w:rPr>
          <w:spacing w:val="-3"/>
          <w:szCs w:val="22"/>
        </w:rPr>
      </w:pPr>
      <w:r>
        <w:rPr>
          <w:sz w:val="21"/>
        </w:rPr>
        <w:t>附：工业企业点位风险等级判定表</w:t>
      </w:r>
    </w:p>
    <w:tbl>
      <w:tblPr>
        <w:tblStyle w:val="8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950"/>
        <w:gridCol w:w="216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  <w:tblCellSpacing w:w="0" w:type="dxa"/>
          <w:jc w:val="center"/>
        </w:trPr>
        <w:tc>
          <w:tcPr>
            <w:tcW w:w="1904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风险分级标准(R)</w:t>
            </w:r>
          </w:p>
        </w:tc>
        <w:tc>
          <w:tcPr>
            <w:tcW w:w="1950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风险等级</w:t>
            </w:r>
          </w:p>
        </w:tc>
        <w:tc>
          <w:tcPr>
            <w:tcW w:w="2165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措施</w:t>
            </w:r>
          </w:p>
        </w:tc>
        <w:tc>
          <w:tcPr>
            <w:tcW w:w="1414" w:type="dxa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sz w:val="15"/>
                <w:szCs w:val="18"/>
              </w:rPr>
            </w:pPr>
            <w:r>
              <w:rPr>
                <w:b/>
                <w:sz w:val="20"/>
              </w:rPr>
              <w:t>表示色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≥1000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重大风险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不可容许、停工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00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  <w:highlight w:val="red"/>
              </w:rPr>
            </w:pPr>
            <w:r>
              <w:rPr>
                <w:rFonts w:eastAsia="微软雅黑"/>
                <w:color w:val="FFFFFF"/>
                <w:sz w:val="21"/>
                <w:szCs w:val="21"/>
                <w:highlight w:val="red"/>
              </w:rP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1000＞R≥720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较大风险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立即整改，方案、验收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D7D31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720＞R≥500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一般风险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需要整改，整改、检查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0000"/>
                <w:sz w:val="21"/>
                <w:szCs w:val="21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500＞R≥300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低风险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需要注意，培训、检查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0070C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蓝色</w:t>
            </w:r>
          </w:p>
        </w:tc>
      </w:tr>
    </w:tbl>
    <w:p>
      <w:pPr>
        <w:pStyle w:val="2"/>
        <w:kinsoku w:val="0"/>
        <w:overflowPunct w:val="0"/>
        <w:ind w:left="0"/>
        <w:rPr>
          <w:rFonts w:hint="default" w:ascii="Times New Roman" w:hAnsi="Times New Roman" w:eastAsiaTheme="minorEastAsia"/>
          <w:sz w:val="21"/>
        </w:rPr>
      </w:pPr>
    </w:p>
    <w:sectPr>
      <w:footerReference r:id="rId3" w:type="default"/>
      <w:pgSz w:w="11910" w:h="16840"/>
      <w:pgMar w:top="1020" w:right="1134" w:bottom="1020" w:left="1134" w:header="0" w:footer="117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insoku w:val="0"/>
      <w:overflowPunct w:val="0"/>
      <w:spacing w:line="14" w:lineRule="auto"/>
      <w:ind w:left="0"/>
      <w:rPr>
        <w:rFonts w:hint="default"/>
        <w:sz w:val="20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5333365</wp:posOffset>
              </wp:positionH>
              <wp:positionV relativeFrom="page">
                <wp:posOffset>6663055</wp:posOffset>
              </wp:positionV>
              <wp:extent cx="53975" cy="139700"/>
              <wp:effectExtent l="0" t="0" r="0" b="0"/>
              <wp:wrapNone/>
              <wp:docPr id="3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419.95pt;margin-top:524.65pt;height:11pt;width:4.25pt;mso-position-horizontal-relative:page;mso-position-vertical-relative:page;z-index:-251658240;mso-width-relative:page;mso-height-relative:page;" filled="f" stroked="f" coordsize="21600,21600" o:gfxdata="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9TG1jaAAAADQEA&#10;AA8AAAAAAAAAAQAgAAAAIgAAAGRycy9kb3ducmV2LnhtbFBLAQIUABQAAAAIAIdO4kB0Y2UJpgEA&#10;AEo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6794500</wp:posOffset>
              </wp:positionV>
              <wp:extent cx="53975" cy="139700"/>
              <wp:effectExtent l="0" t="0" r="0" b="0"/>
              <wp:wrapNone/>
              <wp:docPr id="7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71pt;margin-top:535pt;height:11pt;width:4.25pt;mso-position-horizontal-relative:page;mso-position-vertical-relative:page;z-index:-251657216;mso-width-relative:page;mso-height-relative:page;" filled="f" stroked="f" coordsize="21600,21600" o:gfxdata="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fBTRfXAAAADQEAAA8A&#10;AAAAAAAAAQAgAAAAIgAAAGRycy9kb3ducmV2LnhtbFBLAQIUABQAAAAIAIdO4kANMNBipgEAAEo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968E4"/>
    <w:multiLevelType w:val="singleLevel"/>
    <w:tmpl w:val="DF5968E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13F9A0"/>
    <w:multiLevelType w:val="singleLevel"/>
    <w:tmpl w:val="FE13F9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378"/>
    <w:rsid w:val="000E6DFE"/>
    <w:rsid w:val="001256B2"/>
    <w:rsid w:val="00172A27"/>
    <w:rsid w:val="00196F36"/>
    <w:rsid w:val="0034676D"/>
    <w:rsid w:val="0035470E"/>
    <w:rsid w:val="003A43CF"/>
    <w:rsid w:val="003D1CEF"/>
    <w:rsid w:val="004375F1"/>
    <w:rsid w:val="00464FCA"/>
    <w:rsid w:val="004E1560"/>
    <w:rsid w:val="00502B2D"/>
    <w:rsid w:val="00544227"/>
    <w:rsid w:val="0055797A"/>
    <w:rsid w:val="00574921"/>
    <w:rsid w:val="005937C4"/>
    <w:rsid w:val="00597F10"/>
    <w:rsid w:val="005C4430"/>
    <w:rsid w:val="005C780F"/>
    <w:rsid w:val="006530B3"/>
    <w:rsid w:val="00653D93"/>
    <w:rsid w:val="006C162A"/>
    <w:rsid w:val="006E075C"/>
    <w:rsid w:val="00732F87"/>
    <w:rsid w:val="00740C6C"/>
    <w:rsid w:val="00760DF7"/>
    <w:rsid w:val="007731D6"/>
    <w:rsid w:val="007745D8"/>
    <w:rsid w:val="007961AF"/>
    <w:rsid w:val="007A7F21"/>
    <w:rsid w:val="0080197D"/>
    <w:rsid w:val="008F4017"/>
    <w:rsid w:val="009745A5"/>
    <w:rsid w:val="009844DB"/>
    <w:rsid w:val="009C6EA2"/>
    <w:rsid w:val="00A246BE"/>
    <w:rsid w:val="00A25CBB"/>
    <w:rsid w:val="00A550D7"/>
    <w:rsid w:val="00A564EE"/>
    <w:rsid w:val="00A703B4"/>
    <w:rsid w:val="00A70C5E"/>
    <w:rsid w:val="00AA09FF"/>
    <w:rsid w:val="00AE08B7"/>
    <w:rsid w:val="00B11576"/>
    <w:rsid w:val="00B66555"/>
    <w:rsid w:val="00BD3AA9"/>
    <w:rsid w:val="00C3000F"/>
    <w:rsid w:val="00CA6C2D"/>
    <w:rsid w:val="00D02661"/>
    <w:rsid w:val="00D83294"/>
    <w:rsid w:val="00DF7659"/>
    <w:rsid w:val="00E03363"/>
    <w:rsid w:val="00E36B82"/>
    <w:rsid w:val="00ED3B5F"/>
    <w:rsid w:val="00F05D57"/>
    <w:rsid w:val="00FB609C"/>
    <w:rsid w:val="03D244EC"/>
    <w:rsid w:val="04292E6A"/>
    <w:rsid w:val="04674CE7"/>
    <w:rsid w:val="04A1767D"/>
    <w:rsid w:val="04A51E6E"/>
    <w:rsid w:val="05DF123E"/>
    <w:rsid w:val="05EF2A9E"/>
    <w:rsid w:val="0617009E"/>
    <w:rsid w:val="062839FF"/>
    <w:rsid w:val="066F1AF9"/>
    <w:rsid w:val="076A64F2"/>
    <w:rsid w:val="077327BE"/>
    <w:rsid w:val="082E245F"/>
    <w:rsid w:val="086978BB"/>
    <w:rsid w:val="090D3EF8"/>
    <w:rsid w:val="0A052263"/>
    <w:rsid w:val="0B37799C"/>
    <w:rsid w:val="0B873E9C"/>
    <w:rsid w:val="0BD600EB"/>
    <w:rsid w:val="0C794CDA"/>
    <w:rsid w:val="0D834792"/>
    <w:rsid w:val="0D841B77"/>
    <w:rsid w:val="0DDF6EF3"/>
    <w:rsid w:val="0DEA00CD"/>
    <w:rsid w:val="0E206CF0"/>
    <w:rsid w:val="0ECA6A9D"/>
    <w:rsid w:val="0F257244"/>
    <w:rsid w:val="105E41DD"/>
    <w:rsid w:val="10611D67"/>
    <w:rsid w:val="109171A3"/>
    <w:rsid w:val="1098064A"/>
    <w:rsid w:val="119B1DF3"/>
    <w:rsid w:val="12536D41"/>
    <w:rsid w:val="12C316A6"/>
    <w:rsid w:val="13ED39B5"/>
    <w:rsid w:val="151231D6"/>
    <w:rsid w:val="15736424"/>
    <w:rsid w:val="17710BF1"/>
    <w:rsid w:val="17E409B3"/>
    <w:rsid w:val="18ED11E4"/>
    <w:rsid w:val="192C5436"/>
    <w:rsid w:val="1A285777"/>
    <w:rsid w:val="1A5D2699"/>
    <w:rsid w:val="1BB86B6B"/>
    <w:rsid w:val="1C1A3027"/>
    <w:rsid w:val="1C320469"/>
    <w:rsid w:val="1C811072"/>
    <w:rsid w:val="1C9D5827"/>
    <w:rsid w:val="1D801A4E"/>
    <w:rsid w:val="1D9F21E5"/>
    <w:rsid w:val="1E1B1170"/>
    <w:rsid w:val="1E3B3218"/>
    <w:rsid w:val="1E5D75CE"/>
    <w:rsid w:val="1F991A9B"/>
    <w:rsid w:val="204E6C9E"/>
    <w:rsid w:val="215E7BCF"/>
    <w:rsid w:val="217F7B21"/>
    <w:rsid w:val="21DD3CC1"/>
    <w:rsid w:val="21E056BA"/>
    <w:rsid w:val="22C75C56"/>
    <w:rsid w:val="22D86525"/>
    <w:rsid w:val="237E65CF"/>
    <w:rsid w:val="23D22C6B"/>
    <w:rsid w:val="245A3F1C"/>
    <w:rsid w:val="25003C0F"/>
    <w:rsid w:val="25A179EC"/>
    <w:rsid w:val="25D56E85"/>
    <w:rsid w:val="26647589"/>
    <w:rsid w:val="27857391"/>
    <w:rsid w:val="27DA1C46"/>
    <w:rsid w:val="28277024"/>
    <w:rsid w:val="28754267"/>
    <w:rsid w:val="28A25ACF"/>
    <w:rsid w:val="293A6F4F"/>
    <w:rsid w:val="29543DD7"/>
    <w:rsid w:val="298E4F26"/>
    <w:rsid w:val="2B7C3A66"/>
    <w:rsid w:val="2E7D314A"/>
    <w:rsid w:val="2E7F0EF2"/>
    <w:rsid w:val="2EF9644A"/>
    <w:rsid w:val="2EFB46A0"/>
    <w:rsid w:val="2F8338D0"/>
    <w:rsid w:val="30CA6765"/>
    <w:rsid w:val="316A73A1"/>
    <w:rsid w:val="334B6D2E"/>
    <w:rsid w:val="34745471"/>
    <w:rsid w:val="356610D4"/>
    <w:rsid w:val="35CD2626"/>
    <w:rsid w:val="361229C0"/>
    <w:rsid w:val="36E9566E"/>
    <w:rsid w:val="38680864"/>
    <w:rsid w:val="38B24739"/>
    <w:rsid w:val="3AD82E31"/>
    <w:rsid w:val="3B056263"/>
    <w:rsid w:val="3B16552B"/>
    <w:rsid w:val="3BD62AC9"/>
    <w:rsid w:val="3CA37F3E"/>
    <w:rsid w:val="3E4606D9"/>
    <w:rsid w:val="3E7478D3"/>
    <w:rsid w:val="3ED22395"/>
    <w:rsid w:val="3EF53C0A"/>
    <w:rsid w:val="3F1959DC"/>
    <w:rsid w:val="3FB54F19"/>
    <w:rsid w:val="3FBB7E11"/>
    <w:rsid w:val="3FFB68E6"/>
    <w:rsid w:val="40126752"/>
    <w:rsid w:val="403C682D"/>
    <w:rsid w:val="4163097B"/>
    <w:rsid w:val="42372111"/>
    <w:rsid w:val="42CD4F89"/>
    <w:rsid w:val="42FE6050"/>
    <w:rsid w:val="431C0099"/>
    <w:rsid w:val="43355919"/>
    <w:rsid w:val="44565FAF"/>
    <w:rsid w:val="44AD5BCD"/>
    <w:rsid w:val="458259CC"/>
    <w:rsid w:val="473C3CE8"/>
    <w:rsid w:val="47C2187B"/>
    <w:rsid w:val="49802002"/>
    <w:rsid w:val="4A3B0BF6"/>
    <w:rsid w:val="4AC21492"/>
    <w:rsid w:val="4AD85232"/>
    <w:rsid w:val="50431C09"/>
    <w:rsid w:val="50B40C90"/>
    <w:rsid w:val="515366B6"/>
    <w:rsid w:val="520A362A"/>
    <w:rsid w:val="52910041"/>
    <w:rsid w:val="52F55238"/>
    <w:rsid w:val="53265C08"/>
    <w:rsid w:val="53760DA7"/>
    <w:rsid w:val="53800634"/>
    <w:rsid w:val="53C12AB6"/>
    <w:rsid w:val="547724EF"/>
    <w:rsid w:val="55723590"/>
    <w:rsid w:val="55B2190E"/>
    <w:rsid w:val="55DB19FC"/>
    <w:rsid w:val="56364C63"/>
    <w:rsid w:val="56D00BE1"/>
    <w:rsid w:val="57433D0E"/>
    <w:rsid w:val="579F4CE1"/>
    <w:rsid w:val="583C6496"/>
    <w:rsid w:val="5C161224"/>
    <w:rsid w:val="5CAF5322"/>
    <w:rsid w:val="5CB71E2A"/>
    <w:rsid w:val="5DB32855"/>
    <w:rsid w:val="5E1D3074"/>
    <w:rsid w:val="5E813503"/>
    <w:rsid w:val="5EBC6A07"/>
    <w:rsid w:val="5EF11E0B"/>
    <w:rsid w:val="60A62BEC"/>
    <w:rsid w:val="640E6363"/>
    <w:rsid w:val="6475335C"/>
    <w:rsid w:val="64860718"/>
    <w:rsid w:val="64B35676"/>
    <w:rsid w:val="65242EBF"/>
    <w:rsid w:val="656D79B9"/>
    <w:rsid w:val="65E8364C"/>
    <w:rsid w:val="667C66BA"/>
    <w:rsid w:val="67B70E6D"/>
    <w:rsid w:val="67F3421F"/>
    <w:rsid w:val="683C7F3A"/>
    <w:rsid w:val="687466B8"/>
    <w:rsid w:val="68FA0733"/>
    <w:rsid w:val="69991174"/>
    <w:rsid w:val="6BB558B7"/>
    <w:rsid w:val="6BEF5A8B"/>
    <w:rsid w:val="6CC011EE"/>
    <w:rsid w:val="6D1906EB"/>
    <w:rsid w:val="6D2F5085"/>
    <w:rsid w:val="6D9B065E"/>
    <w:rsid w:val="6EF3752D"/>
    <w:rsid w:val="6F1F58BE"/>
    <w:rsid w:val="7033473C"/>
    <w:rsid w:val="70CD476C"/>
    <w:rsid w:val="70E6136D"/>
    <w:rsid w:val="712A7D83"/>
    <w:rsid w:val="71A94851"/>
    <w:rsid w:val="71D830B5"/>
    <w:rsid w:val="71E0381A"/>
    <w:rsid w:val="71F42CA6"/>
    <w:rsid w:val="72021703"/>
    <w:rsid w:val="72506E9A"/>
    <w:rsid w:val="72951AB7"/>
    <w:rsid w:val="738D79F2"/>
    <w:rsid w:val="74181582"/>
    <w:rsid w:val="74776A15"/>
    <w:rsid w:val="74B43091"/>
    <w:rsid w:val="753B0707"/>
    <w:rsid w:val="753D3B1A"/>
    <w:rsid w:val="77376682"/>
    <w:rsid w:val="778766D1"/>
    <w:rsid w:val="782725B0"/>
    <w:rsid w:val="787079AD"/>
    <w:rsid w:val="7AE617A1"/>
    <w:rsid w:val="7AFE255D"/>
    <w:rsid w:val="7B346E1F"/>
    <w:rsid w:val="7B425E81"/>
    <w:rsid w:val="7B817C64"/>
    <w:rsid w:val="7B9E3485"/>
    <w:rsid w:val="7BD958BE"/>
    <w:rsid w:val="7D1276BB"/>
    <w:rsid w:val="7DCA2772"/>
    <w:rsid w:val="7E006A6C"/>
    <w:rsid w:val="7E2D57BE"/>
    <w:rsid w:val="7EC83FC1"/>
    <w:rsid w:val="7F024C9C"/>
    <w:rsid w:val="7F2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1" w:semiHidden="0" w:name="heading 2"/>
    <w:lsdException w:qFormat="1" w:uiPriority="1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1"/>
    <w:unhideWhenUsed/>
    <w:qFormat/>
    <w:uiPriority w:val="1"/>
    <w:pPr>
      <w:ind w:left="783" w:hanging="999"/>
      <w:outlineLvl w:val="0"/>
    </w:pPr>
    <w:rPr>
      <w:rFonts w:hint="eastAsia" w:ascii="宋体" w:hAnsi="宋体"/>
      <w:sz w:val="32"/>
    </w:rPr>
  </w:style>
  <w:style w:type="paragraph" w:styleId="4">
    <w:name w:val="heading 2"/>
    <w:basedOn w:val="1"/>
    <w:next w:val="1"/>
    <w:unhideWhenUsed/>
    <w:qFormat/>
    <w:uiPriority w:val="1"/>
    <w:pPr>
      <w:ind w:left="1041"/>
      <w:outlineLvl w:val="1"/>
    </w:pPr>
    <w:rPr>
      <w:rFonts w:hint="eastAsia" w:ascii="宋体" w:hAnsi="宋体"/>
      <w:sz w:val="30"/>
    </w:rPr>
  </w:style>
  <w:style w:type="paragraph" w:styleId="5">
    <w:name w:val="heading 3"/>
    <w:basedOn w:val="1"/>
    <w:next w:val="1"/>
    <w:unhideWhenUsed/>
    <w:qFormat/>
    <w:uiPriority w:val="1"/>
    <w:pPr>
      <w:ind w:left="681"/>
      <w:outlineLvl w:val="2"/>
    </w:pPr>
    <w:rPr>
      <w:rFonts w:hint="eastAsia" w:ascii="宋体" w:hAnsi="宋体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1"/>
    <w:pPr>
      <w:ind w:left="120"/>
    </w:pPr>
    <w:rPr>
      <w:rFonts w:hint="eastAsia" w:ascii="宋体" w:hAnsi="宋体"/>
    </w:rPr>
  </w:style>
  <w:style w:type="paragraph" w:styleId="6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10">
    <w:name w:val="Table Paragraph"/>
    <w:basedOn w:val="1"/>
    <w:unhideWhenUsed/>
    <w:qFormat/>
    <w:uiPriority w:val="1"/>
  </w:style>
  <w:style w:type="paragraph" w:styleId="11">
    <w:name w:val="List Paragraph"/>
    <w:basedOn w:val="1"/>
    <w:unhideWhenUsed/>
    <w:qFormat/>
    <w:uiPriority w:val="1"/>
  </w:style>
  <w:style w:type="character" w:customStyle="1" w:styleId="12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D343D-AD10-4915-883F-8642F8F61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3</Pages>
  <Words>305</Words>
  <Characters>1742</Characters>
  <Lines>14</Lines>
  <Paragraphs>4</Paragraphs>
  <TotalTime>4</TotalTime>
  <ScaleCrop>false</ScaleCrop>
  <LinksUpToDate>false</LinksUpToDate>
  <CharactersWithSpaces>2043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2020-06-08T05:53:00Z</dcterms:created>
  <dc:creator>13625</dc:creator>
  <cp:lastModifiedBy>Administrator</cp:lastModifiedBy>
  <cp:lastPrinted>2020-04-09T03:26:00Z</cp:lastPrinted>
  <dcterms:modified xsi:type="dcterms:W3CDTF">2020-06-18T02:32:22Z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