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365D"/>
          <w:sz w:val="48"/>
        </w:rPr>
        <w:t>Deep Walk-Forward Directional Prediction of Cryptocurrency Perpetuals:</w:t>
        <w:br/>
        <w:t>An Empirical Backtest Verification</w:t>
      </w:r>
    </w:p>
    <w:p>
      <w:pPr>
        <w:jc w:val="center"/>
      </w:pPr>
      <w:r>
        <w:rPr>
          <w:rFonts w:ascii="Times New Roman" w:hAnsi="Times New Roman"/>
          <w:color w:val="2D3748"/>
          <w:sz w:val="20"/>
        </w:rPr>
        <w:t>Ria Chawak</w:t>
        <w:br/>
        <w:t>Department of Computer Science, Indian Institute of Technology Bombay</w:t>
        <w:br/>
        <w:t>Email: riachawak@iitb.ac.in</w:t>
      </w:r>
    </w:p>
    <w:p>
      <w:pPr>
        <w:spacing w:after="240"/>
      </w:pPr>
    </w:p>
    <w:p>
      <w:r>
        <w:rPr>
          <w:rFonts w:ascii="Times New Roman" w:hAnsi="Times New Roman"/>
          <w:b/>
          <w:sz w:val="19"/>
        </w:rPr>
        <w:t xml:space="preserve">Abstract— </w:t>
      </w:r>
      <w:r>
        <w:rPr>
          <w:rFonts w:ascii="Times New Roman" w:hAnsi="Times New Roman"/>
          <w:sz w:val="19"/>
        </w:rPr>
        <w:t>This paper presents a robust walk-forward directional prediction model for cryptocurrency perpetual contracts. We implement LightGBM, Random Forest, and Logistic Regression classifiers on BTC and ETH perpetual futures contracts. By enforcing cost-first execution (0.15% one-way taker fee + slippage) and validation across three independent backtesting engines (Custom, backtesting.py, and NautilusTrader), we reconcile performance differences and eliminate capital allocation discrepancies.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I. INTRODUCTION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Machine learning models have gained significant traction in predicting financial price trajectories. However, crypto perpetual futures are highly volatile and cost-sensitive, requiring walk-forward validation and strict transaction cost modeling.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II. TECHNICAL TERMS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1) </w:t>
      </w:r>
      <w:r>
        <w:rPr>
          <w:rFonts w:ascii="Arial" w:hAnsi="Arial"/>
          <w:color w:val="2D3748"/>
          <w:sz w:val="21"/>
        </w:rPr>
        <w:t xml:space="preserve">Walk-Forward Validation: </w:t>
      </w:r>
    </w:p>
    <w:p>
      <w:pPr>
        <w:spacing w:after="120" w:line="276" w:lineRule="auto"/>
        <w:ind w:left="144"/>
      </w:pPr>
      <w:r>
        <w:rPr>
          <w:rFonts w:ascii="Arial" w:hAnsi="Arial"/>
          <w:color w:val="2D3748"/>
          <w:sz w:val="21"/>
        </w:rPr>
        <w:t>A rolling-window model validation scheme that updates training weights dynamically to capture regime shifts without future leakages.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2) </w:t>
      </w:r>
      <w:r>
        <w:rPr>
          <w:rFonts w:ascii="Arial" w:hAnsi="Arial"/>
          <w:color w:val="2D3748"/>
          <w:sz w:val="21"/>
        </w:rPr>
        <w:t xml:space="preserve">LightGBM: </w:t>
      </w:r>
    </w:p>
    <w:p>
      <w:pPr>
        <w:spacing w:after="120" w:line="276" w:lineRule="auto"/>
        <w:ind w:left="144"/>
      </w:pPr>
      <w:r>
        <w:rPr>
          <w:rFonts w:ascii="Arial" w:hAnsi="Arial"/>
          <w:color w:val="2D3748"/>
          <w:sz w:val="21"/>
        </w:rPr>
        <w:t>A gradient boosting framework that uses tree-based learning algorithms, optimized for speed and memory efficiency.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1"/>
        </w:rPr>
        <w:t xml:space="preserve">3) </w:t>
      </w:r>
      <w:r>
        <w:rPr>
          <w:rFonts w:ascii="Arial" w:hAnsi="Arial"/>
          <w:color w:val="2D3748"/>
          <w:sz w:val="21"/>
        </w:rPr>
        <w:t xml:space="preserve">Deflated Sharpe Ratio (DSR): </w:t>
      </w:r>
    </w:p>
    <w:p>
      <w:pPr>
        <w:spacing w:after="120" w:line="276" w:lineRule="auto"/>
        <w:ind w:left="144"/>
      </w:pPr>
      <w:r>
        <w:rPr>
          <w:rFonts w:ascii="Arial" w:hAnsi="Arial"/>
          <w:color w:val="2D3748"/>
          <w:sz w:val="21"/>
        </w:rPr>
        <w:t>A statistical metric that adjusts the Sharpe ratio to account for selection bias and multi-test inflation.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III. SYSTEM DESIGN &amp; METHODOLOGY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We standardise trading costs to 0.10% taker fee and 0.05% slippage. The model uses technical features (RSI, MACD, rolling volatility) and walk-forward training windows of 365 days with 90 days out-of-sample test windows.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IV. EMPIRICAL RESULTS &amp; RECONCILIATION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Table I outlines the final out-of-sample metrics for BTC and ETH walk-forward predictions.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Metric</w:t>
            </w:r>
          </w:p>
        </w:tc>
        <w:tc>
          <w:tcPr>
            <w:tcW w:type="dxa" w:w="252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Custom</w:t>
            </w:r>
          </w:p>
        </w:tc>
        <w:tc>
          <w:tcPr>
            <w:tcW w:type="dxa" w:w="252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Standard</w:t>
            </w:r>
          </w:p>
        </w:tc>
        <w:tc>
          <w:tcPr>
            <w:tcW w:type="dxa" w:w="252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A365D"/>
                <w:sz w:val="20"/>
              </w:rPr>
              <w:t>Nautilus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BTC CAGR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-16.50%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-8.04%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-8.56%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BTC Sharpe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-0.814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-0.730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-0.814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BTC MaxDD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-67.97%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-37.72%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-40.94%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BTC Trades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461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184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461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ETH CAGR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7.97%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4.14%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-7.82%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ETH Sharpe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0.293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0.147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-0.325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ETH MaxDD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-32.50%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-32.67%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-47.35%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ETH Trades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522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792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9"/>
              </w:rPr>
              <w:t>522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1A365D"/>
          <w:sz w:val="32"/>
        </w:rPr>
        <w:t>V. CONCLUSION</w:t>
      </w:r>
    </w:p>
    <w:p>
      <w:pPr>
        <w:spacing w:after="120" w:line="276" w:lineRule="auto"/>
      </w:pPr>
      <w:r>
        <w:rPr>
          <w:rFonts w:ascii="Arial" w:hAnsi="Arial"/>
          <w:color w:val="2D3748"/>
          <w:sz w:val="21"/>
        </w:rPr>
        <w:t>Multi-engine verification highlights that simple cumulative return models (Custom) overestimate profits in bullish environments due to ignoring unit discretization and margin limits. Using event-driven engines like NautilusTrader is critical to identify true PnL drag.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