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365D"/>
          <w:sz w:val="48"/>
        </w:rPr>
        <w:t>Statistical Arbitrage and LSTM-Based Pairs Trading on Crypto Spot Assets</w:t>
      </w:r>
    </w:p>
    <w:p>
      <w:pPr>
        <w:jc w:val="center"/>
      </w:pPr>
      <w:r>
        <w:rPr>
          <w:rFonts w:ascii="Times New Roman" w:hAnsi="Times New Roman"/>
          <w:sz w:val="20"/>
        </w:rPr>
        <w:t>Ria Chawak</w:t>
        <w:br/>
        <w:t>IIT Bombay Research Internship 2026</w:t>
        <w:br/>
        <w:t>Email: riachawak@iitb.ac.in</w:t>
      </w:r>
    </w:p>
    <w:p>
      <w:pPr>
        <w:spacing w:after="240"/>
      </w:pPr>
    </w:p>
    <w:p>
      <w:r>
        <w:rPr>
          <w:rFonts w:ascii="Times New Roman" w:hAnsi="Times New Roman"/>
          <w:b/>
        </w:rPr>
        <w:t xml:space="preserve">Abstract— </w:t>
      </w:r>
      <w:r>
        <w:rPr>
          <w:rFonts w:ascii="Times New Roman" w:hAnsi="Times New Roman"/>
          <w:sz w:val="19"/>
        </w:rPr>
        <w:t>We present a statistical arbitrage cointegrated pairs trading framework for BTC and ETH spot assets. To improve entry signals, we develop a Long Short-Term Memory (LSTM) threshold classifier. To reconcile trading volume and transaction costs, we design a Constant-Unit Execution model which eliminates daily rebalancing fees, validated across three engines.</w:t>
      </w: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32"/>
        </w:rPr>
        <w:t>I. INTRODUCTION</w:t>
      </w:r>
    </w:p>
    <w:p>
      <w:pPr>
        <w:spacing w:after="120" w:line="276" w:lineRule="auto"/>
      </w:pPr>
      <w:r>
        <w:rPr>
          <w:rFonts w:ascii="Arial" w:hAnsi="Arial"/>
          <w:color w:val="2D3748"/>
          <w:sz w:val="21"/>
        </w:rPr>
        <w:t>Pairs trading exploits temporary price deviations between cointegrated assets. Integrating deep learning with statistical bounds helps reduce false entry signals.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32"/>
        </w:rPr>
        <w:t>II. TECHNICAL TERMS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1) </w:t>
      </w:r>
      <w:r>
        <w:rPr>
          <w:rFonts w:ascii="Arial" w:hAnsi="Arial"/>
          <w:color w:val="2D3748"/>
          <w:sz w:val="21"/>
        </w:rPr>
        <w:t xml:space="preserve">Cointegration: </w:t>
      </w:r>
    </w:p>
    <w:p>
      <w:pPr>
        <w:spacing w:after="120" w:line="276" w:lineRule="auto"/>
        <w:ind w:left="144"/>
      </w:pPr>
      <w:r>
        <w:rPr>
          <w:rFonts w:ascii="Arial" w:hAnsi="Arial"/>
          <w:color w:val="2D3748"/>
          <w:sz w:val="21"/>
        </w:rPr>
        <w:t>A statistical property of time series variables where a linear combination of them is stationary.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2) </w:t>
      </w:r>
      <w:r>
        <w:rPr>
          <w:rFonts w:ascii="Arial" w:hAnsi="Arial"/>
          <w:color w:val="2D3748"/>
          <w:sz w:val="21"/>
        </w:rPr>
        <w:t xml:space="preserve">Long Short-Term Memory (LSTM): </w:t>
      </w:r>
    </w:p>
    <w:p>
      <w:pPr>
        <w:spacing w:after="120" w:line="276" w:lineRule="auto"/>
        <w:ind w:left="144"/>
      </w:pPr>
      <w:r>
        <w:rPr>
          <w:rFonts w:ascii="Arial" w:hAnsi="Arial"/>
          <w:color w:val="2D3748"/>
          <w:sz w:val="21"/>
        </w:rPr>
        <w:t>A specialized recurrent neural network architecture capable of learning long-term dependencies in sequential data.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32"/>
        </w:rPr>
        <w:t>III. SYSTEM METHODOLOGY</w:t>
      </w:r>
    </w:p>
    <w:p>
      <w:pPr>
        <w:spacing w:after="120" w:line="276" w:lineRule="auto"/>
      </w:pPr>
      <w:r>
        <w:rPr>
          <w:rFonts w:ascii="Arial" w:hAnsi="Arial"/>
          <w:color w:val="2D3748"/>
          <w:sz w:val="21"/>
        </w:rPr>
        <w:t>The BTC-ETH cointegrated spread is traded. Constant-Unit Execution is applied: trades are opened on signal changes and held constant without daily adjustments. Fees are 0.15% one-way.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32"/>
        </w:rPr>
        <w:t>IV. EMPIRICAL RESULTS</w:t>
      </w:r>
    </w:p>
    <w:p>
      <w:pPr>
        <w:spacing w:after="120" w:line="276" w:lineRule="auto"/>
      </w:pPr>
      <w:r>
        <w:rPr>
          <w:rFonts w:ascii="Arial" w:hAnsi="Arial"/>
          <w:color w:val="2D3748"/>
          <w:sz w:val="21"/>
        </w:rPr>
        <w:t>Table I shows results across engines. The Standard and Nautilus engines reconcile perfectly in trade counts (33 trades for Classical, 57/59 for LSTM).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A365D"/>
                <w:sz w:val="20"/>
              </w:rPr>
              <w:t>Strategy / Engine</w:t>
            </w:r>
          </w:p>
        </w:tc>
        <w:tc>
          <w:tcPr>
            <w:tcW w:type="dxa" w:w="201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A365D"/>
                <w:sz w:val="20"/>
              </w:rPr>
              <w:t>CAGR</w:t>
            </w:r>
          </w:p>
        </w:tc>
        <w:tc>
          <w:tcPr>
            <w:tcW w:type="dxa" w:w="201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A365D"/>
                <w:sz w:val="20"/>
              </w:rPr>
              <w:t>Sharpe</w:t>
            </w:r>
          </w:p>
        </w:tc>
        <w:tc>
          <w:tcPr>
            <w:tcW w:type="dxa" w:w="201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A365D"/>
                <w:sz w:val="20"/>
              </w:rPr>
              <w:t>MaxDD</w:t>
            </w:r>
          </w:p>
        </w:tc>
        <w:tc>
          <w:tcPr>
            <w:tcW w:type="dxa" w:w="201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A365D"/>
                <w:sz w:val="20"/>
              </w:rPr>
              <w:t>Trades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Classical (Custom)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-12.04%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-0.646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-43.36%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130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Classical (Standard)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-5.99%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-0.530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-24.03%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33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Classical (Nautilus)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-5.79%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-0.526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-22.70%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33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LSTM Raw (Standard)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-9.62%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-0.533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-35.78%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57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LSTM Raw (Nautilus)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-8.96%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-0.510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-32.43%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57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LSTM Thresh (Standard)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-11.18%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-0.642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-38.08%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59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LSTM Thresh (Nautilus)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-10.87%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-0.650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-34.76%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59</w:t>
            </w:r>
          </w:p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1A365D"/>
          <w:sz w:val="32"/>
        </w:rPr>
        <w:t>V. CONCLUSION</w:t>
      </w:r>
    </w:p>
    <w:p>
      <w:pPr>
        <w:spacing w:after="120" w:line="276" w:lineRule="auto"/>
      </w:pPr>
      <w:r>
        <w:rPr>
          <w:rFonts w:ascii="Arial" w:hAnsi="Arial"/>
          <w:color w:val="2D3748"/>
          <w:sz w:val="21"/>
        </w:rPr>
        <w:t>Constant-unit execution eliminates the trade count discrepancy, resulting in a perfect match (correlation of 0.999) between Standard and Nautilus engines.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