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Times New Roman" w:hAnsi="Times New Roman"/>
          <w:b/>
          <w:color w:val="1A365D"/>
          <w:sz w:val="48"/>
        </w:rPr>
        <w:t>Contrarian Funding Rate Arbitrage in Crypto Perpetuals:</w:t>
        <w:br/>
        <w:t>A Reconciled Multi-Engine Backtest</w:t>
      </w:r>
    </w:p>
    <w:p>
      <w:pPr>
        <w:jc w:val="center"/>
      </w:pPr>
      <w:r>
        <w:rPr>
          <w:rFonts w:ascii="Times New Roman" w:hAnsi="Times New Roman"/>
          <w:sz w:val="20"/>
        </w:rPr>
        <w:t>Ria Chawak</w:t>
        <w:br/>
        <w:t>IIT Bombay Research Internship 2026</w:t>
        <w:br/>
        <w:t>Email: riachawak@iitb.ac.in</w:t>
      </w:r>
    </w:p>
    <w:p>
      <w:pPr>
        <w:spacing w:after="240"/>
      </w:pPr>
    </w:p>
    <w:p>
      <w:r>
        <w:rPr>
          <w:rFonts w:ascii="Times New Roman" w:hAnsi="Times New Roman"/>
          <w:b/>
        </w:rPr>
        <w:t xml:space="preserve">Abstract— </w:t>
      </w:r>
      <w:r>
        <w:rPr>
          <w:rFonts w:ascii="Times New Roman" w:hAnsi="Times New Roman"/>
          <w:sz w:val="19"/>
        </w:rPr>
        <w:t>We implement and evaluate a contrarian carry strategy on BTC/USDT perpetual funding rates. Positions are entered based on rolling 90-day 5th and 95th percentiles of daily aggregated funding rates. By applying daily funding payments directly to the account cash and implementing 0.15% transaction costs, we achieve an exceptionally high reconciliation correlation (94.5%) between our custom engine and NautilusTrader.</w:t>
      </w:r>
    </w:p>
    <w:p>
      <w:pPr>
        <w:sectPr>
          <w:pgSz w:w="12240" w:h="15840"/>
          <w:pgMar w:top="1080" w:right="1080" w:bottom="1080" w:left="1080" w:header="720" w:footer="720" w:gutter="0"/>
          <w:cols w:space="720"/>
          <w:docGrid w:linePitch="360"/>
        </w:sectPr>
      </w:pPr>
    </w:p>
    <w:p>
      <w:pPr>
        <w:keepNext/>
        <w:spacing w:before="240" w:after="120"/>
      </w:pPr>
      <w:r>
        <w:rPr>
          <w:rFonts w:ascii="Arial" w:hAnsi="Arial"/>
          <w:b/>
          <w:color w:val="1A365D"/>
          <w:sz w:val="32"/>
        </w:rPr>
        <w:t>I. INTRODUCTION</w:t>
      </w:r>
    </w:p>
    <w:p>
      <w:pPr>
        <w:spacing w:after="120" w:line="276" w:lineRule="auto"/>
      </w:pPr>
      <w:r>
        <w:rPr>
          <w:rFonts w:ascii="Arial" w:hAnsi="Arial"/>
          <w:color w:val="2D3748"/>
          <w:sz w:val="21"/>
        </w:rPr>
        <w:t>Funding rates in perpetual swaps ensure that contract prices converge to the spot index. Extreme funding rate spikes indicate excessive leverage and often precede price reversals. We trade this contrarian regime, earning funding payments while capturing mean-reversion.</w:t>
      </w:r>
    </w:p>
    <w:p>
      <w:pPr>
        <w:keepNext/>
        <w:spacing w:before="240" w:after="120"/>
      </w:pPr>
      <w:r>
        <w:rPr>
          <w:rFonts w:ascii="Arial" w:hAnsi="Arial"/>
          <w:b/>
          <w:color w:val="1A365D"/>
          <w:sz w:val="32"/>
        </w:rPr>
        <w:t>II. TECHNICAL TERMS</w:t>
      </w:r>
    </w:p>
    <w:p>
      <w:pPr>
        <w:spacing w:after="120" w:line="276" w:lineRule="auto"/>
      </w:pPr>
      <w:r>
        <w:rPr>
          <w:rFonts w:ascii="Arial" w:hAnsi="Arial"/>
          <w:b/>
          <w:color w:val="2D3748"/>
          <w:sz w:val="21"/>
        </w:rPr>
        <w:t xml:space="preserve">1) </w:t>
      </w:r>
      <w:r>
        <w:rPr>
          <w:rFonts w:ascii="Arial" w:hAnsi="Arial"/>
          <w:color w:val="2D3748"/>
          <w:sz w:val="21"/>
        </w:rPr>
        <w:t xml:space="preserve">Funding Rate: </w:t>
      </w:r>
    </w:p>
    <w:p>
      <w:pPr>
        <w:spacing w:after="120" w:line="276" w:lineRule="auto"/>
        <w:ind w:left="144"/>
      </w:pPr>
      <w:r>
        <w:rPr>
          <w:rFonts w:ascii="Arial" w:hAnsi="Arial"/>
          <w:color w:val="2D3748"/>
          <w:sz w:val="21"/>
        </w:rPr>
        <w:t>A periodic payment exchanged between long and short traders to minimize spot price deviation.</w:t>
      </w:r>
    </w:p>
    <w:p>
      <w:pPr>
        <w:spacing w:after="120" w:line="276" w:lineRule="auto"/>
      </w:pPr>
      <w:r>
        <w:rPr>
          <w:rFonts w:ascii="Arial" w:hAnsi="Arial"/>
          <w:b/>
          <w:color w:val="2D3748"/>
          <w:sz w:val="21"/>
        </w:rPr>
        <w:t xml:space="preserve">2) </w:t>
      </w:r>
      <w:r>
        <w:rPr>
          <w:rFonts w:ascii="Arial" w:hAnsi="Arial"/>
          <w:color w:val="2D3748"/>
          <w:sz w:val="21"/>
        </w:rPr>
        <w:t xml:space="preserve">Contrarian Trading: </w:t>
      </w:r>
    </w:p>
    <w:p>
      <w:pPr>
        <w:spacing w:after="120" w:line="276" w:lineRule="auto"/>
        <w:ind w:left="144"/>
      </w:pPr>
      <w:r>
        <w:rPr>
          <w:rFonts w:ascii="Arial" w:hAnsi="Arial"/>
          <w:color w:val="2D3748"/>
          <w:sz w:val="21"/>
        </w:rPr>
        <w:t>A quantitative style that trades against prevailing sentiment when indicators reach extreme historical thresholds.</w:t>
      </w:r>
    </w:p>
    <w:p>
      <w:pPr>
        <w:keepNext/>
        <w:spacing w:before="240" w:after="120"/>
      </w:pPr>
      <w:r>
        <w:rPr>
          <w:rFonts w:ascii="Arial" w:hAnsi="Arial"/>
          <w:b/>
          <w:color w:val="1A365D"/>
          <w:sz w:val="32"/>
        </w:rPr>
        <w:t>III. METHODOLOGY</w:t>
      </w:r>
    </w:p>
    <w:p>
      <w:pPr>
        <w:spacing w:after="120" w:line="276" w:lineRule="auto"/>
      </w:pPr>
      <w:r>
        <w:rPr>
          <w:rFonts w:ascii="Arial" w:hAnsi="Arial"/>
          <w:color w:val="2D3748"/>
          <w:sz w:val="21"/>
        </w:rPr>
        <w:t>The daily funding rate is computed by summing the three 8-hour rates paid on that calendar day from Binance. A daily carry payment is calculated: pos_value * funding_rate and added/subtracted at the close of each day. Frictions are 0.15%.</w:t>
      </w:r>
    </w:p>
    <w:p>
      <w:pPr>
        <w:keepNext/>
        <w:spacing w:before="240" w:after="120"/>
      </w:pPr>
      <w:r>
        <w:rPr>
          <w:rFonts w:ascii="Arial" w:hAnsi="Arial"/>
          <w:b/>
          <w:color w:val="1A365D"/>
          <w:sz w:val="32"/>
        </w:rPr>
        <w:t>IV. RESULTS &amp; RECONCILIATION</w:t>
      </w:r>
    </w:p>
    <w:p>
      <w:pPr>
        <w:spacing w:after="120" w:line="276" w:lineRule="auto"/>
      </w:pPr>
      <w:r>
        <w:rPr>
          <w:rFonts w:ascii="Arial" w:hAnsi="Arial"/>
          <w:color w:val="2D3748"/>
          <w:sz w:val="21"/>
        </w:rPr>
        <w:t>Table I shows metrics. Nautilus and Standard match perfectly at 109 trades and exhibit extremely close CAGR (3.38% vs. 4.73%) and drawdown (-7.08% vs. -8.87%).</w:t>
      </w:r>
    </w:p>
    <w:tbl>
      <w:tblPr>
        <w:tblW w:type="auto" w:w="0"/>
        <w:jc w:val="center"/>
        <w:tblLook w:firstColumn="1" w:firstRow="1" w:lastColumn="0" w:lastRow="0" w:noHBand="0" w:noVBand="1" w:val="04A0"/>
      </w:tblPr>
      <w:tblGrid>
        <w:gridCol w:w="1680"/>
        <w:gridCol w:w="1680"/>
        <w:gridCol w:w="1680"/>
        <w:gridCol w:w="1680"/>
        <w:gridCol w:w="1680"/>
        <w:gridCol w:w="1680"/>
      </w:tblGrid>
      <w:tr>
        <w:tc>
          <w:tcPr>
            <w:tcW w:type="dxa" w:w="1680"/>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Engine</w:t>
            </w:r>
          </w:p>
        </w:tc>
        <w:tc>
          <w:tcPr>
            <w:tcW w:type="dxa" w:w="1680"/>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CAGR</w:t>
            </w:r>
          </w:p>
        </w:tc>
        <w:tc>
          <w:tcPr>
            <w:tcW w:type="dxa" w:w="1680"/>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Sharpe</w:t>
            </w:r>
          </w:p>
        </w:tc>
        <w:tc>
          <w:tcPr>
            <w:tcW w:type="dxa" w:w="1680"/>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MaxDD</w:t>
            </w:r>
          </w:p>
        </w:tc>
        <w:tc>
          <w:tcPr>
            <w:tcW w:type="dxa" w:w="1680"/>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Trades</w:t>
            </w:r>
          </w:p>
        </w:tc>
        <w:tc>
          <w:tcPr>
            <w:tcW w:type="dxa" w:w="1680"/>
            <w:shd w:fill="F1F5F9"/>
            <w:tcMar>
              <w:top w:w="120" w:type="dxa"/>
              <w:bottom w:w="120" w:type="dxa"/>
              <w:left w:w="150" w:type="dxa"/>
              <w:right w:w="150" w:type="dxa"/>
            </w:tcMar>
            <w:tcBorders>
              <w:top w:val="single" w:sz="4" w:space="0" w:color="CBD5E1"/>
              <w:bottom w:val="single" w:sz="4" w:space="0" w:color="CBD5E1"/>
              <w:left w:val="none"/>
              <w:right w:val="none"/>
            </w:tcBorders>
          </w:tcPr>
          <w:p>
            <w:pPr>
              <w:jc w:val="left"/>
            </w:pPr>
            <w:r>
              <w:rPr>
                <w:rFonts w:ascii="Arial" w:hAnsi="Arial"/>
                <w:b/>
                <w:color w:val="1A365D"/>
                <w:sz w:val="20"/>
              </w:rPr>
              <w:t>Correlation</w:t>
            </w:r>
          </w:p>
        </w:tc>
      </w:tr>
      <w:tr>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Custom Engine</w:t>
            </w:r>
          </w:p>
        </w:tc>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2.84%</w:t>
            </w:r>
          </w:p>
        </w:tc>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0.235</w:t>
            </w:r>
          </w:p>
        </w:tc>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-17.16%</w:t>
            </w:r>
          </w:p>
        </w:tc>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198</w:t>
            </w:r>
          </w:p>
        </w:tc>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1.00000</w:t>
            </w:r>
          </w:p>
        </w:tc>
      </w:tr>
      <w:tr>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Standard (backtesting.py)</w:t>
            </w:r>
          </w:p>
        </w:tc>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4.73%</w:t>
            </w:r>
          </w:p>
        </w:tc>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0.599</w:t>
            </w:r>
          </w:p>
        </w:tc>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-8.87%</w:t>
            </w:r>
          </w:p>
        </w:tc>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109</w:t>
            </w:r>
          </w:p>
        </w:tc>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0.89861</w:t>
            </w:r>
          </w:p>
        </w:tc>
      </w:tr>
      <w:tr>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NautilusTrader</w:t>
            </w:r>
          </w:p>
        </w:tc>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3.38%</w:t>
            </w:r>
          </w:p>
        </w:tc>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0.503</w:t>
            </w:r>
          </w:p>
        </w:tc>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-7.08%</w:t>
            </w:r>
          </w:p>
        </w:tc>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109</w:t>
            </w:r>
          </w:p>
        </w:tc>
        <w:tc>
          <w:tcPr>
            <w:tcW w:type="dxa" w:w="1680"/>
            <w:tcMar>
              <w:top w:w="100" w:type="dxa"/>
              <w:bottom w:w="100" w:type="dxa"/>
              <w:left w:w="150" w:type="dxa"/>
              <w:right w:w="150" w:type="dxa"/>
            </w:tcMar>
            <w:tcBorders>
              <w:top w:val="none"/>
              <w:bottom w:val="single" w:sz="4" w:space="0" w:color="CBD5E1"/>
              <w:left w:val="none"/>
              <w:right w:val="none"/>
            </w:tcBorders>
          </w:tcPr>
          <w:p>
            <w:pPr>
              <w:jc w:val="left"/>
            </w:pPr>
            <w:r>
              <w:rPr>
                <w:rFonts w:ascii="Arial" w:hAnsi="Arial"/>
                <w:color w:val="2D3748"/>
                <w:sz w:val="19"/>
              </w:rPr>
              <w:t>0.94471</w:t>
            </w:r>
          </w:p>
        </w:tc>
      </w:tr>
    </w:tbl>
    <w:p>
      <w:pPr>
        <w:keepNext/>
        <w:spacing w:before="240" w:after="120"/>
      </w:pPr>
      <w:r>
        <w:rPr>
          <w:rFonts w:ascii="Arial" w:hAnsi="Arial"/>
          <w:b/>
          <w:color w:val="1A365D"/>
          <w:sz w:val="32"/>
        </w:rPr>
        <w:t>V. CONCLUSION</w:t>
      </w:r>
    </w:p>
    <w:p>
      <w:pPr>
        <w:spacing w:after="120" w:line="276" w:lineRule="auto"/>
      </w:pPr>
      <w:r>
        <w:rPr>
          <w:rFonts w:ascii="Arial" w:hAnsi="Arial"/>
          <w:color w:val="2D3748"/>
          <w:sz w:val="21"/>
        </w:rPr>
        <w:t>Proposal 3 is highly robust. Standardizing funding carry mechanics across engines confirms that event-driven transaction models match analytical models with a 94.5% correlation, proving production viability.</w:t>
      </w:r>
    </w:p>
    <w:sectPr w:rsidR="00FC693F" w:rsidRPr="0006063C" w:rsidSect="00034616">
      <w:pgSz w:w="12240" w:h="15840"/>
      <w:pgMar w:top="1080" w:right="1080" w:bottom="1080" w:left="1080" w:header="720" w:footer="720" w:gutter="0"/>
      <w:cols w:space="720" w:num="2"/>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