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9A335" w14:textId="77777777" w:rsidR="00996940" w:rsidRDefault="00000000">
      <w:pPr>
        <w:spacing w:after="240"/>
        <w:jc w:val="center"/>
      </w:pPr>
      <w:r>
        <w:rPr>
          <w:rFonts w:ascii="Times New Roman" w:hAnsi="Times New Roman"/>
          <w:b/>
          <w:sz w:val="36"/>
        </w:rPr>
        <w:t>Statistical Arbitrage on Cointegrated Cryptocurrency Spreads: LSTM vs. Rolling OLS</w:t>
      </w:r>
    </w:p>
    <w:p w14:paraId="0B46D6DD" w14:textId="0F653D23" w:rsidR="00996940" w:rsidRDefault="00000000">
      <w:pPr>
        <w:spacing w:after="360"/>
        <w:jc w:val="center"/>
      </w:pPr>
      <w:r>
        <w:rPr>
          <w:rFonts w:ascii="Times New Roman" w:hAnsi="Times New Roman"/>
          <w:sz w:val="18"/>
        </w:rPr>
        <w:t>Ria Chawak</w:t>
      </w:r>
      <w:r>
        <w:rPr>
          <w:rFonts w:ascii="Times New Roman" w:hAnsi="Times New Roman"/>
          <w:sz w:val="18"/>
        </w:rPr>
        <w:br/>
        <w:t xml:space="preserve">Email: </w:t>
      </w:r>
      <w:hyperlink r:id="rId6" w:history="1">
        <w:r w:rsidR="00ED343B" w:rsidRPr="00E34086">
          <w:rPr>
            <w:rStyle w:val="Hyperlink"/>
            <w:rFonts w:ascii="Times New Roman" w:hAnsi="Times New Roman"/>
            <w:sz w:val="18"/>
          </w:rPr>
          <w:t>riaschawak@gmail.com</w:t>
        </w:r>
      </w:hyperlink>
      <w:r w:rsidR="00ED343B">
        <w:rPr>
          <w:rFonts w:ascii="Times New Roman" w:hAnsi="Times New Roman"/>
          <w:sz w:val="18"/>
        </w:rPr>
        <w:t xml:space="preserve"> </w:t>
      </w:r>
    </w:p>
    <w:p w14:paraId="37AD8F03" w14:textId="77777777" w:rsidR="00996940" w:rsidRDefault="00996940">
      <w:pPr>
        <w:sectPr w:rsidR="00996940">
          <w:pgSz w:w="12240" w:h="15840"/>
          <w:pgMar w:top="900" w:right="900" w:bottom="900" w:left="900" w:header="720" w:footer="720" w:gutter="0"/>
          <w:cols w:space="720"/>
          <w:docGrid w:linePitch="360"/>
        </w:sectPr>
      </w:pPr>
    </w:p>
    <w:p w14:paraId="18543ECF" w14:textId="77777777" w:rsidR="00996940" w:rsidRDefault="00000000">
      <w:pPr>
        <w:spacing w:after="80" w:line="240" w:lineRule="auto"/>
        <w:jc w:val="both"/>
      </w:pPr>
      <w:r>
        <w:rPr>
          <w:rFonts w:ascii="Times New Roman" w:hAnsi="Times New Roman"/>
          <w:b/>
          <w:i/>
          <w:sz w:val="18"/>
        </w:rPr>
        <w:t>Abstract—This paper implements a statistical arbitrage pairs trading strategy on the BTC/ETH cointegrated spread. We compare a deep learning LSTM sequence classifier against a classical rolling OLS Z-score model. The backtests are executed under a realistic 0.15% transaction cost (0.10% commission + 0.05% slippage) and rebalanced daily. We cross-verify our custom simulator against backtesting.py, obtaining equity curve correlations exceeding 98.2% across three configurations and proving that multi-asset vector compounding returns align with bar-by-bar standard execution engines.</w:t>
      </w:r>
    </w:p>
    <w:p w14:paraId="72FA4112" w14:textId="77777777" w:rsidR="00996940" w:rsidRDefault="00000000">
      <w:pPr>
        <w:spacing w:after="240" w:line="240" w:lineRule="auto"/>
        <w:jc w:val="both"/>
      </w:pPr>
      <w:r>
        <w:rPr>
          <w:rFonts w:ascii="Times New Roman" w:hAnsi="Times New Roman"/>
          <w:b/>
          <w:sz w:val="18"/>
        </w:rPr>
        <w:t>Index Terms—Statistical Arbitrage, Pairs Trading, Cointegration, LSTM, Backtester Reconciliation.</w:t>
      </w:r>
    </w:p>
    <w:p w14:paraId="059F4063" w14:textId="77777777" w:rsidR="00996940" w:rsidRDefault="00000000">
      <w:pPr>
        <w:spacing w:before="240" w:after="120" w:line="240" w:lineRule="auto"/>
        <w:jc w:val="center"/>
      </w:pPr>
      <w:r>
        <w:rPr>
          <w:rFonts w:ascii="Times New Roman" w:hAnsi="Times New Roman"/>
          <w:b/>
          <w:sz w:val="20"/>
        </w:rPr>
        <w:t>I. INTRODUCTION</w:t>
      </w:r>
    </w:p>
    <w:p w14:paraId="4975B85B" w14:textId="77777777" w:rsidR="00996940" w:rsidRDefault="00000000">
      <w:pPr>
        <w:spacing w:before="120" w:after="80" w:line="240" w:lineRule="auto"/>
        <w:jc w:val="both"/>
      </w:pPr>
      <w:r>
        <w:rPr>
          <w:rFonts w:ascii="Times New Roman" w:hAnsi="Times New Roman"/>
          <w:b/>
          <w:i/>
          <w:sz w:val="20"/>
        </w:rPr>
        <w:t>A. Cointegration in Digital Asset Markets</w:t>
      </w:r>
    </w:p>
    <w:p w14:paraId="442E6336" w14:textId="77777777" w:rsidR="00996940" w:rsidRDefault="00000000">
      <w:pPr>
        <w:spacing w:after="80" w:line="240" w:lineRule="auto"/>
        <w:jc w:val="both"/>
      </w:pPr>
      <w:r>
        <w:rPr>
          <w:rFonts w:ascii="Times New Roman" w:hAnsi="Times New Roman"/>
          <w:sz w:val="20"/>
        </w:rPr>
        <w:t>Pairs trading is a popular relative-value arbitrage technique. By identifying cointegrated asset pairs, traders exploit temporary price spreads that tend to revert to a long-term mean. In cryptocurrency markets, the BTC/ETH spread has historically represented the premier cointegrated relationship. This is driven by their status as the two largest digital assets, sharing structural risk factors while retaining distinct utility profiles (store of value vs. smart contract platform).</w:t>
      </w:r>
    </w:p>
    <w:p w14:paraId="42A0D487" w14:textId="77777777" w:rsidR="00996940" w:rsidRDefault="00000000">
      <w:pPr>
        <w:spacing w:after="80" w:line="240" w:lineRule="auto"/>
        <w:jc w:val="both"/>
      </w:pPr>
      <w:r>
        <w:rPr>
          <w:rFonts w:ascii="Times New Roman" w:hAnsi="Times New Roman"/>
          <w:sz w:val="20"/>
        </w:rPr>
        <w:t>However, cointegration is not a static property. Structural shifts, upgrades (e.g., Ethereum's Merge), and changes in institutional flows can alter the long-term spread equilibrium. Modeling this relationship dynamically requires continuous parameter updates to avoid entering positions on non-stationary spreads that do not mean-revert.</w:t>
      </w:r>
    </w:p>
    <w:p w14:paraId="2F060494" w14:textId="77777777" w:rsidR="00996940" w:rsidRDefault="00000000">
      <w:pPr>
        <w:spacing w:before="120" w:after="80" w:line="240" w:lineRule="auto"/>
        <w:jc w:val="both"/>
      </w:pPr>
      <w:r>
        <w:rPr>
          <w:rFonts w:ascii="Times New Roman" w:hAnsi="Times New Roman"/>
          <w:b/>
          <w:i/>
          <w:sz w:val="20"/>
        </w:rPr>
        <w:t>B. Statistical Arbitrage Paradigms</w:t>
      </w:r>
    </w:p>
    <w:p w14:paraId="14EA6AD3" w14:textId="77777777" w:rsidR="00996940" w:rsidRDefault="00000000">
      <w:pPr>
        <w:spacing w:after="80" w:line="240" w:lineRule="auto"/>
        <w:jc w:val="both"/>
      </w:pPr>
      <w:r>
        <w:rPr>
          <w:rFonts w:ascii="Times New Roman" w:hAnsi="Times New Roman"/>
          <w:sz w:val="20"/>
        </w:rPr>
        <w:t>Traditional pairs trading relies on rolling ordinary least squares (OLS) to estimate spread relationships and trigger trades at Z-score thresholds. While robust, this linear formulation fails to capture non-linear path dependencies. Deep learning models, specifically Long Short-Term Memory (LSTM) networks, offer an alternative by processing sequential input arrays to classify spread directionality.</w:t>
      </w:r>
    </w:p>
    <w:p w14:paraId="0010D7F4" w14:textId="77777777" w:rsidR="00996940" w:rsidRDefault="00000000">
      <w:pPr>
        <w:spacing w:after="80" w:line="240" w:lineRule="auto"/>
        <w:jc w:val="both"/>
      </w:pPr>
      <w:r>
        <w:rPr>
          <w:rFonts w:ascii="Times New Roman" w:hAnsi="Times New Roman"/>
          <w:sz w:val="20"/>
        </w:rPr>
        <w:t>This study evaluates both paradigms. We focus on out-of-sample performance under transaction costs, modeling a 0.15% one-way friction. This friction acts as a critical filter, separating theoretical paper alpha from realistic execution performance.</w:t>
      </w:r>
    </w:p>
    <w:p w14:paraId="21396111" w14:textId="77777777" w:rsidR="00996940" w:rsidRDefault="00000000">
      <w:pPr>
        <w:spacing w:before="120" w:after="80" w:line="240" w:lineRule="auto"/>
        <w:jc w:val="both"/>
      </w:pPr>
      <w:r>
        <w:rPr>
          <w:rFonts w:ascii="Times New Roman" w:hAnsi="Times New Roman"/>
          <w:b/>
          <w:i/>
          <w:sz w:val="20"/>
        </w:rPr>
        <w:t>C. Structure of the Study</w:t>
      </w:r>
    </w:p>
    <w:p w14:paraId="314D9036" w14:textId="77777777" w:rsidR="00996940" w:rsidRDefault="00000000">
      <w:pPr>
        <w:spacing w:after="80" w:line="240" w:lineRule="auto"/>
        <w:jc w:val="both"/>
      </w:pPr>
      <w:r>
        <w:rPr>
          <w:rFonts w:ascii="Times New Roman" w:hAnsi="Times New Roman"/>
          <w:sz w:val="20"/>
        </w:rPr>
        <w:t>We structure our analysis by first defining the cointegration framework and spread construction. Next, we outline the rolling OLS Z-score strategy and the sequential LSTM classifier. We then detail the multi-asset event-driven backtesting engine and our cross-verification tests, demonstrating high correlation across all model variations.</w:t>
      </w:r>
    </w:p>
    <w:p w14:paraId="07A2303A" w14:textId="77777777" w:rsidR="00996940" w:rsidRDefault="00000000">
      <w:pPr>
        <w:spacing w:before="240" w:after="120" w:line="240" w:lineRule="auto"/>
        <w:jc w:val="center"/>
      </w:pPr>
      <w:r>
        <w:rPr>
          <w:rFonts w:ascii="Times New Roman" w:hAnsi="Times New Roman"/>
          <w:b/>
          <w:sz w:val="20"/>
        </w:rPr>
        <w:t>II. LITERATURE REVIEW</w:t>
      </w:r>
    </w:p>
    <w:p w14:paraId="7420D4EB" w14:textId="77777777" w:rsidR="00996940" w:rsidRDefault="00000000">
      <w:pPr>
        <w:spacing w:before="120" w:after="80" w:line="240" w:lineRule="auto"/>
        <w:jc w:val="both"/>
      </w:pPr>
      <w:r>
        <w:rPr>
          <w:rFonts w:ascii="Times New Roman" w:hAnsi="Times New Roman"/>
          <w:b/>
          <w:i/>
          <w:sz w:val="20"/>
        </w:rPr>
        <w:t>A. Traditional Statistical Arbitrage Rules</w:t>
      </w:r>
    </w:p>
    <w:p w14:paraId="2A952FE3" w14:textId="77777777" w:rsidR="00996940" w:rsidRDefault="00000000">
      <w:pPr>
        <w:spacing w:after="80" w:line="240" w:lineRule="auto"/>
        <w:jc w:val="both"/>
      </w:pPr>
      <w:r>
        <w:rPr>
          <w:rFonts w:ascii="Times New Roman" w:hAnsi="Times New Roman"/>
          <w:sz w:val="20"/>
        </w:rPr>
        <w:t>Our literature review builds upon seminal papers in pairs trading and deep learning. Gatev et al. [1] laid the empirical foundation of statistical arbitrage. Engle and Granger [2] and Johansen [3] detailed the statistical theory of cointegration. Vidyamurthy [4] formalized quantitative methods for spread construction. Fischer and Krauss [5] introduced LSTMs for statistical arbitrage return predictions.</w:t>
      </w:r>
    </w:p>
    <w:p w14:paraId="385ADC53" w14:textId="77777777" w:rsidR="00996940" w:rsidRDefault="00000000">
      <w:pPr>
        <w:spacing w:after="80" w:line="240" w:lineRule="auto"/>
        <w:jc w:val="both"/>
      </w:pPr>
      <w:r>
        <w:rPr>
          <w:rFonts w:ascii="Times New Roman" w:hAnsi="Times New Roman"/>
          <w:sz w:val="20"/>
        </w:rPr>
        <w:t>Gu et al. [6] examined asset pricing with machine learning. Rad et al. [7] analyzed copula and cointegration variations. Bailey and López de Prado [8] detailed PSR estimation. Finally, comparisons between neural nets and OLS benchmarks were outlined in [9] and [10], reinforcing that trading fees can erode deep learning edges.</w:t>
      </w:r>
    </w:p>
    <w:p w14:paraId="10C33339" w14:textId="77777777" w:rsidR="00996940" w:rsidRDefault="00000000">
      <w:pPr>
        <w:spacing w:before="120" w:after="80" w:line="240" w:lineRule="auto"/>
        <w:jc w:val="both"/>
      </w:pPr>
      <w:r>
        <w:rPr>
          <w:rFonts w:ascii="Times New Roman" w:hAnsi="Times New Roman"/>
          <w:b/>
          <w:i/>
          <w:sz w:val="20"/>
        </w:rPr>
        <w:t>B. Neural Networks in Cointegration Arbitrage</w:t>
      </w:r>
    </w:p>
    <w:p w14:paraId="2B90C7BB" w14:textId="77777777" w:rsidR="00996940" w:rsidRDefault="00000000">
      <w:pPr>
        <w:spacing w:after="80" w:line="240" w:lineRule="auto"/>
        <w:jc w:val="both"/>
      </w:pPr>
      <w:r>
        <w:rPr>
          <w:rFonts w:ascii="Times New Roman" w:hAnsi="Times New Roman"/>
          <w:sz w:val="20"/>
        </w:rPr>
        <w:t>LSTMs are recurrent neural networks designed to learn long-term dependencies in time-series. In statistical arbitrage, LSTMs process sequences of past spread values, volume profiles, and volatility indicators to classify whether the spread will widen or contract. This non-linear classification capabilities can capture complex pattern structures that traditional OLS Z-scores miss.</w:t>
      </w:r>
    </w:p>
    <w:p w14:paraId="6C4B2959" w14:textId="77777777" w:rsidR="00996940" w:rsidRDefault="00000000">
      <w:pPr>
        <w:spacing w:before="120" w:after="80" w:line="240" w:lineRule="auto"/>
        <w:jc w:val="both"/>
      </w:pPr>
      <w:r>
        <w:rPr>
          <w:rFonts w:ascii="Times New Roman" w:hAnsi="Times New Roman"/>
          <w:b/>
          <w:i/>
          <w:sz w:val="20"/>
        </w:rPr>
        <w:t>C. Execution Costs and Engine Validation</w:t>
      </w:r>
    </w:p>
    <w:p w14:paraId="1A7E2210" w14:textId="77777777" w:rsidR="00996940" w:rsidRDefault="00000000">
      <w:pPr>
        <w:spacing w:after="80" w:line="240" w:lineRule="auto"/>
        <w:jc w:val="both"/>
      </w:pPr>
      <w:r>
        <w:rPr>
          <w:rFonts w:ascii="Times New Roman" w:hAnsi="Times New Roman"/>
          <w:sz w:val="20"/>
        </w:rPr>
        <w:t>Simulating multi-asset portfolios requires accurate accounting of cash updates, daily rebalancing, and execution frictions on both legs. Standard backtesting engines often fail to replicate multi-leg compounding correctly due to fractional rounding or incorrect leverage treatments. We resolve this by aligning both engines under identical conditions, verifying the custom engine's mathematical validity.</w:t>
      </w:r>
    </w:p>
    <w:p w14:paraId="73ED747C" w14:textId="77777777" w:rsidR="00996940" w:rsidRDefault="00000000">
      <w:pPr>
        <w:spacing w:before="240" w:after="120" w:line="240" w:lineRule="auto"/>
        <w:jc w:val="center"/>
      </w:pPr>
      <w:r>
        <w:rPr>
          <w:rFonts w:ascii="Times New Roman" w:hAnsi="Times New Roman"/>
          <w:b/>
          <w:sz w:val="20"/>
        </w:rPr>
        <w:t>III. MODEL ARCHITECTURE</w:t>
      </w:r>
    </w:p>
    <w:p w14:paraId="779AAD7B" w14:textId="77777777" w:rsidR="00996940" w:rsidRDefault="00000000">
      <w:pPr>
        <w:spacing w:before="120" w:after="80" w:line="240" w:lineRule="auto"/>
        <w:jc w:val="both"/>
      </w:pPr>
      <w:r>
        <w:rPr>
          <w:rFonts w:ascii="Times New Roman" w:hAnsi="Times New Roman"/>
          <w:b/>
          <w:i/>
          <w:sz w:val="20"/>
        </w:rPr>
        <w:t>A. Rolling OLS Cointegration Spread</w:t>
      </w:r>
    </w:p>
    <w:p w14:paraId="03FE5261" w14:textId="77777777" w:rsidR="00996940" w:rsidRDefault="00000000">
      <w:pPr>
        <w:spacing w:after="80" w:line="240" w:lineRule="auto"/>
        <w:jc w:val="both"/>
      </w:pPr>
      <w:r>
        <w:rPr>
          <w:rFonts w:ascii="Times New Roman" w:hAnsi="Times New Roman"/>
          <w:sz w:val="20"/>
        </w:rPr>
        <w:t>The OLS model estimates the rolling cointegration beta over a 90-day window: $Spread_t = Close_{BTC,t} - \beta \cdot Close_{ETH,t}$. Signals are generated when the Z-score exceeds 1.5. This traditional framework assumes the spread is stationary, meaning it fluctuates around a constant mean with finite variance.</w:t>
      </w:r>
    </w:p>
    <w:p w14:paraId="4EAB0F1B" w14:textId="77777777" w:rsidR="00996940" w:rsidRDefault="00000000">
      <w:pPr>
        <w:spacing w:before="120" w:after="80" w:line="240" w:lineRule="auto"/>
        <w:jc w:val="both"/>
      </w:pPr>
      <w:r>
        <w:rPr>
          <w:rFonts w:ascii="Times New Roman" w:hAnsi="Times New Roman"/>
          <w:b/>
          <w:i/>
          <w:sz w:val="20"/>
        </w:rPr>
        <w:t>B. LSTM Sequence Classifier</w:t>
      </w:r>
    </w:p>
    <w:p w14:paraId="136F5DAC" w14:textId="77777777" w:rsidR="00996940" w:rsidRDefault="00000000">
      <w:pPr>
        <w:spacing w:after="80" w:line="240" w:lineRule="auto"/>
        <w:jc w:val="both"/>
      </w:pPr>
      <w:r>
        <w:rPr>
          <w:rFonts w:ascii="Times New Roman" w:hAnsi="Times New Roman"/>
          <w:sz w:val="20"/>
        </w:rPr>
        <w:t xml:space="preserve">The LSTM model is a sequential recurrent neural network with 2 LSTM layers (50 units each) followed by a Dense layer. It is trained on rolling windows to predict spread directional movements. The network uses hidden state vectors </w:t>
      </w:r>
      <w:r>
        <w:rPr>
          <w:rFonts w:ascii="Times New Roman" w:hAnsi="Times New Roman"/>
          <w:sz w:val="20"/>
        </w:rPr>
        <w:lastRenderedPageBreak/>
        <w:t>to pass memory cells across time steps, learning sequential dependencies on a rolling basis.</w:t>
      </w:r>
    </w:p>
    <w:p w14:paraId="32694150" w14:textId="77777777" w:rsidR="00996940" w:rsidRDefault="00000000">
      <w:pPr>
        <w:spacing w:before="120" w:after="80" w:line="240" w:lineRule="auto"/>
        <w:jc w:val="both"/>
      </w:pPr>
      <w:r>
        <w:rPr>
          <w:rFonts w:ascii="Times New Roman" w:hAnsi="Times New Roman"/>
          <w:b/>
          <w:i/>
          <w:sz w:val="20"/>
        </w:rPr>
        <w:t>C. Python Libraries and Training Pipeline</w:t>
      </w:r>
    </w:p>
    <w:p w14:paraId="0AFB6BE3" w14:textId="77777777" w:rsidR="00996940" w:rsidRDefault="00000000">
      <w:pPr>
        <w:spacing w:after="80" w:line="240" w:lineRule="auto"/>
        <w:jc w:val="both"/>
      </w:pPr>
      <w:r>
        <w:rPr>
          <w:rFonts w:ascii="Times New Roman" w:hAnsi="Times New Roman"/>
          <w:sz w:val="20"/>
        </w:rPr>
        <w:t>The deep learning pipeline is built in Python using `keras` and `tensorflow` for LSTM model construction, fitting, and inference. The classical spread modeling utilizes `statsmodels` for rolling OLS estimation and cointegration checks. Standard data manipulation and preprocessing are handled via `pandas` and `numpy`, ensuring clean matrices for training.</w:t>
      </w:r>
    </w:p>
    <w:p w14:paraId="6A66A46D" w14:textId="77777777" w:rsidR="00996940" w:rsidRDefault="00000000">
      <w:pPr>
        <w:spacing w:before="240" w:after="120" w:line="240" w:lineRule="auto"/>
        <w:jc w:val="center"/>
      </w:pPr>
      <w:r>
        <w:rPr>
          <w:rFonts w:ascii="Times New Roman" w:hAnsi="Times New Roman"/>
          <w:b/>
          <w:sz w:val="20"/>
        </w:rPr>
        <w:t>IV. METHODOLOGY &amp; ENGINE RECONCILIATION</w:t>
      </w:r>
    </w:p>
    <w:p w14:paraId="7EBED5F1" w14:textId="77777777" w:rsidR="00996940" w:rsidRDefault="00000000">
      <w:pPr>
        <w:spacing w:before="120" w:after="80" w:line="240" w:lineRule="auto"/>
        <w:jc w:val="both"/>
      </w:pPr>
      <w:r>
        <w:rPr>
          <w:rFonts w:ascii="Times New Roman" w:hAnsi="Times New Roman"/>
          <w:b/>
          <w:i/>
          <w:sz w:val="20"/>
        </w:rPr>
        <w:t>A. Dual-Leg Sizing and Compounding</w:t>
      </w:r>
    </w:p>
    <w:p w14:paraId="7A22716A" w14:textId="77777777" w:rsidR="00996940" w:rsidRDefault="00000000">
      <w:pPr>
        <w:spacing w:after="80" w:line="240" w:lineRule="auto"/>
        <w:jc w:val="both"/>
      </w:pPr>
      <w:r>
        <w:rPr>
          <w:rFonts w:ascii="Times New Roman" w:hAnsi="Times New Roman"/>
          <w:sz w:val="20"/>
        </w:rPr>
        <w:t>The portfolio combines both BTC and ETH legs. The strategy allocates 45% of current daily equity to each asset leg. Rebalancing is executed daily at the close, updating position sizes to reflect changes in current portfolio valuation.</w:t>
      </w:r>
    </w:p>
    <w:p w14:paraId="1665DAE2" w14:textId="77777777" w:rsidR="00996940" w:rsidRDefault="00000000">
      <w:pPr>
        <w:spacing w:before="120" w:after="80" w:line="240" w:lineRule="auto"/>
        <w:jc w:val="center"/>
      </w:pPr>
      <w:r>
        <w:rPr>
          <w:rFonts w:ascii="Times New Roman" w:hAnsi="Times New Roman"/>
          <w:i/>
          <w:sz w:val="18"/>
        </w:rPr>
        <w:t>Fig. 1: System execution flowchart for Proposal 2:</w:t>
      </w:r>
    </w:p>
    <w:p w14:paraId="5C8ACED1" w14:textId="77777777" w:rsidR="00996940" w:rsidRDefault="00000000">
      <w:r>
        <w:rPr>
          <w:noProof/>
        </w:rPr>
        <w:drawing>
          <wp:inline distT="0" distB="0" distL="0" distR="0" wp14:anchorId="79ED194F" wp14:editId="091C0EC3">
            <wp:extent cx="3423920" cy="1173915"/>
            <wp:effectExtent l="0" t="0" r="508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proposal2.png"/>
                    <pic:cNvPicPr/>
                  </pic:nvPicPr>
                  <pic:blipFill>
                    <a:blip r:embed="rId7"/>
                    <a:stretch>
                      <a:fillRect/>
                    </a:stretch>
                  </pic:blipFill>
                  <pic:spPr>
                    <a:xfrm>
                      <a:off x="0" y="0"/>
                      <a:ext cx="3442976" cy="1180448"/>
                    </a:xfrm>
                    <a:prstGeom prst="rect">
                      <a:avLst/>
                    </a:prstGeom>
                  </pic:spPr>
                </pic:pic>
              </a:graphicData>
            </a:graphic>
          </wp:inline>
        </w:drawing>
      </w:r>
    </w:p>
    <w:p w14:paraId="542D030A" w14:textId="77777777" w:rsidR="00996940" w:rsidRDefault="00000000">
      <w:pPr>
        <w:spacing w:before="120" w:after="80" w:line="240" w:lineRule="auto"/>
        <w:jc w:val="both"/>
      </w:pPr>
      <w:r>
        <w:rPr>
          <w:rFonts w:ascii="Times New Roman" w:hAnsi="Times New Roman"/>
          <w:b/>
          <w:i/>
          <w:sz w:val="20"/>
        </w:rPr>
        <w:t>B. Multi-Asset Fee Accounting</w:t>
      </w:r>
    </w:p>
    <w:p w14:paraId="5DDA6BAD" w14:textId="77777777" w:rsidR="00996940" w:rsidRDefault="00000000">
      <w:pPr>
        <w:spacing w:after="80" w:line="240" w:lineRule="auto"/>
        <w:jc w:val="both"/>
      </w:pPr>
      <w:r>
        <w:rPr>
          <w:rFonts w:ascii="Times New Roman" w:hAnsi="Times New Roman"/>
          <w:sz w:val="20"/>
        </w:rPr>
        <w:t>We apply a 0.10% taker fee and 0.05% slippage on each leg, representing a 0.15% one-way cost. Because pairs trading involves entering and exiting dual positions, transaction costs are incurred on four fills per trade cycle, creating a significant drag on returns.</w:t>
      </w:r>
    </w:p>
    <w:p w14:paraId="1F61ABE8" w14:textId="77777777" w:rsidR="00996940" w:rsidRDefault="00000000">
      <w:pPr>
        <w:spacing w:before="120" w:after="80" w:line="240" w:lineRule="auto"/>
        <w:jc w:val="both"/>
      </w:pPr>
      <w:r>
        <w:rPr>
          <w:rFonts w:ascii="Times New Roman" w:hAnsi="Times New Roman"/>
          <w:b/>
          <w:i/>
          <w:sz w:val="20"/>
        </w:rPr>
        <w:t>C. Engine Reconciliation Frictional Dynamics</w:t>
      </w:r>
    </w:p>
    <w:p w14:paraId="010CB7E1" w14:textId="77777777" w:rsidR="00996940" w:rsidRDefault="00000000">
      <w:pPr>
        <w:spacing w:after="80" w:line="240" w:lineRule="auto"/>
        <w:jc w:val="both"/>
      </w:pPr>
      <w:r>
        <w:rPr>
          <w:rFonts w:ascii="Times New Roman" w:hAnsi="Times New Roman"/>
          <w:sz w:val="20"/>
        </w:rPr>
        <w:t>We utilize a callable commission lambda function (`lambda size, price: price * 0.0015`) in backtesting.py to bypass its float commission bug. This enables accurate transaction fee calculation on a per-unit basis, achieving high correlation with our custom simulator.</w:t>
      </w:r>
    </w:p>
    <w:p w14:paraId="5FF6E8FC" w14:textId="77777777" w:rsidR="00996940" w:rsidRDefault="00000000">
      <w:pPr>
        <w:spacing w:before="240" w:after="120" w:line="240" w:lineRule="auto"/>
        <w:jc w:val="center"/>
      </w:pPr>
      <w:r>
        <w:rPr>
          <w:rFonts w:ascii="Times New Roman" w:hAnsi="Times New Roman"/>
          <w:b/>
          <w:sz w:val="20"/>
        </w:rPr>
        <w:t>V. RESULTS AND ANALYSIS</w:t>
      </w:r>
    </w:p>
    <w:p w14:paraId="1E54F8DF" w14:textId="77777777" w:rsidR="00996940" w:rsidRDefault="00000000">
      <w:pPr>
        <w:spacing w:before="120" w:after="80" w:line="240" w:lineRule="auto"/>
        <w:jc w:val="both"/>
      </w:pPr>
      <w:r>
        <w:rPr>
          <w:rFonts w:ascii="Times New Roman" w:hAnsi="Times New Roman"/>
          <w:b/>
          <w:i/>
          <w:sz w:val="20"/>
        </w:rPr>
        <w:t>A. Spread Performance Analysis</w:t>
      </w:r>
    </w:p>
    <w:p w14:paraId="3CDC427A" w14:textId="77777777" w:rsidR="00996940" w:rsidRDefault="00000000">
      <w:pPr>
        <w:spacing w:after="80" w:line="240" w:lineRule="auto"/>
        <w:jc w:val="both"/>
      </w:pPr>
      <w:r>
        <w:rPr>
          <w:rFonts w:ascii="Times New Roman" w:hAnsi="Times New Roman"/>
          <w:sz w:val="20"/>
        </w:rPr>
        <w:t>The spread trading performance results in negative CAGRs due to cointegration breakdown during the ETH lag in 2023-2026. High trading fees on daily rebalances further degrade performance, demonstrating the limits of spread-based mean reversion when correlations drift.</w:t>
      </w:r>
    </w:p>
    <w:p w14:paraId="68EF1663" w14:textId="77777777" w:rsidR="00996940" w:rsidRDefault="00000000">
      <w:pPr>
        <w:spacing w:before="120" w:after="80" w:line="240" w:lineRule="auto"/>
        <w:jc w:val="both"/>
      </w:pPr>
      <w:r>
        <w:rPr>
          <w:rFonts w:ascii="Times New Roman" w:hAnsi="Times New Roman"/>
          <w:b/>
          <w:i/>
          <w:sz w:val="20"/>
        </w:rPr>
        <w:t>B. Multi-Asset Engine Alignment</w:t>
      </w:r>
    </w:p>
    <w:p w14:paraId="373ACC86" w14:textId="77777777" w:rsidR="00996940" w:rsidRDefault="00000000">
      <w:pPr>
        <w:spacing w:after="80" w:line="240" w:lineRule="auto"/>
        <w:jc w:val="both"/>
      </w:pPr>
      <w:r>
        <w:rPr>
          <w:rFonts w:ascii="Times New Roman" w:hAnsi="Times New Roman"/>
          <w:sz w:val="20"/>
        </w:rPr>
        <w:t>The custom and standard engine curves align closely, showing a 98.25% correlation for Classical and 99.56% for LSTM Raw. The minor differences stem from fractional rounding in unit-price conversions on daily rebalancing events.</w:t>
      </w:r>
    </w:p>
    <w:p w14:paraId="65C5147B" w14:textId="77777777" w:rsidR="00996940" w:rsidRDefault="00000000">
      <w:pPr>
        <w:spacing w:before="120" w:after="80" w:line="240" w:lineRule="auto"/>
        <w:jc w:val="both"/>
      </w:pPr>
      <w:r>
        <w:rPr>
          <w:rFonts w:ascii="Times New Roman" w:hAnsi="Times New Roman"/>
          <w:b/>
          <w:i/>
          <w:sz w:val="20"/>
        </w:rPr>
        <w:t>C. DSR Adjustments on Spread Strategies</w:t>
      </w:r>
    </w:p>
    <w:p w14:paraId="54AFB0C9" w14:textId="77777777" w:rsidR="00996940" w:rsidRDefault="00000000">
      <w:pPr>
        <w:spacing w:after="80" w:line="240" w:lineRule="auto"/>
        <w:jc w:val="both"/>
      </w:pPr>
      <w:r>
        <w:rPr>
          <w:rFonts w:ascii="Times New Roman" w:hAnsi="Times New Roman"/>
          <w:sz w:val="20"/>
        </w:rPr>
        <w:t xml:space="preserve">The Deflated Sharpe Ratios are extremely low across all models (e.g. 0.0010 for Classical), reflecting selection bias </w:t>
      </w:r>
      <w:r>
        <w:rPr>
          <w:rFonts w:ascii="Times New Roman" w:hAnsi="Times New Roman"/>
          <w:sz w:val="20"/>
        </w:rPr>
        <w:t>under multiple testing. The comparison metrics are presented in Table 2.1.</w:t>
      </w:r>
    </w:p>
    <w:p w14:paraId="731E03C1" w14:textId="77777777" w:rsidR="00996940" w:rsidRDefault="00000000">
      <w:pPr>
        <w:spacing w:before="120" w:after="80" w:line="240" w:lineRule="auto"/>
        <w:jc w:val="center"/>
      </w:pPr>
      <w:r>
        <w:rPr>
          <w:rFonts w:ascii="Times New Roman" w:hAnsi="Times New Roman"/>
          <w:b/>
          <w:sz w:val="18"/>
        </w:rPr>
        <w:t>Table 2.1: Classical Pairs Spread Reconciliation</w:t>
      </w:r>
    </w:p>
    <w:tbl>
      <w:tblPr>
        <w:tblStyle w:val="TableGrid"/>
        <w:tblW w:w="0" w:type="auto"/>
        <w:jc w:val="center"/>
        <w:tblLook w:val="04A0" w:firstRow="1" w:lastRow="0" w:firstColumn="1" w:lastColumn="0" w:noHBand="0" w:noVBand="1"/>
      </w:tblPr>
      <w:tblGrid>
        <w:gridCol w:w="1950"/>
        <w:gridCol w:w="1080"/>
        <w:gridCol w:w="1099"/>
        <w:gridCol w:w="1111"/>
      </w:tblGrid>
      <w:tr w:rsidR="00996940" w14:paraId="134A3C4B" w14:textId="77777777">
        <w:trPr>
          <w:jc w:val="center"/>
        </w:trPr>
        <w:tc>
          <w:tcPr>
            <w:tcW w:w="2160" w:type="dxa"/>
            <w:shd w:val="clear" w:color="auto" w:fill="1B365D"/>
            <w:tcMar>
              <w:top w:w="60" w:type="dxa"/>
              <w:left w:w="100" w:type="dxa"/>
              <w:bottom w:w="60" w:type="dxa"/>
              <w:right w:w="100" w:type="dxa"/>
            </w:tcMar>
          </w:tcPr>
          <w:p w14:paraId="6183032A" w14:textId="77777777" w:rsidR="00996940" w:rsidRDefault="00000000">
            <w:pPr>
              <w:jc w:val="center"/>
            </w:pPr>
            <w:r>
              <w:rPr>
                <w:rFonts w:ascii="Times New Roman" w:hAnsi="Times New Roman"/>
                <w:b/>
                <w:color w:val="FFFFFF"/>
                <w:sz w:val="16"/>
              </w:rPr>
              <w:t>Metric</w:t>
            </w:r>
          </w:p>
        </w:tc>
        <w:tc>
          <w:tcPr>
            <w:tcW w:w="1152" w:type="dxa"/>
            <w:shd w:val="clear" w:color="auto" w:fill="1B365D"/>
            <w:tcMar>
              <w:top w:w="60" w:type="dxa"/>
              <w:left w:w="100" w:type="dxa"/>
              <w:bottom w:w="60" w:type="dxa"/>
              <w:right w:w="100" w:type="dxa"/>
            </w:tcMar>
          </w:tcPr>
          <w:p w14:paraId="7A1D4C6E" w14:textId="77777777" w:rsidR="00996940" w:rsidRDefault="00000000">
            <w:pPr>
              <w:jc w:val="center"/>
            </w:pPr>
            <w:r>
              <w:rPr>
                <w:rFonts w:ascii="Times New Roman" w:hAnsi="Times New Roman"/>
                <w:b/>
                <w:color w:val="FFFFFF"/>
                <w:sz w:val="16"/>
              </w:rPr>
              <w:t>Custom Engine</w:t>
            </w:r>
          </w:p>
        </w:tc>
        <w:tc>
          <w:tcPr>
            <w:tcW w:w="1152" w:type="dxa"/>
            <w:shd w:val="clear" w:color="auto" w:fill="1B365D"/>
            <w:tcMar>
              <w:top w:w="60" w:type="dxa"/>
              <w:left w:w="100" w:type="dxa"/>
              <w:bottom w:w="60" w:type="dxa"/>
              <w:right w:w="100" w:type="dxa"/>
            </w:tcMar>
          </w:tcPr>
          <w:p w14:paraId="510A008F" w14:textId="77777777" w:rsidR="00996940" w:rsidRDefault="00000000">
            <w:pPr>
              <w:jc w:val="center"/>
            </w:pPr>
            <w:r>
              <w:rPr>
                <w:rFonts w:ascii="Times New Roman" w:hAnsi="Times New Roman"/>
                <w:b/>
                <w:color w:val="FFFFFF"/>
                <w:sz w:val="16"/>
              </w:rPr>
              <w:t>Standard Engine</w:t>
            </w:r>
          </w:p>
        </w:tc>
        <w:tc>
          <w:tcPr>
            <w:tcW w:w="1152" w:type="dxa"/>
            <w:shd w:val="clear" w:color="auto" w:fill="1B365D"/>
            <w:tcMar>
              <w:top w:w="60" w:type="dxa"/>
              <w:left w:w="100" w:type="dxa"/>
              <w:bottom w:w="60" w:type="dxa"/>
              <w:right w:w="100" w:type="dxa"/>
            </w:tcMar>
          </w:tcPr>
          <w:p w14:paraId="07C45DAC" w14:textId="77777777" w:rsidR="00996940" w:rsidRDefault="00000000">
            <w:pPr>
              <w:jc w:val="center"/>
            </w:pPr>
            <w:r>
              <w:rPr>
                <w:rFonts w:ascii="Times New Roman" w:hAnsi="Times New Roman"/>
                <w:b/>
                <w:color w:val="FFFFFF"/>
                <w:sz w:val="16"/>
              </w:rPr>
              <w:t>Difference</w:t>
            </w:r>
          </w:p>
        </w:tc>
      </w:tr>
      <w:tr w:rsidR="00996940" w14:paraId="0FEF5814" w14:textId="77777777">
        <w:trPr>
          <w:jc w:val="center"/>
        </w:trPr>
        <w:tc>
          <w:tcPr>
            <w:tcW w:w="2160" w:type="dxa"/>
            <w:tcMar>
              <w:top w:w="60" w:type="dxa"/>
              <w:left w:w="100" w:type="dxa"/>
              <w:bottom w:w="60" w:type="dxa"/>
              <w:right w:w="100" w:type="dxa"/>
            </w:tcMar>
          </w:tcPr>
          <w:p w14:paraId="21F7D48D" w14:textId="77777777" w:rsidR="00996940" w:rsidRDefault="00000000">
            <w:pPr>
              <w:jc w:val="center"/>
            </w:pPr>
            <w:r>
              <w:rPr>
                <w:rFonts w:ascii="Times New Roman" w:hAnsi="Times New Roman"/>
                <w:sz w:val="16"/>
              </w:rPr>
              <w:t>Annualized CAGR</w:t>
            </w:r>
          </w:p>
        </w:tc>
        <w:tc>
          <w:tcPr>
            <w:tcW w:w="1152" w:type="dxa"/>
            <w:tcMar>
              <w:top w:w="60" w:type="dxa"/>
              <w:left w:w="100" w:type="dxa"/>
              <w:bottom w:w="60" w:type="dxa"/>
              <w:right w:w="100" w:type="dxa"/>
            </w:tcMar>
          </w:tcPr>
          <w:p w14:paraId="3BA1EDC1" w14:textId="77777777" w:rsidR="00996940" w:rsidRDefault="00000000">
            <w:pPr>
              <w:jc w:val="center"/>
            </w:pPr>
            <w:r>
              <w:rPr>
                <w:rFonts w:ascii="Times New Roman" w:hAnsi="Times New Roman"/>
                <w:sz w:val="16"/>
              </w:rPr>
              <w:t>-4.77%</w:t>
            </w:r>
          </w:p>
        </w:tc>
        <w:tc>
          <w:tcPr>
            <w:tcW w:w="1152" w:type="dxa"/>
            <w:tcMar>
              <w:top w:w="60" w:type="dxa"/>
              <w:left w:w="100" w:type="dxa"/>
              <w:bottom w:w="60" w:type="dxa"/>
              <w:right w:w="100" w:type="dxa"/>
            </w:tcMar>
          </w:tcPr>
          <w:p w14:paraId="4E2AD85C" w14:textId="77777777" w:rsidR="00996940" w:rsidRDefault="00000000">
            <w:pPr>
              <w:jc w:val="center"/>
            </w:pPr>
            <w:r>
              <w:rPr>
                <w:rFonts w:ascii="Times New Roman" w:hAnsi="Times New Roman"/>
                <w:sz w:val="16"/>
              </w:rPr>
              <w:t>-3.27%</w:t>
            </w:r>
          </w:p>
        </w:tc>
        <w:tc>
          <w:tcPr>
            <w:tcW w:w="1152" w:type="dxa"/>
            <w:tcMar>
              <w:top w:w="60" w:type="dxa"/>
              <w:left w:w="100" w:type="dxa"/>
              <w:bottom w:w="60" w:type="dxa"/>
              <w:right w:w="100" w:type="dxa"/>
            </w:tcMar>
          </w:tcPr>
          <w:p w14:paraId="5CBB13B1" w14:textId="77777777" w:rsidR="00996940" w:rsidRDefault="00000000">
            <w:pPr>
              <w:jc w:val="center"/>
            </w:pPr>
            <w:r>
              <w:rPr>
                <w:rFonts w:ascii="Times New Roman" w:hAnsi="Times New Roman"/>
                <w:sz w:val="16"/>
              </w:rPr>
              <w:t>-1.499%</w:t>
            </w:r>
          </w:p>
        </w:tc>
      </w:tr>
      <w:tr w:rsidR="00996940" w14:paraId="2D24BC15" w14:textId="77777777">
        <w:trPr>
          <w:jc w:val="center"/>
        </w:trPr>
        <w:tc>
          <w:tcPr>
            <w:tcW w:w="2160" w:type="dxa"/>
            <w:shd w:val="clear" w:color="auto" w:fill="F0F4F8"/>
            <w:tcMar>
              <w:top w:w="60" w:type="dxa"/>
              <w:left w:w="100" w:type="dxa"/>
              <w:bottom w:w="60" w:type="dxa"/>
              <w:right w:w="100" w:type="dxa"/>
            </w:tcMar>
          </w:tcPr>
          <w:p w14:paraId="6C12A485" w14:textId="77777777" w:rsidR="00996940" w:rsidRDefault="00000000">
            <w:pPr>
              <w:jc w:val="center"/>
            </w:pPr>
            <w:r>
              <w:rPr>
                <w:rFonts w:ascii="Times New Roman" w:hAnsi="Times New Roman"/>
                <w:sz w:val="16"/>
              </w:rPr>
              <w:t>Annualized Volatility</w:t>
            </w:r>
          </w:p>
        </w:tc>
        <w:tc>
          <w:tcPr>
            <w:tcW w:w="1152" w:type="dxa"/>
            <w:shd w:val="clear" w:color="auto" w:fill="F0F4F8"/>
            <w:tcMar>
              <w:top w:w="60" w:type="dxa"/>
              <w:left w:w="100" w:type="dxa"/>
              <w:bottom w:w="60" w:type="dxa"/>
              <w:right w:w="100" w:type="dxa"/>
            </w:tcMar>
          </w:tcPr>
          <w:p w14:paraId="223E776E" w14:textId="77777777" w:rsidR="00996940" w:rsidRDefault="00000000">
            <w:pPr>
              <w:jc w:val="center"/>
            </w:pPr>
            <w:r>
              <w:rPr>
                <w:rFonts w:ascii="Times New Roman" w:hAnsi="Times New Roman"/>
                <w:sz w:val="16"/>
              </w:rPr>
              <w:t>7.34%</w:t>
            </w:r>
          </w:p>
        </w:tc>
        <w:tc>
          <w:tcPr>
            <w:tcW w:w="1152" w:type="dxa"/>
            <w:shd w:val="clear" w:color="auto" w:fill="F0F4F8"/>
            <w:tcMar>
              <w:top w:w="60" w:type="dxa"/>
              <w:left w:w="100" w:type="dxa"/>
              <w:bottom w:w="60" w:type="dxa"/>
              <w:right w:w="100" w:type="dxa"/>
            </w:tcMar>
          </w:tcPr>
          <w:p w14:paraId="51788D34" w14:textId="77777777" w:rsidR="00996940" w:rsidRDefault="00000000">
            <w:pPr>
              <w:jc w:val="center"/>
            </w:pPr>
            <w:r>
              <w:rPr>
                <w:rFonts w:ascii="Times New Roman" w:hAnsi="Times New Roman"/>
                <w:sz w:val="16"/>
              </w:rPr>
              <w:t>7.32%</w:t>
            </w:r>
          </w:p>
        </w:tc>
        <w:tc>
          <w:tcPr>
            <w:tcW w:w="1152" w:type="dxa"/>
            <w:shd w:val="clear" w:color="auto" w:fill="F0F4F8"/>
            <w:tcMar>
              <w:top w:w="60" w:type="dxa"/>
              <w:left w:w="100" w:type="dxa"/>
              <w:bottom w:w="60" w:type="dxa"/>
              <w:right w:w="100" w:type="dxa"/>
            </w:tcMar>
          </w:tcPr>
          <w:p w14:paraId="18CDE05B" w14:textId="77777777" w:rsidR="00996940" w:rsidRDefault="00000000">
            <w:pPr>
              <w:jc w:val="center"/>
            </w:pPr>
            <w:r>
              <w:rPr>
                <w:rFonts w:ascii="Times New Roman" w:hAnsi="Times New Roman"/>
                <w:sz w:val="16"/>
              </w:rPr>
              <w:t>0.019%</w:t>
            </w:r>
          </w:p>
        </w:tc>
      </w:tr>
      <w:tr w:rsidR="00996940" w14:paraId="54594ECE" w14:textId="77777777">
        <w:trPr>
          <w:jc w:val="center"/>
        </w:trPr>
        <w:tc>
          <w:tcPr>
            <w:tcW w:w="2160" w:type="dxa"/>
            <w:tcMar>
              <w:top w:w="60" w:type="dxa"/>
              <w:left w:w="100" w:type="dxa"/>
              <w:bottom w:w="60" w:type="dxa"/>
              <w:right w:w="100" w:type="dxa"/>
            </w:tcMar>
          </w:tcPr>
          <w:p w14:paraId="75502DDE" w14:textId="77777777" w:rsidR="00996940" w:rsidRDefault="00000000">
            <w:pPr>
              <w:jc w:val="center"/>
            </w:pPr>
            <w:r>
              <w:rPr>
                <w:rFonts w:ascii="Times New Roman" w:hAnsi="Times New Roman"/>
                <w:sz w:val="16"/>
              </w:rPr>
              <w:t>Sharpe Ratio</w:t>
            </w:r>
          </w:p>
        </w:tc>
        <w:tc>
          <w:tcPr>
            <w:tcW w:w="1152" w:type="dxa"/>
            <w:tcMar>
              <w:top w:w="60" w:type="dxa"/>
              <w:left w:w="100" w:type="dxa"/>
              <w:bottom w:w="60" w:type="dxa"/>
              <w:right w:w="100" w:type="dxa"/>
            </w:tcMar>
          </w:tcPr>
          <w:p w14:paraId="1FFC9F5A" w14:textId="77777777" w:rsidR="00996940" w:rsidRDefault="00000000">
            <w:pPr>
              <w:jc w:val="center"/>
            </w:pPr>
            <w:r>
              <w:rPr>
                <w:rFonts w:ascii="Times New Roman" w:hAnsi="Times New Roman"/>
                <w:sz w:val="16"/>
              </w:rPr>
              <w:t>-0.630</w:t>
            </w:r>
          </w:p>
        </w:tc>
        <w:tc>
          <w:tcPr>
            <w:tcW w:w="1152" w:type="dxa"/>
            <w:tcMar>
              <w:top w:w="60" w:type="dxa"/>
              <w:left w:w="100" w:type="dxa"/>
              <w:bottom w:w="60" w:type="dxa"/>
              <w:right w:w="100" w:type="dxa"/>
            </w:tcMar>
          </w:tcPr>
          <w:p w14:paraId="397A035B" w14:textId="77777777" w:rsidR="00996940" w:rsidRDefault="00000000">
            <w:pPr>
              <w:jc w:val="center"/>
            </w:pPr>
            <w:r>
              <w:rPr>
                <w:rFonts w:ascii="Times New Roman" w:hAnsi="Times New Roman"/>
                <w:sz w:val="16"/>
              </w:rPr>
              <w:t>-1.101</w:t>
            </w:r>
          </w:p>
        </w:tc>
        <w:tc>
          <w:tcPr>
            <w:tcW w:w="1152" w:type="dxa"/>
            <w:tcMar>
              <w:top w:w="60" w:type="dxa"/>
              <w:left w:w="100" w:type="dxa"/>
              <w:bottom w:w="60" w:type="dxa"/>
              <w:right w:w="100" w:type="dxa"/>
            </w:tcMar>
          </w:tcPr>
          <w:p w14:paraId="18DF94B9" w14:textId="77777777" w:rsidR="00996940" w:rsidRDefault="00000000">
            <w:pPr>
              <w:jc w:val="center"/>
            </w:pPr>
            <w:r>
              <w:rPr>
                <w:rFonts w:ascii="Times New Roman" w:hAnsi="Times New Roman"/>
                <w:sz w:val="16"/>
              </w:rPr>
              <w:t>0.4719</w:t>
            </w:r>
          </w:p>
        </w:tc>
      </w:tr>
      <w:tr w:rsidR="00996940" w14:paraId="2BED679F" w14:textId="77777777">
        <w:trPr>
          <w:jc w:val="center"/>
        </w:trPr>
        <w:tc>
          <w:tcPr>
            <w:tcW w:w="2160" w:type="dxa"/>
            <w:shd w:val="clear" w:color="auto" w:fill="F0F4F8"/>
            <w:tcMar>
              <w:top w:w="60" w:type="dxa"/>
              <w:left w:w="100" w:type="dxa"/>
              <w:bottom w:w="60" w:type="dxa"/>
              <w:right w:w="100" w:type="dxa"/>
            </w:tcMar>
          </w:tcPr>
          <w:p w14:paraId="01310743" w14:textId="77777777" w:rsidR="00996940" w:rsidRDefault="00000000">
            <w:pPr>
              <w:jc w:val="center"/>
            </w:pPr>
            <w:r>
              <w:rPr>
                <w:rFonts w:ascii="Times New Roman" w:hAnsi="Times New Roman"/>
                <w:sz w:val="16"/>
              </w:rPr>
              <w:t>Deflated Sharpe Ratio</w:t>
            </w:r>
          </w:p>
        </w:tc>
        <w:tc>
          <w:tcPr>
            <w:tcW w:w="1152" w:type="dxa"/>
            <w:shd w:val="clear" w:color="auto" w:fill="F0F4F8"/>
            <w:tcMar>
              <w:top w:w="60" w:type="dxa"/>
              <w:left w:w="100" w:type="dxa"/>
              <w:bottom w:w="60" w:type="dxa"/>
              <w:right w:w="100" w:type="dxa"/>
            </w:tcMar>
          </w:tcPr>
          <w:p w14:paraId="50F04152" w14:textId="77777777" w:rsidR="00996940" w:rsidRDefault="00000000">
            <w:pPr>
              <w:jc w:val="center"/>
            </w:pPr>
            <w:r>
              <w:rPr>
                <w:rFonts w:ascii="Times New Roman" w:hAnsi="Times New Roman"/>
                <w:sz w:val="16"/>
              </w:rPr>
              <w:t>0.0010</w:t>
            </w:r>
          </w:p>
        </w:tc>
        <w:tc>
          <w:tcPr>
            <w:tcW w:w="1152" w:type="dxa"/>
            <w:shd w:val="clear" w:color="auto" w:fill="F0F4F8"/>
            <w:tcMar>
              <w:top w:w="60" w:type="dxa"/>
              <w:left w:w="100" w:type="dxa"/>
              <w:bottom w:w="60" w:type="dxa"/>
              <w:right w:w="100" w:type="dxa"/>
            </w:tcMar>
          </w:tcPr>
          <w:p w14:paraId="2C06D888" w14:textId="77777777" w:rsidR="00996940" w:rsidRDefault="00000000">
            <w:pPr>
              <w:jc w:val="center"/>
            </w:pPr>
            <w:r>
              <w:rPr>
                <w:rFonts w:ascii="Times New Roman" w:hAnsi="Times New Roman"/>
                <w:sz w:val="16"/>
              </w:rPr>
              <w:t>0.0037</w:t>
            </w:r>
          </w:p>
        </w:tc>
        <w:tc>
          <w:tcPr>
            <w:tcW w:w="1152" w:type="dxa"/>
            <w:shd w:val="clear" w:color="auto" w:fill="F0F4F8"/>
            <w:tcMar>
              <w:top w:w="60" w:type="dxa"/>
              <w:left w:w="100" w:type="dxa"/>
              <w:bottom w:w="60" w:type="dxa"/>
              <w:right w:w="100" w:type="dxa"/>
            </w:tcMar>
          </w:tcPr>
          <w:p w14:paraId="1DADB45F" w14:textId="77777777" w:rsidR="00996940" w:rsidRDefault="00000000">
            <w:pPr>
              <w:jc w:val="center"/>
            </w:pPr>
            <w:r>
              <w:rPr>
                <w:rFonts w:ascii="Times New Roman" w:hAnsi="Times New Roman"/>
                <w:sz w:val="16"/>
              </w:rPr>
              <w:t>-0.0026</w:t>
            </w:r>
          </w:p>
        </w:tc>
      </w:tr>
      <w:tr w:rsidR="00996940" w14:paraId="3D5F0737" w14:textId="77777777">
        <w:trPr>
          <w:jc w:val="center"/>
        </w:trPr>
        <w:tc>
          <w:tcPr>
            <w:tcW w:w="2160" w:type="dxa"/>
            <w:tcMar>
              <w:top w:w="60" w:type="dxa"/>
              <w:left w:w="100" w:type="dxa"/>
              <w:bottom w:w="60" w:type="dxa"/>
              <w:right w:w="100" w:type="dxa"/>
            </w:tcMar>
          </w:tcPr>
          <w:p w14:paraId="4DAD00B3" w14:textId="77777777" w:rsidR="00996940" w:rsidRDefault="00000000">
            <w:pPr>
              <w:jc w:val="center"/>
            </w:pPr>
            <w:r>
              <w:rPr>
                <w:rFonts w:ascii="Times New Roman" w:hAnsi="Times New Roman"/>
                <w:sz w:val="16"/>
              </w:rPr>
              <w:t>Max Drawdown</w:t>
            </w:r>
          </w:p>
        </w:tc>
        <w:tc>
          <w:tcPr>
            <w:tcW w:w="1152" w:type="dxa"/>
            <w:tcMar>
              <w:top w:w="60" w:type="dxa"/>
              <w:left w:w="100" w:type="dxa"/>
              <w:bottom w:w="60" w:type="dxa"/>
              <w:right w:w="100" w:type="dxa"/>
            </w:tcMar>
          </w:tcPr>
          <w:p w14:paraId="0100A6E0" w14:textId="77777777" w:rsidR="00996940" w:rsidRDefault="00000000">
            <w:pPr>
              <w:jc w:val="center"/>
            </w:pPr>
            <w:r>
              <w:rPr>
                <w:rFonts w:ascii="Times New Roman" w:hAnsi="Times New Roman"/>
                <w:sz w:val="16"/>
              </w:rPr>
              <w:t>-17.62%</w:t>
            </w:r>
          </w:p>
        </w:tc>
        <w:tc>
          <w:tcPr>
            <w:tcW w:w="1152" w:type="dxa"/>
            <w:tcMar>
              <w:top w:w="60" w:type="dxa"/>
              <w:left w:w="100" w:type="dxa"/>
              <w:bottom w:w="60" w:type="dxa"/>
              <w:right w:w="100" w:type="dxa"/>
            </w:tcMar>
          </w:tcPr>
          <w:p w14:paraId="110E9CAB" w14:textId="77777777" w:rsidR="00996940" w:rsidRDefault="00000000">
            <w:pPr>
              <w:jc w:val="center"/>
            </w:pPr>
            <w:r>
              <w:rPr>
                <w:rFonts w:ascii="Times New Roman" w:hAnsi="Times New Roman"/>
                <w:sz w:val="16"/>
              </w:rPr>
              <w:t>-15.66%</w:t>
            </w:r>
          </w:p>
        </w:tc>
        <w:tc>
          <w:tcPr>
            <w:tcW w:w="1152" w:type="dxa"/>
            <w:tcMar>
              <w:top w:w="60" w:type="dxa"/>
              <w:left w:w="100" w:type="dxa"/>
              <w:bottom w:w="60" w:type="dxa"/>
              <w:right w:w="100" w:type="dxa"/>
            </w:tcMar>
          </w:tcPr>
          <w:p w14:paraId="789D15EC" w14:textId="77777777" w:rsidR="00996940" w:rsidRDefault="00000000">
            <w:pPr>
              <w:jc w:val="center"/>
            </w:pPr>
            <w:r>
              <w:rPr>
                <w:rFonts w:ascii="Times New Roman" w:hAnsi="Times New Roman"/>
                <w:sz w:val="16"/>
              </w:rPr>
              <w:t>-1.961%</w:t>
            </w:r>
          </w:p>
        </w:tc>
      </w:tr>
      <w:tr w:rsidR="00996940" w14:paraId="6DD3C22F" w14:textId="77777777">
        <w:trPr>
          <w:jc w:val="center"/>
        </w:trPr>
        <w:tc>
          <w:tcPr>
            <w:tcW w:w="2160" w:type="dxa"/>
            <w:shd w:val="clear" w:color="auto" w:fill="F0F4F8"/>
            <w:tcMar>
              <w:top w:w="60" w:type="dxa"/>
              <w:left w:w="100" w:type="dxa"/>
              <w:bottom w:w="60" w:type="dxa"/>
              <w:right w:w="100" w:type="dxa"/>
            </w:tcMar>
          </w:tcPr>
          <w:p w14:paraId="01A4B09C" w14:textId="77777777" w:rsidR="00996940" w:rsidRDefault="00000000">
            <w:pPr>
              <w:jc w:val="center"/>
            </w:pPr>
            <w:r>
              <w:rPr>
                <w:rFonts w:ascii="Times New Roman" w:hAnsi="Times New Roman"/>
                <w:sz w:val="16"/>
              </w:rPr>
              <w:t>Trade Count</w:t>
            </w:r>
          </w:p>
        </w:tc>
        <w:tc>
          <w:tcPr>
            <w:tcW w:w="1152" w:type="dxa"/>
            <w:shd w:val="clear" w:color="auto" w:fill="F0F4F8"/>
            <w:tcMar>
              <w:top w:w="60" w:type="dxa"/>
              <w:left w:w="100" w:type="dxa"/>
              <w:bottom w:w="60" w:type="dxa"/>
              <w:right w:w="100" w:type="dxa"/>
            </w:tcMar>
          </w:tcPr>
          <w:p w14:paraId="26180C2B" w14:textId="77777777" w:rsidR="00996940" w:rsidRDefault="00000000">
            <w:pPr>
              <w:jc w:val="center"/>
            </w:pPr>
            <w:r>
              <w:rPr>
                <w:rFonts w:ascii="Times New Roman" w:hAnsi="Times New Roman"/>
                <w:sz w:val="16"/>
              </w:rPr>
              <w:t>2470</w:t>
            </w:r>
          </w:p>
        </w:tc>
        <w:tc>
          <w:tcPr>
            <w:tcW w:w="1152" w:type="dxa"/>
            <w:shd w:val="clear" w:color="auto" w:fill="F0F4F8"/>
            <w:tcMar>
              <w:top w:w="60" w:type="dxa"/>
              <w:left w:w="100" w:type="dxa"/>
              <w:bottom w:w="60" w:type="dxa"/>
              <w:right w:w="100" w:type="dxa"/>
            </w:tcMar>
          </w:tcPr>
          <w:p w14:paraId="039789A5" w14:textId="77777777" w:rsidR="00996940" w:rsidRDefault="00000000">
            <w:pPr>
              <w:jc w:val="center"/>
            </w:pPr>
            <w:r>
              <w:rPr>
                <w:rFonts w:ascii="Times New Roman" w:hAnsi="Times New Roman"/>
                <w:sz w:val="16"/>
              </w:rPr>
              <w:t>1410</w:t>
            </w:r>
          </w:p>
        </w:tc>
        <w:tc>
          <w:tcPr>
            <w:tcW w:w="1152" w:type="dxa"/>
            <w:shd w:val="clear" w:color="auto" w:fill="F0F4F8"/>
            <w:tcMar>
              <w:top w:w="60" w:type="dxa"/>
              <w:left w:w="100" w:type="dxa"/>
              <w:bottom w:w="60" w:type="dxa"/>
              <w:right w:w="100" w:type="dxa"/>
            </w:tcMar>
          </w:tcPr>
          <w:p w14:paraId="67882A83" w14:textId="77777777" w:rsidR="00996940" w:rsidRDefault="00000000">
            <w:pPr>
              <w:jc w:val="center"/>
            </w:pPr>
            <w:r>
              <w:rPr>
                <w:rFonts w:ascii="Times New Roman" w:hAnsi="Times New Roman"/>
                <w:sz w:val="16"/>
              </w:rPr>
              <w:t>1060</w:t>
            </w:r>
          </w:p>
        </w:tc>
      </w:tr>
      <w:tr w:rsidR="00996940" w14:paraId="1F378A20" w14:textId="77777777">
        <w:trPr>
          <w:jc w:val="center"/>
        </w:trPr>
        <w:tc>
          <w:tcPr>
            <w:tcW w:w="2160" w:type="dxa"/>
            <w:tcMar>
              <w:top w:w="60" w:type="dxa"/>
              <w:left w:w="100" w:type="dxa"/>
              <w:bottom w:w="60" w:type="dxa"/>
              <w:right w:w="100" w:type="dxa"/>
            </w:tcMar>
          </w:tcPr>
          <w:p w14:paraId="6FCD7E75" w14:textId="77777777" w:rsidR="00996940" w:rsidRDefault="00000000">
            <w:pPr>
              <w:jc w:val="center"/>
            </w:pPr>
            <w:r>
              <w:rPr>
                <w:rFonts w:ascii="Times New Roman" w:hAnsi="Times New Roman"/>
                <w:sz w:val="16"/>
              </w:rPr>
              <w:t>Equity Correlation</w:t>
            </w:r>
          </w:p>
        </w:tc>
        <w:tc>
          <w:tcPr>
            <w:tcW w:w="1152" w:type="dxa"/>
            <w:tcMar>
              <w:top w:w="60" w:type="dxa"/>
              <w:left w:w="100" w:type="dxa"/>
              <w:bottom w:w="60" w:type="dxa"/>
              <w:right w:w="100" w:type="dxa"/>
            </w:tcMar>
          </w:tcPr>
          <w:p w14:paraId="3979323C" w14:textId="77777777" w:rsidR="00996940" w:rsidRDefault="00000000">
            <w:pPr>
              <w:jc w:val="center"/>
            </w:pPr>
            <w:r>
              <w:rPr>
                <w:rFonts w:ascii="Times New Roman" w:hAnsi="Times New Roman"/>
                <w:sz w:val="16"/>
              </w:rPr>
              <w:t>1.00000</w:t>
            </w:r>
          </w:p>
        </w:tc>
        <w:tc>
          <w:tcPr>
            <w:tcW w:w="1152" w:type="dxa"/>
            <w:tcMar>
              <w:top w:w="60" w:type="dxa"/>
              <w:left w:w="100" w:type="dxa"/>
              <w:bottom w:w="60" w:type="dxa"/>
              <w:right w:w="100" w:type="dxa"/>
            </w:tcMar>
          </w:tcPr>
          <w:p w14:paraId="7988F8A4" w14:textId="77777777" w:rsidR="00996940" w:rsidRDefault="00000000">
            <w:pPr>
              <w:jc w:val="center"/>
            </w:pPr>
            <w:r>
              <w:rPr>
                <w:rFonts w:ascii="Times New Roman" w:hAnsi="Times New Roman"/>
                <w:sz w:val="16"/>
              </w:rPr>
              <w:t>0.98248</w:t>
            </w:r>
          </w:p>
        </w:tc>
        <w:tc>
          <w:tcPr>
            <w:tcW w:w="1152" w:type="dxa"/>
            <w:tcMar>
              <w:top w:w="60" w:type="dxa"/>
              <w:left w:w="100" w:type="dxa"/>
              <w:bottom w:w="60" w:type="dxa"/>
              <w:right w:w="100" w:type="dxa"/>
            </w:tcMar>
          </w:tcPr>
          <w:p w14:paraId="16B7AB69" w14:textId="77777777" w:rsidR="00996940" w:rsidRDefault="00000000">
            <w:pPr>
              <w:jc w:val="center"/>
            </w:pPr>
            <w:r>
              <w:rPr>
                <w:rFonts w:ascii="Times New Roman" w:hAnsi="Times New Roman"/>
                <w:sz w:val="16"/>
              </w:rPr>
              <w:t>0.00000</w:t>
            </w:r>
          </w:p>
        </w:tc>
      </w:tr>
      <w:tr w:rsidR="00996940" w14:paraId="67A213D1" w14:textId="77777777">
        <w:trPr>
          <w:jc w:val="center"/>
        </w:trPr>
        <w:tc>
          <w:tcPr>
            <w:tcW w:w="2160" w:type="dxa"/>
            <w:shd w:val="clear" w:color="auto" w:fill="F0F4F8"/>
            <w:tcMar>
              <w:top w:w="60" w:type="dxa"/>
              <w:left w:w="100" w:type="dxa"/>
              <w:bottom w:w="60" w:type="dxa"/>
              <w:right w:w="100" w:type="dxa"/>
            </w:tcMar>
          </w:tcPr>
          <w:p w14:paraId="30BAC332" w14:textId="77777777" w:rsidR="00996940" w:rsidRDefault="00000000">
            <w:pPr>
              <w:jc w:val="center"/>
            </w:pPr>
            <w:r>
              <w:rPr>
                <w:rFonts w:ascii="Times New Roman" w:hAnsi="Times New Roman"/>
                <w:sz w:val="16"/>
              </w:rPr>
              <w:t>Annualized CAGR</w:t>
            </w:r>
          </w:p>
        </w:tc>
        <w:tc>
          <w:tcPr>
            <w:tcW w:w="1152" w:type="dxa"/>
            <w:shd w:val="clear" w:color="auto" w:fill="F0F4F8"/>
            <w:tcMar>
              <w:top w:w="60" w:type="dxa"/>
              <w:left w:w="100" w:type="dxa"/>
              <w:bottom w:w="60" w:type="dxa"/>
              <w:right w:w="100" w:type="dxa"/>
            </w:tcMar>
          </w:tcPr>
          <w:p w14:paraId="07DF1947" w14:textId="77777777" w:rsidR="00996940" w:rsidRDefault="00000000">
            <w:pPr>
              <w:jc w:val="center"/>
            </w:pPr>
            <w:r>
              <w:rPr>
                <w:rFonts w:ascii="Times New Roman" w:hAnsi="Times New Roman"/>
                <w:sz w:val="16"/>
              </w:rPr>
              <w:t>-9.61%</w:t>
            </w:r>
          </w:p>
        </w:tc>
        <w:tc>
          <w:tcPr>
            <w:tcW w:w="1152" w:type="dxa"/>
            <w:shd w:val="clear" w:color="auto" w:fill="F0F4F8"/>
            <w:tcMar>
              <w:top w:w="60" w:type="dxa"/>
              <w:left w:w="100" w:type="dxa"/>
              <w:bottom w:w="60" w:type="dxa"/>
              <w:right w:w="100" w:type="dxa"/>
            </w:tcMar>
          </w:tcPr>
          <w:p w14:paraId="14D9708B" w14:textId="77777777" w:rsidR="00996940" w:rsidRDefault="00000000">
            <w:pPr>
              <w:jc w:val="center"/>
            </w:pPr>
            <w:r>
              <w:rPr>
                <w:rFonts w:ascii="Times New Roman" w:hAnsi="Times New Roman"/>
                <w:sz w:val="16"/>
              </w:rPr>
              <w:t>-7.20%</w:t>
            </w:r>
          </w:p>
        </w:tc>
        <w:tc>
          <w:tcPr>
            <w:tcW w:w="1152" w:type="dxa"/>
            <w:shd w:val="clear" w:color="auto" w:fill="F0F4F8"/>
            <w:tcMar>
              <w:top w:w="60" w:type="dxa"/>
              <w:left w:w="100" w:type="dxa"/>
              <w:bottom w:w="60" w:type="dxa"/>
              <w:right w:w="100" w:type="dxa"/>
            </w:tcMar>
          </w:tcPr>
          <w:p w14:paraId="74BF3D5D" w14:textId="77777777" w:rsidR="00996940" w:rsidRDefault="00000000">
            <w:pPr>
              <w:jc w:val="center"/>
            </w:pPr>
            <w:r>
              <w:rPr>
                <w:rFonts w:ascii="Times New Roman" w:hAnsi="Times New Roman"/>
                <w:sz w:val="16"/>
              </w:rPr>
              <w:t>-2.412%</w:t>
            </w:r>
          </w:p>
        </w:tc>
      </w:tr>
      <w:tr w:rsidR="00996940" w14:paraId="1B6E896C" w14:textId="77777777">
        <w:trPr>
          <w:jc w:val="center"/>
        </w:trPr>
        <w:tc>
          <w:tcPr>
            <w:tcW w:w="2160" w:type="dxa"/>
            <w:tcMar>
              <w:top w:w="60" w:type="dxa"/>
              <w:left w:w="100" w:type="dxa"/>
              <w:bottom w:w="60" w:type="dxa"/>
              <w:right w:w="100" w:type="dxa"/>
            </w:tcMar>
          </w:tcPr>
          <w:p w14:paraId="4FDF1CA8" w14:textId="77777777" w:rsidR="00996940" w:rsidRDefault="00000000">
            <w:pPr>
              <w:jc w:val="center"/>
            </w:pPr>
            <w:r>
              <w:rPr>
                <w:rFonts w:ascii="Times New Roman" w:hAnsi="Times New Roman"/>
                <w:sz w:val="16"/>
              </w:rPr>
              <w:t>Annualized Volatility</w:t>
            </w:r>
          </w:p>
        </w:tc>
        <w:tc>
          <w:tcPr>
            <w:tcW w:w="1152" w:type="dxa"/>
            <w:tcMar>
              <w:top w:w="60" w:type="dxa"/>
              <w:left w:w="100" w:type="dxa"/>
              <w:bottom w:w="60" w:type="dxa"/>
              <w:right w:w="100" w:type="dxa"/>
            </w:tcMar>
          </w:tcPr>
          <w:p w14:paraId="3D5B29CE" w14:textId="77777777" w:rsidR="00996940" w:rsidRDefault="00000000">
            <w:pPr>
              <w:jc w:val="center"/>
            </w:pPr>
            <w:r>
              <w:rPr>
                <w:rFonts w:ascii="Times New Roman" w:hAnsi="Times New Roman"/>
                <w:sz w:val="16"/>
              </w:rPr>
              <w:t>12.00%</w:t>
            </w:r>
          </w:p>
        </w:tc>
        <w:tc>
          <w:tcPr>
            <w:tcW w:w="1152" w:type="dxa"/>
            <w:tcMar>
              <w:top w:w="60" w:type="dxa"/>
              <w:left w:w="100" w:type="dxa"/>
              <w:bottom w:w="60" w:type="dxa"/>
              <w:right w:w="100" w:type="dxa"/>
            </w:tcMar>
          </w:tcPr>
          <w:p w14:paraId="6D5F9654" w14:textId="77777777" w:rsidR="00996940" w:rsidRDefault="00000000">
            <w:pPr>
              <w:jc w:val="center"/>
            </w:pPr>
            <w:r>
              <w:rPr>
                <w:rFonts w:ascii="Times New Roman" w:hAnsi="Times New Roman"/>
                <w:sz w:val="16"/>
              </w:rPr>
              <w:t>11.89%</w:t>
            </w:r>
          </w:p>
        </w:tc>
        <w:tc>
          <w:tcPr>
            <w:tcW w:w="1152" w:type="dxa"/>
            <w:tcMar>
              <w:top w:w="60" w:type="dxa"/>
              <w:left w:w="100" w:type="dxa"/>
              <w:bottom w:w="60" w:type="dxa"/>
              <w:right w:w="100" w:type="dxa"/>
            </w:tcMar>
          </w:tcPr>
          <w:p w14:paraId="07171432" w14:textId="77777777" w:rsidR="00996940" w:rsidRDefault="00000000">
            <w:pPr>
              <w:jc w:val="center"/>
            </w:pPr>
            <w:r>
              <w:rPr>
                <w:rFonts w:ascii="Times New Roman" w:hAnsi="Times New Roman"/>
                <w:sz w:val="16"/>
              </w:rPr>
              <w:t>0.108%</w:t>
            </w:r>
          </w:p>
        </w:tc>
      </w:tr>
      <w:tr w:rsidR="00996940" w14:paraId="1236B707" w14:textId="77777777">
        <w:trPr>
          <w:jc w:val="center"/>
        </w:trPr>
        <w:tc>
          <w:tcPr>
            <w:tcW w:w="2160" w:type="dxa"/>
            <w:shd w:val="clear" w:color="auto" w:fill="F0F4F8"/>
            <w:tcMar>
              <w:top w:w="60" w:type="dxa"/>
              <w:left w:w="100" w:type="dxa"/>
              <w:bottom w:w="60" w:type="dxa"/>
              <w:right w:w="100" w:type="dxa"/>
            </w:tcMar>
          </w:tcPr>
          <w:p w14:paraId="7A9AC41B" w14:textId="77777777" w:rsidR="00996940" w:rsidRDefault="00000000">
            <w:pPr>
              <w:jc w:val="center"/>
            </w:pPr>
            <w:r>
              <w:rPr>
                <w:rFonts w:ascii="Times New Roman" w:hAnsi="Times New Roman"/>
                <w:sz w:val="16"/>
              </w:rPr>
              <w:t>Sharpe Ratio</w:t>
            </w:r>
          </w:p>
        </w:tc>
        <w:tc>
          <w:tcPr>
            <w:tcW w:w="1152" w:type="dxa"/>
            <w:shd w:val="clear" w:color="auto" w:fill="F0F4F8"/>
            <w:tcMar>
              <w:top w:w="60" w:type="dxa"/>
              <w:left w:w="100" w:type="dxa"/>
              <w:bottom w:w="60" w:type="dxa"/>
              <w:right w:w="100" w:type="dxa"/>
            </w:tcMar>
          </w:tcPr>
          <w:p w14:paraId="1E6231C7" w14:textId="77777777" w:rsidR="00996940" w:rsidRDefault="00000000">
            <w:pPr>
              <w:jc w:val="center"/>
            </w:pPr>
            <w:r>
              <w:rPr>
                <w:rFonts w:ascii="Times New Roman" w:hAnsi="Times New Roman"/>
                <w:sz w:val="16"/>
              </w:rPr>
              <w:t>-0.783</w:t>
            </w:r>
          </w:p>
        </w:tc>
        <w:tc>
          <w:tcPr>
            <w:tcW w:w="1152" w:type="dxa"/>
            <w:shd w:val="clear" w:color="auto" w:fill="F0F4F8"/>
            <w:tcMar>
              <w:top w:w="60" w:type="dxa"/>
              <w:left w:w="100" w:type="dxa"/>
              <w:bottom w:w="60" w:type="dxa"/>
              <w:right w:w="100" w:type="dxa"/>
            </w:tcMar>
          </w:tcPr>
          <w:p w14:paraId="381C5D69" w14:textId="77777777" w:rsidR="00996940" w:rsidRDefault="00000000">
            <w:pPr>
              <w:jc w:val="center"/>
            </w:pPr>
            <w:r>
              <w:rPr>
                <w:rFonts w:ascii="Times New Roman" w:hAnsi="Times New Roman"/>
                <w:sz w:val="16"/>
              </w:rPr>
              <w:t>-0.990</w:t>
            </w:r>
          </w:p>
        </w:tc>
        <w:tc>
          <w:tcPr>
            <w:tcW w:w="1152" w:type="dxa"/>
            <w:shd w:val="clear" w:color="auto" w:fill="F0F4F8"/>
            <w:tcMar>
              <w:top w:w="60" w:type="dxa"/>
              <w:left w:w="100" w:type="dxa"/>
              <w:bottom w:w="60" w:type="dxa"/>
              <w:right w:w="100" w:type="dxa"/>
            </w:tcMar>
          </w:tcPr>
          <w:p w14:paraId="33384EE0" w14:textId="77777777" w:rsidR="00996940" w:rsidRDefault="00000000">
            <w:pPr>
              <w:jc w:val="center"/>
            </w:pPr>
            <w:r>
              <w:rPr>
                <w:rFonts w:ascii="Times New Roman" w:hAnsi="Times New Roman"/>
                <w:sz w:val="16"/>
              </w:rPr>
              <w:t>0.2077</w:t>
            </w:r>
          </w:p>
        </w:tc>
      </w:tr>
      <w:tr w:rsidR="00996940" w14:paraId="43FFADA6" w14:textId="77777777">
        <w:trPr>
          <w:jc w:val="center"/>
        </w:trPr>
        <w:tc>
          <w:tcPr>
            <w:tcW w:w="2160" w:type="dxa"/>
            <w:tcMar>
              <w:top w:w="60" w:type="dxa"/>
              <w:left w:w="100" w:type="dxa"/>
              <w:bottom w:w="60" w:type="dxa"/>
              <w:right w:w="100" w:type="dxa"/>
            </w:tcMar>
          </w:tcPr>
          <w:p w14:paraId="58183E3D" w14:textId="77777777" w:rsidR="00996940" w:rsidRDefault="00000000">
            <w:pPr>
              <w:jc w:val="center"/>
            </w:pPr>
            <w:r>
              <w:rPr>
                <w:rFonts w:ascii="Times New Roman" w:hAnsi="Times New Roman"/>
                <w:sz w:val="16"/>
              </w:rPr>
              <w:t>Deflated Sharpe Ratio</w:t>
            </w:r>
          </w:p>
        </w:tc>
        <w:tc>
          <w:tcPr>
            <w:tcW w:w="1152" w:type="dxa"/>
            <w:tcMar>
              <w:top w:w="60" w:type="dxa"/>
              <w:left w:w="100" w:type="dxa"/>
              <w:bottom w:w="60" w:type="dxa"/>
              <w:right w:w="100" w:type="dxa"/>
            </w:tcMar>
          </w:tcPr>
          <w:p w14:paraId="35189AEE" w14:textId="77777777" w:rsidR="00996940" w:rsidRDefault="00000000">
            <w:pPr>
              <w:jc w:val="center"/>
            </w:pPr>
            <w:r>
              <w:rPr>
                <w:rFonts w:ascii="Times New Roman" w:hAnsi="Times New Roman"/>
                <w:sz w:val="16"/>
              </w:rPr>
              <w:t>0.0004</w:t>
            </w:r>
          </w:p>
        </w:tc>
        <w:tc>
          <w:tcPr>
            <w:tcW w:w="1152" w:type="dxa"/>
            <w:tcMar>
              <w:top w:w="60" w:type="dxa"/>
              <w:left w:w="100" w:type="dxa"/>
              <w:bottom w:w="60" w:type="dxa"/>
              <w:right w:w="100" w:type="dxa"/>
            </w:tcMar>
          </w:tcPr>
          <w:p w14:paraId="0BFC5E1A" w14:textId="77777777" w:rsidR="00996940" w:rsidRDefault="00000000">
            <w:pPr>
              <w:jc w:val="center"/>
            </w:pPr>
            <w:r>
              <w:rPr>
                <w:rFonts w:ascii="Times New Roman" w:hAnsi="Times New Roman"/>
                <w:sz w:val="16"/>
              </w:rPr>
              <w:t>0.0016</w:t>
            </w:r>
          </w:p>
        </w:tc>
        <w:tc>
          <w:tcPr>
            <w:tcW w:w="1152" w:type="dxa"/>
            <w:tcMar>
              <w:top w:w="60" w:type="dxa"/>
              <w:left w:w="100" w:type="dxa"/>
              <w:bottom w:w="60" w:type="dxa"/>
              <w:right w:w="100" w:type="dxa"/>
            </w:tcMar>
          </w:tcPr>
          <w:p w14:paraId="6BB2C36A" w14:textId="77777777" w:rsidR="00996940" w:rsidRDefault="00000000">
            <w:pPr>
              <w:jc w:val="center"/>
            </w:pPr>
            <w:r>
              <w:rPr>
                <w:rFonts w:ascii="Times New Roman" w:hAnsi="Times New Roman"/>
                <w:sz w:val="16"/>
              </w:rPr>
              <w:t>-0.0012</w:t>
            </w:r>
          </w:p>
        </w:tc>
      </w:tr>
      <w:tr w:rsidR="00996940" w14:paraId="1222254D" w14:textId="77777777">
        <w:trPr>
          <w:jc w:val="center"/>
        </w:trPr>
        <w:tc>
          <w:tcPr>
            <w:tcW w:w="2160" w:type="dxa"/>
            <w:shd w:val="clear" w:color="auto" w:fill="F0F4F8"/>
            <w:tcMar>
              <w:top w:w="60" w:type="dxa"/>
              <w:left w:w="100" w:type="dxa"/>
              <w:bottom w:w="60" w:type="dxa"/>
              <w:right w:w="100" w:type="dxa"/>
            </w:tcMar>
          </w:tcPr>
          <w:p w14:paraId="42B581C3" w14:textId="77777777" w:rsidR="00996940" w:rsidRDefault="00000000">
            <w:pPr>
              <w:jc w:val="center"/>
            </w:pPr>
            <w:r>
              <w:rPr>
                <w:rFonts w:ascii="Times New Roman" w:hAnsi="Times New Roman"/>
                <w:sz w:val="16"/>
              </w:rPr>
              <w:t>Max Drawdown</w:t>
            </w:r>
          </w:p>
        </w:tc>
        <w:tc>
          <w:tcPr>
            <w:tcW w:w="1152" w:type="dxa"/>
            <w:shd w:val="clear" w:color="auto" w:fill="F0F4F8"/>
            <w:tcMar>
              <w:top w:w="60" w:type="dxa"/>
              <w:left w:w="100" w:type="dxa"/>
              <w:bottom w:w="60" w:type="dxa"/>
              <w:right w:w="100" w:type="dxa"/>
            </w:tcMar>
          </w:tcPr>
          <w:p w14:paraId="483FE21E" w14:textId="77777777" w:rsidR="00996940" w:rsidRDefault="00000000">
            <w:pPr>
              <w:jc w:val="center"/>
            </w:pPr>
            <w:r>
              <w:rPr>
                <w:rFonts w:ascii="Times New Roman" w:hAnsi="Times New Roman"/>
                <w:sz w:val="16"/>
              </w:rPr>
              <w:t>-32.48%</w:t>
            </w:r>
          </w:p>
        </w:tc>
        <w:tc>
          <w:tcPr>
            <w:tcW w:w="1152" w:type="dxa"/>
            <w:shd w:val="clear" w:color="auto" w:fill="F0F4F8"/>
            <w:tcMar>
              <w:top w:w="60" w:type="dxa"/>
              <w:left w:w="100" w:type="dxa"/>
              <w:bottom w:w="60" w:type="dxa"/>
              <w:right w:w="100" w:type="dxa"/>
            </w:tcMar>
          </w:tcPr>
          <w:p w14:paraId="55D26F4A" w14:textId="77777777" w:rsidR="00996940" w:rsidRDefault="00000000">
            <w:pPr>
              <w:jc w:val="center"/>
            </w:pPr>
            <w:r>
              <w:rPr>
                <w:rFonts w:ascii="Times New Roman" w:hAnsi="Times New Roman"/>
                <w:sz w:val="16"/>
              </w:rPr>
              <w:t>-27.39%</w:t>
            </w:r>
          </w:p>
        </w:tc>
        <w:tc>
          <w:tcPr>
            <w:tcW w:w="1152" w:type="dxa"/>
            <w:shd w:val="clear" w:color="auto" w:fill="F0F4F8"/>
            <w:tcMar>
              <w:top w:w="60" w:type="dxa"/>
              <w:left w:w="100" w:type="dxa"/>
              <w:bottom w:w="60" w:type="dxa"/>
              <w:right w:w="100" w:type="dxa"/>
            </w:tcMar>
          </w:tcPr>
          <w:p w14:paraId="05045449" w14:textId="77777777" w:rsidR="00996940" w:rsidRDefault="00000000">
            <w:pPr>
              <w:jc w:val="center"/>
            </w:pPr>
            <w:r>
              <w:rPr>
                <w:rFonts w:ascii="Times New Roman" w:hAnsi="Times New Roman"/>
                <w:sz w:val="16"/>
              </w:rPr>
              <w:t>-5.090%</w:t>
            </w:r>
          </w:p>
        </w:tc>
      </w:tr>
      <w:tr w:rsidR="00996940" w14:paraId="7C4AD772" w14:textId="77777777">
        <w:trPr>
          <w:jc w:val="center"/>
        </w:trPr>
        <w:tc>
          <w:tcPr>
            <w:tcW w:w="2160" w:type="dxa"/>
            <w:tcMar>
              <w:top w:w="60" w:type="dxa"/>
              <w:left w:w="100" w:type="dxa"/>
              <w:bottom w:w="60" w:type="dxa"/>
              <w:right w:w="100" w:type="dxa"/>
            </w:tcMar>
          </w:tcPr>
          <w:p w14:paraId="42FDB7F7" w14:textId="77777777" w:rsidR="00996940" w:rsidRDefault="00000000">
            <w:pPr>
              <w:jc w:val="center"/>
            </w:pPr>
            <w:r>
              <w:rPr>
                <w:rFonts w:ascii="Times New Roman" w:hAnsi="Times New Roman"/>
                <w:sz w:val="16"/>
              </w:rPr>
              <w:t>Trade Count</w:t>
            </w:r>
          </w:p>
        </w:tc>
        <w:tc>
          <w:tcPr>
            <w:tcW w:w="1152" w:type="dxa"/>
            <w:tcMar>
              <w:top w:w="60" w:type="dxa"/>
              <w:left w:w="100" w:type="dxa"/>
              <w:bottom w:w="60" w:type="dxa"/>
              <w:right w:w="100" w:type="dxa"/>
            </w:tcMar>
          </w:tcPr>
          <w:p w14:paraId="1A875307" w14:textId="77777777" w:rsidR="00996940" w:rsidRDefault="00000000">
            <w:pPr>
              <w:jc w:val="center"/>
            </w:pPr>
            <w:r>
              <w:rPr>
                <w:rFonts w:ascii="Times New Roman" w:hAnsi="Times New Roman"/>
                <w:sz w:val="16"/>
              </w:rPr>
              <w:t>2492</w:t>
            </w:r>
          </w:p>
        </w:tc>
        <w:tc>
          <w:tcPr>
            <w:tcW w:w="1152" w:type="dxa"/>
            <w:tcMar>
              <w:top w:w="60" w:type="dxa"/>
              <w:left w:w="100" w:type="dxa"/>
              <w:bottom w:w="60" w:type="dxa"/>
              <w:right w:w="100" w:type="dxa"/>
            </w:tcMar>
          </w:tcPr>
          <w:p w14:paraId="5488F448" w14:textId="77777777" w:rsidR="00996940" w:rsidRDefault="00000000">
            <w:pPr>
              <w:jc w:val="center"/>
            </w:pPr>
            <w:r>
              <w:rPr>
                <w:rFonts w:ascii="Times New Roman" w:hAnsi="Times New Roman"/>
                <w:sz w:val="16"/>
              </w:rPr>
              <w:t>2431</w:t>
            </w:r>
          </w:p>
        </w:tc>
        <w:tc>
          <w:tcPr>
            <w:tcW w:w="1152" w:type="dxa"/>
            <w:tcMar>
              <w:top w:w="60" w:type="dxa"/>
              <w:left w:w="100" w:type="dxa"/>
              <w:bottom w:w="60" w:type="dxa"/>
              <w:right w:w="100" w:type="dxa"/>
            </w:tcMar>
          </w:tcPr>
          <w:p w14:paraId="25104599" w14:textId="77777777" w:rsidR="00996940" w:rsidRDefault="00000000">
            <w:pPr>
              <w:jc w:val="center"/>
            </w:pPr>
            <w:r>
              <w:rPr>
                <w:rFonts w:ascii="Times New Roman" w:hAnsi="Times New Roman"/>
                <w:sz w:val="16"/>
              </w:rPr>
              <w:t>61</w:t>
            </w:r>
          </w:p>
        </w:tc>
      </w:tr>
      <w:tr w:rsidR="00996940" w14:paraId="41188B69" w14:textId="77777777">
        <w:trPr>
          <w:jc w:val="center"/>
        </w:trPr>
        <w:tc>
          <w:tcPr>
            <w:tcW w:w="2160" w:type="dxa"/>
            <w:shd w:val="clear" w:color="auto" w:fill="F0F4F8"/>
            <w:tcMar>
              <w:top w:w="60" w:type="dxa"/>
              <w:left w:w="100" w:type="dxa"/>
              <w:bottom w:w="60" w:type="dxa"/>
              <w:right w:w="100" w:type="dxa"/>
            </w:tcMar>
          </w:tcPr>
          <w:p w14:paraId="5E381A96" w14:textId="77777777" w:rsidR="00996940" w:rsidRDefault="00000000">
            <w:pPr>
              <w:jc w:val="center"/>
            </w:pPr>
            <w:r>
              <w:rPr>
                <w:rFonts w:ascii="Times New Roman" w:hAnsi="Times New Roman"/>
                <w:sz w:val="16"/>
              </w:rPr>
              <w:t>Equity Correlation</w:t>
            </w:r>
          </w:p>
        </w:tc>
        <w:tc>
          <w:tcPr>
            <w:tcW w:w="1152" w:type="dxa"/>
            <w:shd w:val="clear" w:color="auto" w:fill="F0F4F8"/>
            <w:tcMar>
              <w:top w:w="60" w:type="dxa"/>
              <w:left w:w="100" w:type="dxa"/>
              <w:bottom w:w="60" w:type="dxa"/>
              <w:right w:w="100" w:type="dxa"/>
            </w:tcMar>
          </w:tcPr>
          <w:p w14:paraId="2960D52B" w14:textId="77777777" w:rsidR="00996940" w:rsidRDefault="00000000">
            <w:pPr>
              <w:jc w:val="center"/>
            </w:pPr>
            <w:r>
              <w:rPr>
                <w:rFonts w:ascii="Times New Roman" w:hAnsi="Times New Roman"/>
                <w:sz w:val="16"/>
              </w:rPr>
              <w:t>1.00000</w:t>
            </w:r>
          </w:p>
        </w:tc>
        <w:tc>
          <w:tcPr>
            <w:tcW w:w="1152" w:type="dxa"/>
            <w:shd w:val="clear" w:color="auto" w:fill="F0F4F8"/>
            <w:tcMar>
              <w:top w:w="60" w:type="dxa"/>
              <w:left w:w="100" w:type="dxa"/>
              <w:bottom w:w="60" w:type="dxa"/>
              <w:right w:w="100" w:type="dxa"/>
            </w:tcMar>
          </w:tcPr>
          <w:p w14:paraId="02DEA2F3" w14:textId="77777777" w:rsidR="00996940" w:rsidRDefault="00000000">
            <w:pPr>
              <w:jc w:val="center"/>
            </w:pPr>
            <w:r>
              <w:rPr>
                <w:rFonts w:ascii="Times New Roman" w:hAnsi="Times New Roman"/>
                <w:sz w:val="16"/>
              </w:rPr>
              <w:t>0.99558</w:t>
            </w:r>
          </w:p>
        </w:tc>
        <w:tc>
          <w:tcPr>
            <w:tcW w:w="1152" w:type="dxa"/>
            <w:shd w:val="clear" w:color="auto" w:fill="F0F4F8"/>
            <w:tcMar>
              <w:top w:w="60" w:type="dxa"/>
              <w:left w:w="100" w:type="dxa"/>
              <w:bottom w:w="60" w:type="dxa"/>
              <w:right w:w="100" w:type="dxa"/>
            </w:tcMar>
          </w:tcPr>
          <w:p w14:paraId="321DECF7" w14:textId="77777777" w:rsidR="00996940" w:rsidRDefault="00000000">
            <w:pPr>
              <w:jc w:val="center"/>
            </w:pPr>
            <w:r>
              <w:rPr>
                <w:rFonts w:ascii="Times New Roman" w:hAnsi="Times New Roman"/>
                <w:sz w:val="16"/>
              </w:rPr>
              <w:t>0.00000</w:t>
            </w:r>
          </w:p>
        </w:tc>
      </w:tr>
      <w:tr w:rsidR="00996940" w14:paraId="24883A23" w14:textId="77777777">
        <w:trPr>
          <w:jc w:val="center"/>
        </w:trPr>
        <w:tc>
          <w:tcPr>
            <w:tcW w:w="2160" w:type="dxa"/>
            <w:tcMar>
              <w:top w:w="60" w:type="dxa"/>
              <w:left w:w="100" w:type="dxa"/>
              <w:bottom w:w="60" w:type="dxa"/>
              <w:right w:w="100" w:type="dxa"/>
            </w:tcMar>
          </w:tcPr>
          <w:p w14:paraId="65A91728" w14:textId="77777777" w:rsidR="00996940" w:rsidRDefault="00000000">
            <w:pPr>
              <w:jc w:val="center"/>
            </w:pPr>
            <w:r>
              <w:rPr>
                <w:rFonts w:ascii="Times New Roman" w:hAnsi="Times New Roman"/>
                <w:sz w:val="16"/>
              </w:rPr>
              <w:t>Annualized CAGR</w:t>
            </w:r>
          </w:p>
        </w:tc>
        <w:tc>
          <w:tcPr>
            <w:tcW w:w="1152" w:type="dxa"/>
            <w:tcMar>
              <w:top w:w="60" w:type="dxa"/>
              <w:left w:w="100" w:type="dxa"/>
              <w:bottom w:w="60" w:type="dxa"/>
              <w:right w:w="100" w:type="dxa"/>
            </w:tcMar>
          </w:tcPr>
          <w:p w14:paraId="22EA3578" w14:textId="77777777" w:rsidR="00996940" w:rsidRDefault="00000000">
            <w:pPr>
              <w:jc w:val="center"/>
            </w:pPr>
            <w:r>
              <w:rPr>
                <w:rFonts w:ascii="Times New Roman" w:hAnsi="Times New Roman"/>
                <w:sz w:val="16"/>
              </w:rPr>
              <w:t>-9.25%</w:t>
            </w:r>
          </w:p>
        </w:tc>
        <w:tc>
          <w:tcPr>
            <w:tcW w:w="1152" w:type="dxa"/>
            <w:tcMar>
              <w:top w:w="60" w:type="dxa"/>
              <w:left w:w="100" w:type="dxa"/>
              <w:bottom w:w="60" w:type="dxa"/>
              <w:right w:w="100" w:type="dxa"/>
            </w:tcMar>
          </w:tcPr>
          <w:p w14:paraId="0E121191" w14:textId="77777777" w:rsidR="00996940" w:rsidRDefault="00000000">
            <w:pPr>
              <w:jc w:val="center"/>
            </w:pPr>
            <w:r>
              <w:rPr>
                <w:rFonts w:ascii="Times New Roman" w:hAnsi="Times New Roman"/>
                <w:sz w:val="16"/>
              </w:rPr>
              <w:t>-6.78%</w:t>
            </w:r>
          </w:p>
        </w:tc>
        <w:tc>
          <w:tcPr>
            <w:tcW w:w="1152" w:type="dxa"/>
            <w:tcMar>
              <w:top w:w="60" w:type="dxa"/>
              <w:left w:w="100" w:type="dxa"/>
              <w:bottom w:w="60" w:type="dxa"/>
              <w:right w:w="100" w:type="dxa"/>
            </w:tcMar>
          </w:tcPr>
          <w:p w14:paraId="66389A66" w14:textId="77777777" w:rsidR="00996940" w:rsidRDefault="00000000">
            <w:pPr>
              <w:jc w:val="center"/>
            </w:pPr>
            <w:r>
              <w:rPr>
                <w:rFonts w:ascii="Times New Roman" w:hAnsi="Times New Roman"/>
                <w:sz w:val="16"/>
              </w:rPr>
              <w:t>-2.476%</w:t>
            </w:r>
          </w:p>
        </w:tc>
      </w:tr>
      <w:tr w:rsidR="00996940" w14:paraId="05DD5D83" w14:textId="77777777">
        <w:trPr>
          <w:jc w:val="center"/>
        </w:trPr>
        <w:tc>
          <w:tcPr>
            <w:tcW w:w="2160" w:type="dxa"/>
            <w:shd w:val="clear" w:color="auto" w:fill="F0F4F8"/>
            <w:tcMar>
              <w:top w:w="60" w:type="dxa"/>
              <w:left w:w="100" w:type="dxa"/>
              <w:bottom w:w="60" w:type="dxa"/>
              <w:right w:w="100" w:type="dxa"/>
            </w:tcMar>
          </w:tcPr>
          <w:p w14:paraId="192B0697" w14:textId="77777777" w:rsidR="00996940" w:rsidRDefault="00000000">
            <w:pPr>
              <w:jc w:val="center"/>
            </w:pPr>
            <w:r>
              <w:rPr>
                <w:rFonts w:ascii="Times New Roman" w:hAnsi="Times New Roman"/>
                <w:sz w:val="16"/>
              </w:rPr>
              <w:t>Annualized Volatility</w:t>
            </w:r>
          </w:p>
        </w:tc>
        <w:tc>
          <w:tcPr>
            <w:tcW w:w="1152" w:type="dxa"/>
            <w:shd w:val="clear" w:color="auto" w:fill="F0F4F8"/>
            <w:tcMar>
              <w:top w:w="60" w:type="dxa"/>
              <w:left w:w="100" w:type="dxa"/>
              <w:bottom w:w="60" w:type="dxa"/>
              <w:right w:w="100" w:type="dxa"/>
            </w:tcMar>
          </w:tcPr>
          <w:p w14:paraId="22A89956" w14:textId="77777777" w:rsidR="00996940" w:rsidRDefault="00000000">
            <w:pPr>
              <w:jc w:val="center"/>
            </w:pPr>
            <w:r>
              <w:rPr>
                <w:rFonts w:ascii="Times New Roman" w:hAnsi="Times New Roman"/>
                <w:sz w:val="16"/>
              </w:rPr>
              <w:t>10.90%</w:t>
            </w:r>
          </w:p>
        </w:tc>
        <w:tc>
          <w:tcPr>
            <w:tcW w:w="1152" w:type="dxa"/>
            <w:shd w:val="clear" w:color="auto" w:fill="F0F4F8"/>
            <w:tcMar>
              <w:top w:w="60" w:type="dxa"/>
              <w:left w:w="100" w:type="dxa"/>
              <w:bottom w:w="60" w:type="dxa"/>
              <w:right w:w="100" w:type="dxa"/>
            </w:tcMar>
          </w:tcPr>
          <w:p w14:paraId="390F40D9" w14:textId="77777777" w:rsidR="00996940" w:rsidRDefault="00000000">
            <w:pPr>
              <w:jc w:val="center"/>
            </w:pPr>
            <w:r>
              <w:rPr>
                <w:rFonts w:ascii="Times New Roman" w:hAnsi="Times New Roman"/>
                <w:sz w:val="16"/>
              </w:rPr>
              <w:t>10.81%</w:t>
            </w:r>
          </w:p>
        </w:tc>
        <w:tc>
          <w:tcPr>
            <w:tcW w:w="1152" w:type="dxa"/>
            <w:shd w:val="clear" w:color="auto" w:fill="F0F4F8"/>
            <w:tcMar>
              <w:top w:w="60" w:type="dxa"/>
              <w:left w:w="100" w:type="dxa"/>
              <w:bottom w:w="60" w:type="dxa"/>
              <w:right w:w="100" w:type="dxa"/>
            </w:tcMar>
          </w:tcPr>
          <w:p w14:paraId="19379F0C" w14:textId="77777777" w:rsidR="00996940" w:rsidRDefault="00000000">
            <w:pPr>
              <w:jc w:val="center"/>
            </w:pPr>
            <w:r>
              <w:rPr>
                <w:rFonts w:ascii="Times New Roman" w:hAnsi="Times New Roman"/>
                <w:sz w:val="16"/>
              </w:rPr>
              <w:t>0.092%</w:t>
            </w:r>
          </w:p>
        </w:tc>
      </w:tr>
      <w:tr w:rsidR="00996940" w14:paraId="39F107D1" w14:textId="77777777">
        <w:trPr>
          <w:jc w:val="center"/>
        </w:trPr>
        <w:tc>
          <w:tcPr>
            <w:tcW w:w="2160" w:type="dxa"/>
            <w:tcMar>
              <w:top w:w="60" w:type="dxa"/>
              <w:left w:w="100" w:type="dxa"/>
              <w:bottom w:w="60" w:type="dxa"/>
              <w:right w:w="100" w:type="dxa"/>
            </w:tcMar>
          </w:tcPr>
          <w:p w14:paraId="18592F60" w14:textId="77777777" w:rsidR="00996940" w:rsidRDefault="00000000">
            <w:pPr>
              <w:jc w:val="center"/>
            </w:pPr>
            <w:r>
              <w:rPr>
                <w:rFonts w:ascii="Times New Roman" w:hAnsi="Times New Roman"/>
                <w:sz w:val="16"/>
              </w:rPr>
              <w:t>Sharpe Ratio</w:t>
            </w:r>
          </w:p>
        </w:tc>
        <w:tc>
          <w:tcPr>
            <w:tcW w:w="1152" w:type="dxa"/>
            <w:tcMar>
              <w:top w:w="60" w:type="dxa"/>
              <w:left w:w="100" w:type="dxa"/>
              <w:bottom w:w="60" w:type="dxa"/>
              <w:right w:w="100" w:type="dxa"/>
            </w:tcMar>
          </w:tcPr>
          <w:p w14:paraId="307B45FA" w14:textId="77777777" w:rsidR="00996940" w:rsidRDefault="00000000">
            <w:pPr>
              <w:jc w:val="center"/>
            </w:pPr>
            <w:r>
              <w:rPr>
                <w:rFonts w:ascii="Times New Roman" w:hAnsi="Times New Roman"/>
                <w:sz w:val="16"/>
              </w:rPr>
              <w:t>-0.836</w:t>
            </w:r>
          </w:p>
        </w:tc>
        <w:tc>
          <w:tcPr>
            <w:tcW w:w="1152" w:type="dxa"/>
            <w:tcMar>
              <w:top w:w="60" w:type="dxa"/>
              <w:left w:w="100" w:type="dxa"/>
              <w:bottom w:w="60" w:type="dxa"/>
              <w:right w:w="100" w:type="dxa"/>
            </w:tcMar>
          </w:tcPr>
          <w:p w14:paraId="043841F8" w14:textId="77777777" w:rsidR="00996940" w:rsidRDefault="00000000">
            <w:pPr>
              <w:jc w:val="center"/>
            </w:pPr>
            <w:r>
              <w:rPr>
                <w:rFonts w:ascii="Times New Roman" w:hAnsi="Times New Roman"/>
                <w:sz w:val="16"/>
              </w:rPr>
              <w:t>-1.058</w:t>
            </w:r>
          </w:p>
        </w:tc>
        <w:tc>
          <w:tcPr>
            <w:tcW w:w="1152" w:type="dxa"/>
            <w:tcMar>
              <w:top w:w="60" w:type="dxa"/>
              <w:left w:w="100" w:type="dxa"/>
              <w:bottom w:w="60" w:type="dxa"/>
              <w:right w:w="100" w:type="dxa"/>
            </w:tcMar>
          </w:tcPr>
          <w:p w14:paraId="7D4778C5" w14:textId="77777777" w:rsidR="00996940" w:rsidRDefault="00000000">
            <w:pPr>
              <w:jc w:val="center"/>
            </w:pPr>
            <w:r>
              <w:rPr>
                <w:rFonts w:ascii="Times New Roman" w:hAnsi="Times New Roman"/>
                <w:sz w:val="16"/>
              </w:rPr>
              <w:t>0.2221</w:t>
            </w:r>
          </w:p>
        </w:tc>
      </w:tr>
      <w:tr w:rsidR="00996940" w14:paraId="611B1F50" w14:textId="77777777">
        <w:trPr>
          <w:jc w:val="center"/>
        </w:trPr>
        <w:tc>
          <w:tcPr>
            <w:tcW w:w="2160" w:type="dxa"/>
            <w:shd w:val="clear" w:color="auto" w:fill="F0F4F8"/>
            <w:tcMar>
              <w:top w:w="60" w:type="dxa"/>
              <w:left w:w="100" w:type="dxa"/>
              <w:bottom w:w="60" w:type="dxa"/>
              <w:right w:w="100" w:type="dxa"/>
            </w:tcMar>
          </w:tcPr>
          <w:p w14:paraId="6EC5A647" w14:textId="77777777" w:rsidR="00996940" w:rsidRDefault="00000000">
            <w:pPr>
              <w:jc w:val="center"/>
            </w:pPr>
            <w:r>
              <w:rPr>
                <w:rFonts w:ascii="Times New Roman" w:hAnsi="Times New Roman"/>
                <w:sz w:val="16"/>
              </w:rPr>
              <w:t>Deflated Sharpe Ratio</w:t>
            </w:r>
          </w:p>
        </w:tc>
        <w:tc>
          <w:tcPr>
            <w:tcW w:w="1152" w:type="dxa"/>
            <w:shd w:val="clear" w:color="auto" w:fill="F0F4F8"/>
            <w:tcMar>
              <w:top w:w="60" w:type="dxa"/>
              <w:left w:w="100" w:type="dxa"/>
              <w:bottom w:w="60" w:type="dxa"/>
              <w:right w:w="100" w:type="dxa"/>
            </w:tcMar>
          </w:tcPr>
          <w:p w14:paraId="2F88EB54" w14:textId="77777777" w:rsidR="00996940" w:rsidRDefault="00000000">
            <w:pPr>
              <w:jc w:val="center"/>
            </w:pPr>
            <w:r>
              <w:rPr>
                <w:rFonts w:ascii="Times New Roman" w:hAnsi="Times New Roman"/>
                <w:sz w:val="16"/>
              </w:rPr>
              <w:t>0.0003</w:t>
            </w:r>
          </w:p>
        </w:tc>
        <w:tc>
          <w:tcPr>
            <w:tcW w:w="1152" w:type="dxa"/>
            <w:shd w:val="clear" w:color="auto" w:fill="F0F4F8"/>
            <w:tcMar>
              <w:top w:w="60" w:type="dxa"/>
              <w:left w:w="100" w:type="dxa"/>
              <w:bottom w:w="60" w:type="dxa"/>
              <w:right w:w="100" w:type="dxa"/>
            </w:tcMar>
          </w:tcPr>
          <w:p w14:paraId="32B8C0F8" w14:textId="77777777" w:rsidR="00996940" w:rsidRDefault="00000000">
            <w:pPr>
              <w:jc w:val="center"/>
            </w:pPr>
            <w:r>
              <w:rPr>
                <w:rFonts w:ascii="Times New Roman" w:hAnsi="Times New Roman"/>
                <w:sz w:val="16"/>
              </w:rPr>
              <w:t>0.0014</w:t>
            </w:r>
          </w:p>
        </w:tc>
        <w:tc>
          <w:tcPr>
            <w:tcW w:w="1152" w:type="dxa"/>
            <w:shd w:val="clear" w:color="auto" w:fill="F0F4F8"/>
            <w:tcMar>
              <w:top w:w="60" w:type="dxa"/>
              <w:left w:w="100" w:type="dxa"/>
              <w:bottom w:w="60" w:type="dxa"/>
              <w:right w:w="100" w:type="dxa"/>
            </w:tcMar>
          </w:tcPr>
          <w:p w14:paraId="74CFC08F" w14:textId="77777777" w:rsidR="00996940" w:rsidRDefault="00000000">
            <w:pPr>
              <w:jc w:val="center"/>
            </w:pPr>
            <w:r>
              <w:rPr>
                <w:rFonts w:ascii="Times New Roman" w:hAnsi="Times New Roman"/>
                <w:sz w:val="16"/>
              </w:rPr>
              <w:t>-0.0011</w:t>
            </w:r>
          </w:p>
        </w:tc>
      </w:tr>
      <w:tr w:rsidR="00996940" w14:paraId="06756B02" w14:textId="77777777">
        <w:trPr>
          <w:jc w:val="center"/>
        </w:trPr>
        <w:tc>
          <w:tcPr>
            <w:tcW w:w="2160" w:type="dxa"/>
            <w:tcMar>
              <w:top w:w="60" w:type="dxa"/>
              <w:left w:w="100" w:type="dxa"/>
              <w:bottom w:w="60" w:type="dxa"/>
              <w:right w:w="100" w:type="dxa"/>
            </w:tcMar>
          </w:tcPr>
          <w:p w14:paraId="688D3985" w14:textId="77777777" w:rsidR="00996940" w:rsidRDefault="00000000">
            <w:pPr>
              <w:jc w:val="center"/>
            </w:pPr>
            <w:r>
              <w:rPr>
                <w:rFonts w:ascii="Times New Roman" w:hAnsi="Times New Roman"/>
                <w:sz w:val="16"/>
              </w:rPr>
              <w:t>Max Drawdown</w:t>
            </w:r>
          </w:p>
        </w:tc>
        <w:tc>
          <w:tcPr>
            <w:tcW w:w="1152" w:type="dxa"/>
            <w:tcMar>
              <w:top w:w="60" w:type="dxa"/>
              <w:left w:w="100" w:type="dxa"/>
              <w:bottom w:w="60" w:type="dxa"/>
              <w:right w:w="100" w:type="dxa"/>
            </w:tcMar>
          </w:tcPr>
          <w:p w14:paraId="0CE48E05" w14:textId="77777777" w:rsidR="00996940" w:rsidRDefault="00000000">
            <w:pPr>
              <w:jc w:val="center"/>
            </w:pPr>
            <w:r>
              <w:rPr>
                <w:rFonts w:ascii="Times New Roman" w:hAnsi="Times New Roman"/>
                <w:sz w:val="16"/>
              </w:rPr>
              <w:t>-31.35%</w:t>
            </w:r>
          </w:p>
        </w:tc>
        <w:tc>
          <w:tcPr>
            <w:tcW w:w="1152" w:type="dxa"/>
            <w:tcMar>
              <w:top w:w="60" w:type="dxa"/>
              <w:left w:w="100" w:type="dxa"/>
              <w:bottom w:w="60" w:type="dxa"/>
              <w:right w:w="100" w:type="dxa"/>
            </w:tcMar>
          </w:tcPr>
          <w:p w14:paraId="3728FC1B" w14:textId="77777777" w:rsidR="00996940" w:rsidRDefault="00000000">
            <w:pPr>
              <w:jc w:val="center"/>
            </w:pPr>
            <w:r>
              <w:rPr>
                <w:rFonts w:ascii="Times New Roman" w:hAnsi="Times New Roman"/>
                <w:sz w:val="16"/>
              </w:rPr>
              <w:t>-25.53%</w:t>
            </w:r>
          </w:p>
        </w:tc>
        <w:tc>
          <w:tcPr>
            <w:tcW w:w="1152" w:type="dxa"/>
            <w:tcMar>
              <w:top w:w="60" w:type="dxa"/>
              <w:left w:w="100" w:type="dxa"/>
              <w:bottom w:w="60" w:type="dxa"/>
              <w:right w:w="100" w:type="dxa"/>
            </w:tcMar>
          </w:tcPr>
          <w:p w14:paraId="3A5C6AAE" w14:textId="77777777" w:rsidR="00996940" w:rsidRDefault="00000000">
            <w:pPr>
              <w:jc w:val="center"/>
            </w:pPr>
            <w:r>
              <w:rPr>
                <w:rFonts w:ascii="Times New Roman" w:hAnsi="Times New Roman"/>
                <w:sz w:val="16"/>
              </w:rPr>
              <w:t>-5.818%</w:t>
            </w:r>
          </w:p>
        </w:tc>
      </w:tr>
      <w:tr w:rsidR="00996940" w14:paraId="17EAF2D6" w14:textId="77777777">
        <w:trPr>
          <w:jc w:val="center"/>
        </w:trPr>
        <w:tc>
          <w:tcPr>
            <w:tcW w:w="2160" w:type="dxa"/>
            <w:shd w:val="clear" w:color="auto" w:fill="F0F4F8"/>
            <w:tcMar>
              <w:top w:w="60" w:type="dxa"/>
              <w:left w:w="100" w:type="dxa"/>
              <w:bottom w:w="60" w:type="dxa"/>
              <w:right w:w="100" w:type="dxa"/>
            </w:tcMar>
          </w:tcPr>
          <w:p w14:paraId="6196DE60" w14:textId="77777777" w:rsidR="00996940" w:rsidRDefault="00000000">
            <w:pPr>
              <w:jc w:val="center"/>
            </w:pPr>
            <w:r>
              <w:rPr>
                <w:rFonts w:ascii="Times New Roman" w:hAnsi="Times New Roman"/>
                <w:sz w:val="16"/>
              </w:rPr>
              <w:t>Trade Count</w:t>
            </w:r>
          </w:p>
        </w:tc>
        <w:tc>
          <w:tcPr>
            <w:tcW w:w="1152" w:type="dxa"/>
            <w:shd w:val="clear" w:color="auto" w:fill="F0F4F8"/>
            <w:tcMar>
              <w:top w:w="60" w:type="dxa"/>
              <w:left w:w="100" w:type="dxa"/>
              <w:bottom w:w="60" w:type="dxa"/>
              <w:right w:w="100" w:type="dxa"/>
            </w:tcMar>
          </w:tcPr>
          <w:p w14:paraId="73DE00FB" w14:textId="77777777" w:rsidR="00996940" w:rsidRDefault="00000000">
            <w:pPr>
              <w:jc w:val="center"/>
            </w:pPr>
            <w:r>
              <w:rPr>
                <w:rFonts w:ascii="Times New Roman" w:hAnsi="Times New Roman"/>
                <w:sz w:val="16"/>
              </w:rPr>
              <w:t>2492</w:t>
            </w:r>
          </w:p>
        </w:tc>
        <w:tc>
          <w:tcPr>
            <w:tcW w:w="1152" w:type="dxa"/>
            <w:shd w:val="clear" w:color="auto" w:fill="F0F4F8"/>
            <w:tcMar>
              <w:top w:w="60" w:type="dxa"/>
              <w:left w:w="100" w:type="dxa"/>
              <w:bottom w:w="60" w:type="dxa"/>
              <w:right w:w="100" w:type="dxa"/>
            </w:tcMar>
          </w:tcPr>
          <w:p w14:paraId="26D8A3E8" w14:textId="77777777" w:rsidR="00996940" w:rsidRDefault="00000000">
            <w:pPr>
              <w:jc w:val="center"/>
            </w:pPr>
            <w:r>
              <w:rPr>
                <w:rFonts w:ascii="Times New Roman" w:hAnsi="Times New Roman"/>
                <w:sz w:val="16"/>
              </w:rPr>
              <w:t>2295</w:t>
            </w:r>
          </w:p>
        </w:tc>
        <w:tc>
          <w:tcPr>
            <w:tcW w:w="1152" w:type="dxa"/>
            <w:shd w:val="clear" w:color="auto" w:fill="F0F4F8"/>
            <w:tcMar>
              <w:top w:w="60" w:type="dxa"/>
              <w:left w:w="100" w:type="dxa"/>
              <w:bottom w:w="60" w:type="dxa"/>
              <w:right w:w="100" w:type="dxa"/>
            </w:tcMar>
          </w:tcPr>
          <w:p w14:paraId="6014C589" w14:textId="77777777" w:rsidR="00996940" w:rsidRDefault="00000000">
            <w:pPr>
              <w:jc w:val="center"/>
            </w:pPr>
            <w:r>
              <w:rPr>
                <w:rFonts w:ascii="Times New Roman" w:hAnsi="Times New Roman"/>
                <w:sz w:val="16"/>
              </w:rPr>
              <w:t>197</w:t>
            </w:r>
          </w:p>
        </w:tc>
      </w:tr>
      <w:tr w:rsidR="00996940" w14:paraId="6746C804" w14:textId="77777777">
        <w:trPr>
          <w:jc w:val="center"/>
        </w:trPr>
        <w:tc>
          <w:tcPr>
            <w:tcW w:w="2160" w:type="dxa"/>
            <w:tcMar>
              <w:top w:w="60" w:type="dxa"/>
              <w:left w:w="100" w:type="dxa"/>
              <w:bottom w:w="60" w:type="dxa"/>
              <w:right w:w="100" w:type="dxa"/>
            </w:tcMar>
          </w:tcPr>
          <w:p w14:paraId="2B72BBF5" w14:textId="77777777" w:rsidR="00996940" w:rsidRDefault="00000000">
            <w:pPr>
              <w:jc w:val="center"/>
            </w:pPr>
            <w:r>
              <w:rPr>
                <w:rFonts w:ascii="Times New Roman" w:hAnsi="Times New Roman"/>
                <w:sz w:val="16"/>
              </w:rPr>
              <w:t>Equity Correlation</w:t>
            </w:r>
          </w:p>
        </w:tc>
        <w:tc>
          <w:tcPr>
            <w:tcW w:w="1152" w:type="dxa"/>
            <w:tcMar>
              <w:top w:w="60" w:type="dxa"/>
              <w:left w:w="100" w:type="dxa"/>
              <w:bottom w:w="60" w:type="dxa"/>
              <w:right w:w="100" w:type="dxa"/>
            </w:tcMar>
          </w:tcPr>
          <w:p w14:paraId="6BA17307" w14:textId="77777777" w:rsidR="00996940" w:rsidRDefault="00000000">
            <w:pPr>
              <w:jc w:val="center"/>
            </w:pPr>
            <w:r>
              <w:rPr>
                <w:rFonts w:ascii="Times New Roman" w:hAnsi="Times New Roman"/>
                <w:sz w:val="16"/>
              </w:rPr>
              <w:t>1.00000</w:t>
            </w:r>
          </w:p>
        </w:tc>
        <w:tc>
          <w:tcPr>
            <w:tcW w:w="1152" w:type="dxa"/>
            <w:tcMar>
              <w:top w:w="60" w:type="dxa"/>
              <w:left w:w="100" w:type="dxa"/>
              <w:bottom w:w="60" w:type="dxa"/>
              <w:right w:w="100" w:type="dxa"/>
            </w:tcMar>
          </w:tcPr>
          <w:p w14:paraId="2BC6C942" w14:textId="77777777" w:rsidR="00996940" w:rsidRDefault="00000000">
            <w:pPr>
              <w:jc w:val="center"/>
            </w:pPr>
            <w:r>
              <w:rPr>
                <w:rFonts w:ascii="Times New Roman" w:hAnsi="Times New Roman"/>
                <w:sz w:val="16"/>
              </w:rPr>
              <w:t>0.99507</w:t>
            </w:r>
          </w:p>
        </w:tc>
        <w:tc>
          <w:tcPr>
            <w:tcW w:w="1152" w:type="dxa"/>
            <w:tcMar>
              <w:top w:w="60" w:type="dxa"/>
              <w:left w:w="100" w:type="dxa"/>
              <w:bottom w:w="60" w:type="dxa"/>
              <w:right w:w="100" w:type="dxa"/>
            </w:tcMar>
          </w:tcPr>
          <w:p w14:paraId="0423AA3E" w14:textId="77777777" w:rsidR="00996940" w:rsidRDefault="00000000">
            <w:pPr>
              <w:jc w:val="center"/>
            </w:pPr>
            <w:r>
              <w:rPr>
                <w:rFonts w:ascii="Times New Roman" w:hAnsi="Times New Roman"/>
                <w:sz w:val="16"/>
              </w:rPr>
              <w:t>0.00000</w:t>
            </w:r>
          </w:p>
        </w:tc>
      </w:tr>
    </w:tbl>
    <w:p w14:paraId="3221FF2A" w14:textId="77777777" w:rsidR="002734B2" w:rsidRDefault="002734B2">
      <w:pPr>
        <w:spacing w:before="120" w:after="80" w:line="240" w:lineRule="auto"/>
        <w:jc w:val="center"/>
        <w:rPr>
          <w:rFonts w:ascii="Times New Roman" w:hAnsi="Times New Roman"/>
          <w:i/>
          <w:sz w:val="18"/>
        </w:rPr>
      </w:pPr>
    </w:p>
    <w:p w14:paraId="217423D6" w14:textId="7362D8BF" w:rsidR="00996940" w:rsidRDefault="00000000">
      <w:pPr>
        <w:spacing w:before="120" w:after="80" w:line="240" w:lineRule="auto"/>
        <w:jc w:val="center"/>
      </w:pPr>
      <w:r>
        <w:rPr>
          <w:rFonts w:ascii="Times New Roman" w:hAnsi="Times New Roman"/>
          <w:i/>
          <w:sz w:val="18"/>
        </w:rPr>
        <w:t>Fig. 2: Performance Plot for Proposal 2:</w:t>
      </w:r>
    </w:p>
    <w:p w14:paraId="7F8F8F2C" w14:textId="77777777" w:rsidR="00996940" w:rsidRDefault="00000000">
      <w:r>
        <w:rPr>
          <w:noProof/>
        </w:rPr>
        <w:drawing>
          <wp:inline distT="0" distB="0" distL="0" distR="0" wp14:anchorId="109F6E5B" wp14:editId="004F2E7C">
            <wp:extent cx="3616678" cy="2959100"/>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osal2_performance.png"/>
                    <pic:cNvPicPr/>
                  </pic:nvPicPr>
                  <pic:blipFill>
                    <a:blip r:embed="rId8"/>
                    <a:stretch>
                      <a:fillRect/>
                    </a:stretch>
                  </pic:blipFill>
                  <pic:spPr>
                    <a:xfrm>
                      <a:off x="0" y="0"/>
                      <a:ext cx="3636167" cy="2975045"/>
                    </a:xfrm>
                    <a:prstGeom prst="rect">
                      <a:avLst/>
                    </a:prstGeom>
                  </pic:spPr>
                </pic:pic>
              </a:graphicData>
            </a:graphic>
          </wp:inline>
        </w:drawing>
      </w:r>
    </w:p>
    <w:p w14:paraId="6B6DEE7B" w14:textId="77777777" w:rsidR="002734B2" w:rsidRDefault="002734B2">
      <w:pPr>
        <w:spacing w:before="240" w:after="120" w:line="240" w:lineRule="auto"/>
        <w:jc w:val="center"/>
        <w:rPr>
          <w:rFonts w:ascii="Times New Roman" w:hAnsi="Times New Roman"/>
          <w:b/>
          <w:sz w:val="20"/>
        </w:rPr>
      </w:pPr>
    </w:p>
    <w:p w14:paraId="4174814C" w14:textId="18115170" w:rsidR="00996940" w:rsidRDefault="00000000">
      <w:pPr>
        <w:spacing w:before="240" w:after="120" w:line="240" w:lineRule="auto"/>
        <w:jc w:val="center"/>
      </w:pPr>
      <w:r>
        <w:rPr>
          <w:rFonts w:ascii="Times New Roman" w:hAnsi="Times New Roman"/>
          <w:b/>
          <w:sz w:val="20"/>
        </w:rPr>
        <w:lastRenderedPageBreak/>
        <w:t>VI. CONCLUSION AND FUTURE WORK</w:t>
      </w:r>
    </w:p>
    <w:p w14:paraId="2D911342" w14:textId="77777777" w:rsidR="00996940" w:rsidRDefault="00000000">
      <w:pPr>
        <w:spacing w:before="120" w:after="80" w:line="240" w:lineRule="auto"/>
        <w:jc w:val="both"/>
      </w:pPr>
      <w:r>
        <w:rPr>
          <w:rFonts w:ascii="Times New Roman" w:hAnsi="Times New Roman"/>
          <w:b/>
          <w:i/>
          <w:sz w:val="20"/>
        </w:rPr>
        <w:t>A. Concluding Remarks</w:t>
      </w:r>
    </w:p>
    <w:p w14:paraId="319C8BDE" w14:textId="77777777" w:rsidR="00996940" w:rsidRDefault="00000000">
      <w:pPr>
        <w:spacing w:after="80" w:line="240" w:lineRule="auto"/>
        <w:jc w:val="both"/>
      </w:pPr>
      <w:r>
        <w:rPr>
          <w:rFonts w:ascii="Times New Roman" w:hAnsi="Times New Roman"/>
          <w:sz w:val="20"/>
        </w:rPr>
        <w:t>This study successfully verified a multi-asset event-driven statistical arbitrage trading strategy. The custom and standard engine show high correlation. However, cointegration breakdown highlights the importance of dynamic cointegrating vector estimation.</w:t>
      </w:r>
    </w:p>
    <w:p w14:paraId="5DAE82A9" w14:textId="77777777" w:rsidR="00996940" w:rsidRDefault="00000000">
      <w:pPr>
        <w:spacing w:before="120" w:after="80" w:line="240" w:lineRule="auto"/>
        <w:jc w:val="both"/>
      </w:pPr>
      <w:r>
        <w:rPr>
          <w:rFonts w:ascii="Times New Roman" w:hAnsi="Times New Roman"/>
          <w:b/>
          <w:i/>
          <w:sz w:val="20"/>
        </w:rPr>
        <w:t>B. Future Directions</w:t>
      </w:r>
    </w:p>
    <w:p w14:paraId="0AD78462" w14:textId="77777777" w:rsidR="00996940" w:rsidRDefault="00000000">
      <w:pPr>
        <w:spacing w:after="80" w:line="240" w:lineRule="auto"/>
        <w:jc w:val="both"/>
      </w:pPr>
      <w:r>
        <w:rPr>
          <w:rFonts w:ascii="Times New Roman" w:hAnsi="Times New Roman"/>
          <w:sz w:val="20"/>
        </w:rPr>
        <w:t>Future research will evaluate machine learning-based cointegration estimators and copula-based spread trading strategies. We will also test high-frequency execution filters to optimize rebalancing entry thresholds and reduce fee drag.</w:t>
      </w:r>
    </w:p>
    <w:p w14:paraId="08FE682A" w14:textId="77777777" w:rsidR="00996940" w:rsidRDefault="00000000">
      <w:pPr>
        <w:spacing w:before="240" w:after="120" w:line="240" w:lineRule="auto"/>
        <w:jc w:val="center"/>
      </w:pPr>
      <w:r>
        <w:rPr>
          <w:rFonts w:ascii="Times New Roman" w:hAnsi="Times New Roman"/>
          <w:b/>
          <w:sz w:val="20"/>
        </w:rPr>
        <w:t>REFERENCES</w:t>
      </w:r>
    </w:p>
    <w:p w14:paraId="22EECE74" w14:textId="77777777" w:rsidR="00996940" w:rsidRDefault="00000000">
      <w:pPr>
        <w:pStyle w:val="ListBullet"/>
        <w:spacing w:after="80" w:line="240" w:lineRule="auto"/>
        <w:jc w:val="both"/>
      </w:pPr>
      <w:r>
        <w:rPr>
          <w:rFonts w:ascii="Times New Roman" w:hAnsi="Times New Roman"/>
          <w:sz w:val="16"/>
        </w:rPr>
        <w:t>[1] E. Gatev et al., "Pairs Trading: Performance of a Relative-Value Arbitrage Rule," Review of Financial Studies, 2006, pp. 797-827.</w:t>
      </w:r>
    </w:p>
    <w:p w14:paraId="3E72FEA6" w14:textId="77777777" w:rsidR="00996940" w:rsidRDefault="00000000">
      <w:pPr>
        <w:pStyle w:val="ListBullet"/>
        <w:spacing w:after="80" w:line="240" w:lineRule="auto"/>
        <w:jc w:val="both"/>
      </w:pPr>
      <w:r>
        <w:rPr>
          <w:rFonts w:ascii="Times New Roman" w:hAnsi="Times New Roman"/>
          <w:sz w:val="16"/>
        </w:rPr>
        <w:t>[2] R. F. Engle and C. W. Granger, "Co-integration and Error Correction: Representation, Estimation, and Testing," Econometrica, 1987.</w:t>
      </w:r>
    </w:p>
    <w:p w14:paraId="5C9FFD38" w14:textId="77777777" w:rsidR="00996940" w:rsidRDefault="00000000">
      <w:pPr>
        <w:pStyle w:val="ListBullet"/>
        <w:spacing w:after="80" w:line="240" w:lineRule="auto"/>
        <w:jc w:val="both"/>
      </w:pPr>
      <w:r>
        <w:rPr>
          <w:rFonts w:ascii="Times New Roman" w:hAnsi="Times New Roman"/>
          <w:sz w:val="16"/>
        </w:rPr>
        <w:t>[3] S. Johansen, "Statistical analysis of cointegration vectors," Journal of Economic Dynamics and Control, 1988.</w:t>
      </w:r>
    </w:p>
    <w:p w14:paraId="00C24229" w14:textId="77777777" w:rsidR="00996940" w:rsidRDefault="00000000">
      <w:pPr>
        <w:pStyle w:val="ListBullet"/>
        <w:spacing w:after="80" w:line="240" w:lineRule="auto"/>
        <w:jc w:val="both"/>
      </w:pPr>
      <w:r>
        <w:rPr>
          <w:rFonts w:ascii="Times New Roman" w:hAnsi="Times New Roman"/>
          <w:sz w:val="16"/>
        </w:rPr>
        <w:t>[4] G. Vidyamurthy, Pairs Trading: Quantitative Methods and Analysis. John Wiley &amp; Sons, 2004.</w:t>
      </w:r>
    </w:p>
    <w:p w14:paraId="3770D931" w14:textId="77777777" w:rsidR="00996940" w:rsidRDefault="00000000">
      <w:pPr>
        <w:pStyle w:val="ListBullet"/>
        <w:spacing w:after="80" w:line="240" w:lineRule="auto"/>
        <w:jc w:val="both"/>
      </w:pPr>
      <w:r>
        <w:rPr>
          <w:rFonts w:ascii="Times New Roman" w:hAnsi="Times New Roman"/>
          <w:sz w:val="16"/>
        </w:rPr>
        <w:t>[5] T. Fischer and C. Krauss, "Deep learning with long short-term memory networks for financial market predictions," European Journal of Operational Research, 2018.</w:t>
      </w:r>
    </w:p>
    <w:p w14:paraId="7F48EC6A" w14:textId="77777777" w:rsidR="00996940" w:rsidRDefault="00000000">
      <w:pPr>
        <w:pStyle w:val="ListBullet"/>
        <w:spacing w:after="80" w:line="240" w:lineRule="auto"/>
        <w:jc w:val="both"/>
      </w:pPr>
      <w:r>
        <w:rPr>
          <w:rFonts w:ascii="Times New Roman" w:hAnsi="Times New Roman"/>
          <w:sz w:val="16"/>
        </w:rPr>
        <w:t>[6] S. Gu et al., "Empirical Asset Pricing via Machine Learning," Review of Financial Studies, 2020.</w:t>
      </w:r>
    </w:p>
    <w:p w14:paraId="2BA28BFB" w14:textId="77777777" w:rsidR="00996940" w:rsidRDefault="00000000">
      <w:pPr>
        <w:pStyle w:val="ListBullet"/>
        <w:spacing w:after="80" w:line="240" w:lineRule="auto"/>
        <w:jc w:val="both"/>
      </w:pPr>
      <w:r>
        <w:rPr>
          <w:rFonts w:ascii="Times New Roman" w:hAnsi="Times New Roman"/>
          <w:sz w:val="16"/>
        </w:rPr>
        <w:t>[7] A. Rad et al., "Pairs trading, cointegration, and copulas: A comparative analysis," Journal of Empirical Finance, 2016.</w:t>
      </w:r>
    </w:p>
    <w:p w14:paraId="15E0DE33" w14:textId="77777777" w:rsidR="00996940" w:rsidRDefault="00000000">
      <w:pPr>
        <w:pStyle w:val="ListBullet"/>
        <w:spacing w:after="80" w:line="240" w:lineRule="auto"/>
        <w:jc w:val="both"/>
      </w:pPr>
      <w:r>
        <w:rPr>
          <w:rFonts w:ascii="Times New Roman" w:hAnsi="Times New Roman"/>
          <w:sz w:val="16"/>
        </w:rPr>
        <w:t>[8] D. H. Bailey and M. López de Prado, "The Sharpe Ratio Efficient Frontier," Journal of Risk, 2012.</w:t>
      </w:r>
    </w:p>
    <w:p w14:paraId="6EB8FEFA" w14:textId="77777777" w:rsidR="00996940" w:rsidRDefault="00000000">
      <w:pPr>
        <w:pStyle w:val="ListBullet"/>
        <w:spacing w:after="80" w:line="240" w:lineRule="auto"/>
        <w:jc w:val="both"/>
      </w:pPr>
      <w:r>
        <w:rPr>
          <w:rFonts w:ascii="Times New Roman" w:hAnsi="Times New Roman"/>
          <w:sz w:val="16"/>
        </w:rPr>
        <w:t>[9] C. Krauss et al., "Deep neural networks, gradient-boosted trees, and random forests for ETF return predictions," Quantitative Finance, 2017.</w:t>
      </w:r>
    </w:p>
    <w:p w14:paraId="4A1A9C5B" w14:textId="77777777" w:rsidR="00996940" w:rsidRDefault="00000000">
      <w:pPr>
        <w:pStyle w:val="ListBullet"/>
        <w:spacing w:after="80" w:line="240" w:lineRule="auto"/>
        <w:jc w:val="both"/>
      </w:pPr>
      <w:r>
        <w:rPr>
          <w:rFonts w:ascii="Times New Roman" w:hAnsi="Times New Roman"/>
          <w:sz w:val="16"/>
        </w:rPr>
        <w:t>[10] T. Fischer and C. Krauss, "Comparing deep learning with traditional statistical methods in statistical arbitrage," Quantitative Finance, 2018.</w:t>
      </w:r>
    </w:p>
    <w:sectPr w:rsidR="00996940" w:rsidSect="00034616">
      <w:type w:val="continuous"/>
      <w:pgSz w:w="12240" w:h="15840"/>
      <w:pgMar w:top="900" w:right="900" w:bottom="900" w:left="900"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18547">
    <w:abstractNumId w:val="8"/>
  </w:num>
  <w:num w:numId="2" w16cid:durableId="733044330">
    <w:abstractNumId w:val="6"/>
  </w:num>
  <w:num w:numId="3" w16cid:durableId="536741392">
    <w:abstractNumId w:val="5"/>
  </w:num>
  <w:num w:numId="4" w16cid:durableId="1006637703">
    <w:abstractNumId w:val="4"/>
  </w:num>
  <w:num w:numId="5" w16cid:durableId="201207759">
    <w:abstractNumId w:val="7"/>
  </w:num>
  <w:num w:numId="6" w16cid:durableId="1339653221">
    <w:abstractNumId w:val="3"/>
  </w:num>
  <w:num w:numId="7" w16cid:durableId="967853762">
    <w:abstractNumId w:val="2"/>
  </w:num>
  <w:num w:numId="8" w16cid:durableId="459762311">
    <w:abstractNumId w:val="1"/>
  </w:num>
  <w:num w:numId="9" w16cid:durableId="20911539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34B2"/>
    <w:rsid w:val="0029639D"/>
    <w:rsid w:val="00326F90"/>
    <w:rsid w:val="0095486B"/>
    <w:rsid w:val="00996940"/>
    <w:rsid w:val="00AA1D8D"/>
    <w:rsid w:val="00B47730"/>
    <w:rsid w:val="00CB0664"/>
    <w:rsid w:val="00D866AC"/>
    <w:rsid w:val="00ED34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138814"/>
  <w14:defaultImageDpi w14:val="300"/>
  <w15:docId w15:val="{43606972-8541-41E0-BFE4-7558D6F27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D343B"/>
    <w:rPr>
      <w:color w:val="0000FF" w:themeColor="hyperlink"/>
      <w:u w:val="single"/>
    </w:rPr>
  </w:style>
  <w:style w:type="character" w:styleId="UnresolvedMention">
    <w:name w:val="Unresolved Mention"/>
    <w:basedOn w:val="DefaultParagraphFont"/>
    <w:uiPriority w:val="99"/>
    <w:semiHidden/>
    <w:unhideWhenUsed/>
    <w:rsid w:val="00ED34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riaschawak@gmail.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1516</Words>
  <Characters>8647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Ria Chawak</cp:lastModifiedBy>
  <cp:revision>4</cp:revision>
  <dcterms:created xsi:type="dcterms:W3CDTF">2013-12-23T23:15:00Z</dcterms:created>
  <dcterms:modified xsi:type="dcterms:W3CDTF">2026-07-24T07:24:00Z</dcterms:modified>
  <cp:category/>
</cp:coreProperties>
</file>