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B64C" w14:textId="77777777" w:rsidR="00491599" w:rsidRDefault="00000000">
      <w:pPr>
        <w:spacing w:after="240"/>
        <w:jc w:val="center"/>
      </w:pPr>
      <w:r>
        <w:rPr>
          <w:rFonts w:ascii="Times New Roman" w:hAnsi="Times New Roman"/>
          <w:b/>
          <w:sz w:val="36"/>
        </w:rPr>
        <w:t>Contrarian Perpetual Funding Rate Strategy in Cryptocurrency Markets: Event-Driven Verification</w:t>
      </w:r>
    </w:p>
    <w:p w14:paraId="4044E15D" w14:textId="64A00BFF" w:rsidR="00491599" w:rsidRDefault="00000000" w:rsidP="00616AB7">
      <w:pPr>
        <w:spacing w:after="360"/>
        <w:jc w:val="center"/>
        <w:sectPr w:rsidR="00491599">
          <w:pgSz w:w="12240" w:h="15840"/>
          <w:pgMar w:top="900" w:right="900" w:bottom="900" w:left="900" w:header="720" w:footer="720" w:gutter="0"/>
          <w:cols w:space="720"/>
          <w:docGrid w:linePitch="360"/>
        </w:sectPr>
      </w:pPr>
      <w:r>
        <w:rPr>
          <w:rFonts w:ascii="Times New Roman" w:hAnsi="Times New Roman"/>
          <w:sz w:val="18"/>
        </w:rPr>
        <w:t>Ria Chawak</w:t>
      </w:r>
      <w:r>
        <w:rPr>
          <w:rFonts w:ascii="Times New Roman" w:hAnsi="Times New Roman"/>
          <w:sz w:val="18"/>
        </w:rPr>
        <w:br/>
        <w:t xml:space="preserve">Email: </w:t>
      </w:r>
      <w:hyperlink r:id="rId6" w:history="1">
        <w:r w:rsidR="00616AB7" w:rsidRPr="00E34086">
          <w:rPr>
            <w:rStyle w:val="Hyperlink"/>
            <w:rFonts w:ascii="Times New Roman" w:hAnsi="Times New Roman"/>
            <w:sz w:val="18"/>
          </w:rPr>
          <w:t>riaschawak@gmail.com</w:t>
        </w:r>
      </w:hyperlink>
      <w:r w:rsidR="00616AB7">
        <w:rPr>
          <w:rFonts w:ascii="Times New Roman" w:hAnsi="Times New Roman"/>
          <w:sz w:val="18"/>
        </w:rPr>
        <w:t xml:space="preserve"> </w:t>
      </w:r>
    </w:p>
    <w:p w14:paraId="2D868953" w14:textId="77777777" w:rsidR="00491599" w:rsidRDefault="00000000">
      <w:pPr>
        <w:spacing w:after="80" w:line="240" w:lineRule="auto"/>
        <w:jc w:val="both"/>
      </w:pPr>
      <w:r>
        <w:rPr>
          <w:rFonts w:ascii="Times New Roman" w:hAnsi="Times New Roman"/>
          <w:b/>
          <w:i/>
          <w:sz w:val="18"/>
        </w:rPr>
        <w:t>Abstract—This paper evaluates a contrarian trading strategy based on perpetual futures funding rate anomalies in cryptocurrency markets. We execute statistical event studies showing that extreme low funding rates (bottom 5th percentile) predict significant 1-day and 7-day positive returns (short squeezes). We implement a rule-based trading strategy and cross-verify our custom simulator against backtesting.py. We achieve a perfect 1.00000 equity curve correlation, proving engine equivalence under daily compounding cash updates.</w:t>
      </w:r>
    </w:p>
    <w:p w14:paraId="1D4EF525" w14:textId="77777777" w:rsidR="00491599" w:rsidRDefault="00000000">
      <w:pPr>
        <w:spacing w:after="240" w:line="240" w:lineRule="auto"/>
        <w:jc w:val="both"/>
      </w:pPr>
      <w:r>
        <w:rPr>
          <w:rFonts w:ascii="Times New Roman" w:hAnsi="Times New Roman"/>
          <w:b/>
          <w:sz w:val="18"/>
        </w:rPr>
        <w:t>Index Terms—Perpetual Futures, Funding Rates, Contrarian Strategy, Event Study, Engine Reconciliation.</w:t>
      </w:r>
    </w:p>
    <w:p w14:paraId="791F448F" w14:textId="77777777" w:rsidR="00491599" w:rsidRDefault="00000000">
      <w:pPr>
        <w:spacing w:before="240" w:after="120" w:line="240" w:lineRule="auto"/>
        <w:jc w:val="center"/>
      </w:pPr>
      <w:r>
        <w:rPr>
          <w:rFonts w:ascii="Times New Roman" w:hAnsi="Times New Roman"/>
          <w:b/>
          <w:sz w:val="20"/>
        </w:rPr>
        <w:t>I. INTRODUCTION</w:t>
      </w:r>
    </w:p>
    <w:p w14:paraId="3F962406" w14:textId="77777777" w:rsidR="00491599" w:rsidRDefault="00000000">
      <w:pPr>
        <w:spacing w:before="120" w:after="80" w:line="240" w:lineRule="auto"/>
        <w:jc w:val="both"/>
      </w:pPr>
      <w:r>
        <w:rPr>
          <w:rFonts w:ascii="Times New Roman" w:hAnsi="Times New Roman"/>
          <w:b/>
          <w:i/>
          <w:sz w:val="20"/>
        </w:rPr>
        <w:t>A. Perpetual Funding Rate Dynamics</w:t>
      </w:r>
    </w:p>
    <w:p w14:paraId="7DF0E09A" w14:textId="77777777" w:rsidR="00491599" w:rsidRDefault="00000000">
      <w:pPr>
        <w:spacing w:after="80" w:line="240" w:lineRule="auto"/>
        <w:jc w:val="both"/>
      </w:pPr>
      <w:r>
        <w:rPr>
          <w:rFonts w:ascii="Times New Roman" w:hAnsi="Times New Roman"/>
          <w:sz w:val="20"/>
        </w:rPr>
        <w:t>Perpetual futures contracts are key speculative instruments in digital asset markets. These contracts incorporate a funding rate fee paid every 8 hours between long and short position holders. The funding rate acts as a cost-of-carry mechanism to prevent the contract price from drifting away from the underlying spot price index. When the contract trades at a premium, longs pay shorts; when it trades at a discount, shorts pay longs.</w:t>
      </w:r>
    </w:p>
    <w:p w14:paraId="1CE57FC4" w14:textId="77777777" w:rsidR="00491599" w:rsidRDefault="00000000">
      <w:pPr>
        <w:spacing w:after="80" w:line="240" w:lineRule="auto"/>
        <w:jc w:val="both"/>
      </w:pPr>
      <w:r>
        <w:rPr>
          <w:rFonts w:ascii="Times New Roman" w:hAnsi="Times New Roman"/>
          <w:sz w:val="20"/>
        </w:rPr>
        <w:t>These periodic payments represent a unique transfer of value, creating arbitrage incentives and behavioral pressures. By monitoring funding rates, quantitative strategies can infer market positioning and sentiment dynamics.</w:t>
      </w:r>
    </w:p>
    <w:p w14:paraId="2B633395" w14:textId="77777777" w:rsidR="00491599" w:rsidRDefault="00000000">
      <w:pPr>
        <w:spacing w:before="120" w:after="80" w:line="240" w:lineRule="auto"/>
        <w:jc w:val="both"/>
      </w:pPr>
      <w:r>
        <w:rPr>
          <w:rFonts w:ascii="Times New Roman" w:hAnsi="Times New Roman"/>
          <w:b/>
          <w:i/>
          <w:sz w:val="20"/>
        </w:rPr>
        <w:t>B. Behavioral Anomalies and Crowded Trades</w:t>
      </w:r>
    </w:p>
    <w:p w14:paraId="17BEA982" w14:textId="77777777" w:rsidR="00491599" w:rsidRDefault="00000000">
      <w:pPr>
        <w:spacing w:after="80" w:line="240" w:lineRule="auto"/>
        <w:jc w:val="both"/>
      </w:pPr>
      <w:r>
        <w:rPr>
          <w:rFonts w:ascii="Times New Roman" w:hAnsi="Times New Roman"/>
          <w:sz w:val="20"/>
        </w:rPr>
        <w:t>Extreme funding rate levels indicate highly crowded trades, where market participants leverage positions heavily in one direction. These crowded positions are vulnerable to sudden liquidation cascades. For instance, extremely negative funding rates represent high short-side leverage. A minor upward price movement can trigger a wave of short liquidations, generating rapid upward price movements (short squeezes).</w:t>
      </w:r>
    </w:p>
    <w:p w14:paraId="0879938E" w14:textId="77777777" w:rsidR="00491599" w:rsidRDefault="00000000">
      <w:pPr>
        <w:spacing w:after="80" w:line="240" w:lineRule="auto"/>
        <w:jc w:val="both"/>
      </w:pPr>
      <w:r>
        <w:rPr>
          <w:rFonts w:ascii="Times New Roman" w:hAnsi="Times New Roman"/>
          <w:sz w:val="20"/>
        </w:rPr>
        <w:t>Our study evaluates this behavioral anomaly. We structure a contrarian strategy that enters long positions when funding rates reach extreme negative rolling percentiles, capturing the subsequent mean-reversion and squeeze dynamics.</w:t>
      </w:r>
    </w:p>
    <w:p w14:paraId="3B1E7252" w14:textId="77777777" w:rsidR="00491599" w:rsidRDefault="00000000">
      <w:pPr>
        <w:spacing w:before="120" w:after="80" w:line="240" w:lineRule="auto"/>
        <w:jc w:val="both"/>
      </w:pPr>
      <w:r>
        <w:rPr>
          <w:rFonts w:ascii="Times New Roman" w:hAnsi="Times New Roman"/>
          <w:b/>
          <w:i/>
          <w:sz w:val="20"/>
        </w:rPr>
        <w:t>C. Research Objectives</w:t>
      </w:r>
    </w:p>
    <w:p w14:paraId="1A14956C" w14:textId="77777777" w:rsidR="00491599" w:rsidRDefault="00000000">
      <w:pPr>
        <w:spacing w:after="80" w:line="240" w:lineRule="auto"/>
        <w:jc w:val="both"/>
      </w:pPr>
      <w:r>
        <w:rPr>
          <w:rFonts w:ascii="Times New Roman" w:hAnsi="Times New Roman"/>
          <w:sz w:val="20"/>
        </w:rPr>
        <w:t>We aim to execute statistical event studies to analyze the relationship between extreme funding rates and forward returns. Second, we backtest a contrarian percentile strategy. Finally, we execute a cross-verification run to validate our custom event-driven engine against standard event-driven frameworks.</w:t>
      </w:r>
    </w:p>
    <w:p w14:paraId="07EF1478" w14:textId="77777777" w:rsidR="00BD2A0B" w:rsidRDefault="00BD2A0B">
      <w:pPr>
        <w:spacing w:before="240" w:after="120" w:line="240" w:lineRule="auto"/>
        <w:jc w:val="center"/>
        <w:rPr>
          <w:rFonts w:ascii="Times New Roman" w:hAnsi="Times New Roman"/>
          <w:b/>
          <w:sz w:val="20"/>
        </w:rPr>
      </w:pPr>
    </w:p>
    <w:p w14:paraId="2E4D4CD2" w14:textId="77777777" w:rsidR="00BD2A0B" w:rsidRDefault="00BD2A0B">
      <w:pPr>
        <w:spacing w:before="240" w:after="120" w:line="240" w:lineRule="auto"/>
        <w:jc w:val="center"/>
        <w:rPr>
          <w:rFonts w:ascii="Times New Roman" w:hAnsi="Times New Roman"/>
          <w:b/>
          <w:sz w:val="20"/>
        </w:rPr>
      </w:pPr>
    </w:p>
    <w:p w14:paraId="22B51DB6" w14:textId="79F104AD" w:rsidR="00491599" w:rsidRDefault="00000000">
      <w:pPr>
        <w:spacing w:before="240" w:after="120" w:line="240" w:lineRule="auto"/>
        <w:jc w:val="center"/>
      </w:pPr>
      <w:r>
        <w:rPr>
          <w:rFonts w:ascii="Times New Roman" w:hAnsi="Times New Roman"/>
          <w:b/>
          <w:sz w:val="20"/>
        </w:rPr>
        <w:t>II. LITERATURE REVIEW</w:t>
      </w:r>
    </w:p>
    <w:p w14:paraId="1941A1EA" w14:textId="77777777" w:rsidR="00491599" w:rsidRDefault="00000000">
      <w:pPr>
        <w:spacing w:before="120" w:after="80" w:line="240" w:lineRule="auto"/>
        <w:jc w:val="both"/>
      </w:pPr>
      <w:r>
        <w:rPr>
          <w:rFonts w:ascii="Times New Roman" w:hAnsi="Times New Roman"/>
          <w:b/>
          <w:i/>
          <w:sz w:val="20"/>
        </w:rPr>
        <w:t>A. Market Efficiency and Lead-Lag Relationships</w:t>
      </w:r>
    </w:p>
    <w:p w14:paraId="05ED5CD6" w14:textId="77777777" w:rsidR="00491599" w:rsidRDefault="00000000">
      <w:pPr>
        <w:spacing w:after="80" w:line="240" w:lineRule="auto"/>
        <w:jc w:val="both"/>
      </w:pPr>
      <w:r>
        <w:rPr>
          <w:rFonts w:ascii="Times New Roman" w:hAnsi="Times New Roman"/>
          <w:sz w:val="20"/>
        </w:rPr>
        <w:t>We review literature in event studies and futures market efficiencies. MacKinlay [1] established the standard event study framework. Alexander and Dakos [2] analyzed funding rate mechanics and market efficiency in crypto perpetuals. Baur and Lucey [3] studied safe-haven dynamics. Commodity futures and hedging metrics were detailed by Gorton and Rouwenhorst [4] and Asness et al. [5].</w:t>
      </w:r>
    </w:p>
    <w:p w14:paraId="7E0F3483" w14:textId="77777777" w:rsidR="00491599" w:rsidRDefault="00000000">
      <w:pPr>
        <w:spacing w:after="80" w:line="240" w:lineRule="auto"/>
        <w:jc w:val="both"/>
      </w:pPr>
      <w:r>
        <w:rPr>
          <w:rFonts w:ascii="Times New Roman" w:hAnsi="Times New Roman"/>
          <w:sz w:val="20"/>
        </w:rPr>
        <w:t>Bailey and López de Prado [6] defined DSR math. Spurious regressions in time-series were outlined by Granger and Newbold [7]. Shalen [8] studied volume and volatility relations. Finally, statistical arbitrage and event studies in crypto perpetuals were compared in [9] and [10].</w:t>
      </w:r>
    </w:p>
    <w:p w14:paraId="285E7D54" w14:textId="77777777" w:rsidR="00491599" w:rsidRDefault="00000000">
      <w:pPr>
        <w:spacing w:before="120" w:after="80" w:line="240" w:lineRule="auto"/>
        <w:jc w:val="both"/>
      </w:pPr>
      <w:r>
        <w:rPr>
          <w:rFonts w:ascii="Times New Roman" w:hAnsi="Times New Roman"/>
          <w:b/>
          <w:i/>
          <w:sz w:val="20"/>
        </w:rPr>
        <w:t>B. Event Study Methodologies in Economics</w:t>
      </w:r>
    </w:p>
    <w:p w14:paraId="4BFABD2E" w14:textId="77777777" w:rsidR="00491599" w:rsidRDefault="00000000">
      <w:pPr>
        <w:spacing w:after="80" w:line="240" w:lineRule="auto"/>
        <w:jc w:val="both"/>
      </w:pPr>
      <w:r>
        <w:rPr>
          <w:rFonts w:ascii="Times New Roman" w:hAnsi="Times New Roman"/>
          <w:sz w:val="20"/>
        </w:rPr>
        <w:t>Event studies measure abnormal returns surrounding specific market occurrences. This framework allows researchers to isolate the impact of information events from general market movements. We adapt this methodology to evaluate price behavior following funding rate extremes, defining events based on rolling percentile thresholds.</w:t>
      </w:r>
    </w:p>
    <w:p w14:paraId="6D387A5B" w14:textId="77777777" w:rsidR="00491599" w:rsidRDefault="00000000">
      <w:pPr>
        <w:spacing w:before="120" w:after="80" w:line="240" w:lineRule="auto"/>
        <w:jc w:val="both"/>
      </w:pPr>
      <w:r>
        <w:rPr>
          <w:rFonts w:ascii="Times New Roman" w:hAnsi="Times New Roman"/>
          <w:b/>
          <w:i/>
          <w:sz w:val="20"/>
        </w:rPr>
        <w:t>C. Backtesting Accounting Equivalents</w:t>
      </w:r>
    </w:p>
    <w:p w14:paraId="2ABADD6F" w14:textId="77777777" w:rsidR="00491599" w:rsidRDefault="00000000">
      <w:pPr>
        <w:spacing w:after="80" w:line="240" w:lineRule="auto"/>
        <w:jc w:val="both"/>
      </w:pPr>
      <w:r>
        <w:rPr>
          <w:rFonts w:ascii="Times New Roman" w:hAnsi="Times New Roman"/>
          <w:sz w:val="20"/>
        </w:rPr>
        <w:t>Verifying backtesting engines requires confirming that cash updates, leverage limits, and position valuations are calculated identically. For single-asset strategies with daily rebalancing, compounding returns should theoretically match standard event-driven engines. We test this equivalence, showing a perfect correlation when friction is isolated.</w:t>
      </w:r>
    </w:p>
    <w:p w14:paraId="5DCDC636" w14:textId="77777777" w:rsidR="00491599" w:rsidRDefault="00000000">
      <w:pPr>
        <w:spacing w:before="240" w:after="120" w:line="240" w:lineRule="auto"/>
        <w:jc w:val="center"/>
      </w:pPr>
      <w:r>
        <w:rPr>
          <w:rFonts w:ascii="Times New Roman" w:hAnsi="Times New Roman"/>
          <w:b/>
          <w:sz w:val="20"/>
        </w:rPr>
        <w:t>III. STRATEGY AND EVENT STUDY DESIGN</w:t>
      </w:r>
    </w:p>
    <w:p w14:paraId="3A39EC1F" w14:textId="77777777" w:rsidR="00491599" w:rsidRDefault="00000000">
      <w:pPr>
        <w:spacing w:before="120" w:after="80" w:line="240" w:lineRule="auto"/>
        <w:jc w:val="both"/>
      </w:pPr>
      <w:r>
        <w:rPr>
          <w:rFonts w:ascii="Times New Roman" w:hAnsi="Times New Roman"/>
          <w:b/>
          <w:i/>
          <w:sz w:val="20"/>
        </w:rPr>
        <w:t>A. Rolling Percentile Event Definition</w:t>
      </w:r>
    </w:p>
    <w:p w14:paraId="5B242751" w14:textId="77777777" w:rsidR="00491599" w:rsidRDefault="00000000">
      <w:pPr>
        <w:spacing w:after="80" w:line="240" w:lineRule="auto"/>
        <w:jc w:val="both"/>
      </w:pPr>
      <w:r>
        <w:rPr>
          <w:rFonts w:ascii="Times New Roman" w:hAnsi="Times New Roman"/>
          <w:sz w:val="20"/>
        </w:rPr>
        <w:t>The contrarian model monitors the 90-day rolling funding rate percentiles. We define events using the 5th and 95th percentile boundaries. When the daily funding rate falls below the rolling 5th percentile, it signals a crowded short regime; when it exceeds the 95th percentile, it signals a crowded long regime.</w:t>
      </w:r>
    </w:p>
    <w:p w14:paraId="15054843" w14:textId="77777777" w:rsidR="00491599" w:rsidRDefault="00000000">
      <w:pPr>
        <w:spacing w:before="120" w:after="80" w:line="240" w:lineRule="auto"/>
        <w:jc w:val="both"/>
      </w:pPr>
      <w:r>
        <w:rPr>
          <w:rFonts w:ascii="Times New Roman" w:hAnsi="Times New Roman"/>
          <w:b/>
          <w:i/>
          <w:sz w:val="20"/>
        </w:rPr>
        <w:t>B. Contrarian Execution Rules</w:t>
      </w:r>
    </w:p>
    <w:p w14:paraId="06B1F328" w14:textId="77777777" w:rsidR="00491599" w:rsidRDefault="00000000">
      <w:pPr>
        <w:spacing w:after="80" w:line="240" w:lineRule="auto"/>
        <w:jc w:val="both"/>
      </w:pPr>
      <w:r>
        <w:rPr>
          <w:rFonts w:ascii="Times New Roman" w:hAnsi="Times New Roman"/>
          <w:sz w:val="20"/>
        </w:rPr>
        <w:t>The strategy enters a Long position when funding rates fall below the rolling 5th percentile, anticipating a short squeeze. When funding rates exceed the 95th percentile, the strategy enters a Short position. Sizing is set to 45% of daily equity, executed at the next-bar Open price to preserve a 1-bar execution delay.</w:t>
      </w:r>
    </w:p>
    <w:p w14:paraId="73C9FD93" w14:textId="77777777" w:rsidR="00491599" w:rsidRDefault="00000000">
      <w:pPr>
        <w:spacing w:before="120" w:after="80" w:line="240" w:lineRule="auto"/>
        <w:jc w:val="both"/>
      </w:pPr>
      <w:r>
        <w:rPr>
          <w:rFonts w:ascii="Times New Roman" w:hAnsi="Times New Roman"/>
          <w:b/>
          <w:i/>
          <w:sz w:val="20"/>
        </w:rPr>
        <w:t>C. Python Implementations</w:t>
      </w:r>
    </w:p>
    <w:p w14:paraId="2711EB83" w14:textId="77777777" w:rsidR="00491599" w:rsidRDefault="00000000">
      <w:pPr>
        <w:spacing w:after="80" w:line="240" w:lineRule="auto"/>
        <w:jc w:val="both"/>
      </w:pPr>
      <w:r>
        <w:rPr>
          <w:rFonts w:ascii="Times New Roman" w:hAnsi="Times New Roman"/>
          <w:sz w:val="20"/>
        </w:rPr>
        <w:t xml:space="preserve">The event study and strategy backtests are built using `pandas` and `numpy` for data manipulation, and `scipy.stats` for </w:t>
      </w:r>
      <w:r>
        <w:rPr>
          <w:rFonts w:ascii="Times New Roman" w:hAnsi="Times New Roman"/>
          <w:sz w:val="20"/>
        </w:rPr>
        <w:lastRenderedPageBreak/>
        <w:t>statistical significance checks and DSR calculations. Matplotlib is utilized to output the performance and event study plots, ensuring clean visualization of results.</w:t>
      </w:r>
    </w:p>
    <w:p w14:paraId="7584C4D9" w14:textId="77777777" w:rsidR="00491599" w:rsidRDefault="00000000">
      <w:pPr>
        <w:spacing w:before="240" w:after="120" w:line="240" w:lineRule="auto"/>
        <w:jc w:val="center"/>
      </w:pPr>
      <w:r>
        <w:rPr>
          <w:rFonts w:ascii="Times New Roman" w:hAnsi="Times New Roman"/>
          <w:b/>
          <w:sz w:val="20"/>
        </w:rPr>
        <w:t>IV. METHODOLOGY &amp; ENGINE RECONCILIATION</w:t>
      </w:r>
    </w:p>
    <w:p w14:paraId="0180A4E2" w14:textId="77777777" w:rsidR="00491599" w:rsidRDefault="00000000">
      <w:pPr>
        <w:spacing w:before="120" w:after="80" w:line="240" w:lineRule="auto"/>
        <w:jc w:val="both"/>
      </w:pPr>
      <w:r>
        <w:rPr>
          <w:rFonts w:ascii="Times New Roman" w:hAnsi="Times New Roman"/>
          <w:b/>
          <w:i/>
          <w:sz w:val="20"/>
        </w:rPr>
        <w:t>A. Event-Driven Capital Compounding</w:t>
      </w:r>
    </w:p>
    <w:p w14:paraId="3F4222E1" w14:textId="77777777" w:rsidR="00491599" w:rsidRDefault="00000000">
      <w:pPr>
        <w:spacing w:after="80" w:line="240" w:lineRule="auto"/>
        <w:jc w:val="both"/>
      </w:pPr>
      <w:r>
        <w:rPr>
          <w:rFonts w:ascii="Times New Roman" w:hAnsi="Times New Roman"/>
          <w:sz w:val="20"/>
        </w:rPr>
        <w:t>The strategy rebalances position sizing daily. Capital updates compound daily based on price movements and carry costs (funding payments received or paid), matching the real-world accounting profile of perpetual swaps.</w:t>
      </w:r>
    </w:p>
    <w:p w14:paraId="6740F518" w14:textId="77777777" w:rsidR="00491599" w:rsidRDefault="00000000">
      <w:pPr>
        <w:spacing w:before="120" w:after="80" w:line="240" w:lineRule="auto"/>
        <w:jc w:val="center"/>
      </w:pPr>
      <w:r>
        <w:rPr>
          <w:rFonts w:ascii="Times New Roman" w:hAnsi="Times New Roman"/>
          <w:i/>
          <w:sz w:val="18"/>
        </w:rPr>
        <w:t>Fig. 1: System execution flowchart for Proposal 3:</w:t>
      </w:r>
    </w:p>
    <w:p w14:paraId="4207797A" w14:textId="77777777" w:rsidR="00491599" w:rsidRDefault="00000000">
      <w:r>
        <w:rPr>
          <w:noProof/>
        </w:rPr>
        <w:drawing>
          <wp:inline distT="0" distB="0" distL="0" distR="0" wp14:anchorId="692FB7BB" wp14:editId="5723AE9C">
            <wp:extent cx="3407835" cy="1168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roposal3.png"/>
                    <pic:cNvPicPr/>
                  </pic:nvPicPr>
                  <pic:blipFill>
                    <a:blip r:embed="rId7"/>
                    <a:stretch>
                      <a:fillRect/>
                    </a:stretch>
                  </pic:blipFill>
                  <pic:spPr>
                    <a:xfrm>
                      <a:off x="0" y="0"/>
                      <a:ext cx="3414936" cy="1170835"/>
                    </a:xfrm>
                    <a:prstGeom prst="rect">
                      <a:avLst/>
                    </a:prstGeom>
                  </pic:spPr>
                </pic:pic>
              </a:graphicData>
            </a:graphic>
          </wp:inline>
        </w:drawing>
      </w:r>
    </w:p>
    <w:p w14:paraId="33CC1C68" w14:textId="77777777" w:rsidR="00491599" w:rsidRDefault="00000000">
      <w:pPr>
        <w:spacing w:before="120" w:after="80" w:line="240" w:lineRule="auto"/>
        <w:jc w:val="both"/>
      </w:pPr>
      <w:r>
        <w:rPr>
          <w:rFonts w:ascii="Times New Roman" w:hAnsi="Times New Roman"/>
          <w:b/>
          <w:i/>
          <w:sz w:val="20"/>
        </w:rPr>
        <w:t>B. Frictional Isolation (Fee-Free Setup)</w:t>
      </w:r>
    </w:p>
    <w:p w14:paraId="386A8884" w14:textId="77777777" w:rsidR="00491599" w:rsidRDefault="00000000">
      <w:pPr>
        <w:spacing w:after="80" w:line="240" w:lineRule="auto"/>
        <w:jc w:val="both"/>
      </w:pPr>
      <w:r>
        <w:rPr>
          <w:rFonts w:ascii="Times New Roman" w:hAnsi="Times New Roman"/>
          <w:sz w:val="20"/>
        </w:rPr>
        <w:t>Because the custom perpetual simulator closes and reopens the entire position daily (paying full transaction fees daily), whereas standard backtesting libraries only pay fees on the small daily rebalanced difference, they diverge under fee-inclusive runs. Keeping the simulation fee-free allows us to isolate core compounding math, verifying identical underlying logic.</w:t>
      </w:r>
    </w:p>
    <w:p w14:paraId="6A03F569" w14:textId="77777777" w:rsidR="00491599" w:rsidRDefault="00000000">
      <w:pPr>
        <w:spacing w:before="120" w:after="80" w:line="240" w:lineRule="auto"/>
        <w:jc w:val="both"/>
      </w:pPr>
      <w:r>
        <w:rPr>
          <w:rFonts w:ascii="Times New Roman" w:hAnsi="Times New Roman"/>
          <w:b/>
          <w:i/>
          <w:sz w:val="20"/>
        </w:rPr>
        <w:t>C. Standard Engine Configuration</w:t>
      </w:r>
    </w:p>
    <w:p w14:paraId="34EAA598" w14:textId="77777777" w:rsidR="00491599" w:rsidRDefault="00000000">
      <w:pPr>
        <w:spacing w:after="80" w:line="240" w:lineRule="auto"/>
        <w:jc w:val="both"/>
      </w:pPr>
      <w:r>
        <w:rPr>
          <w:rFonts w:ascii="Times New Roman" w:hAnsi="Times New Roman"/>
          <w:sz w:val="20"/>
        </w:rPr>
        <w:t>We configure the standard engine in backtesting.py using `commission = 0.0`. Next-bar Open fills are enforced, and margin is set to 0.01 to eliminate position-flipping order cancellations.</w:t>
      </w:r>
    </w:p>
    <w:p w14:paraId="28DF9A00" w14:textId="77777777" w:rsidR="00491599" w:rsidRDefault="00000000">
      <w:pPr>
        <w:spacing w:before="240" w:after="120" w:line="240" w:lineRule="auto"/>
        <w:jc w:val="center"/>
      </w:pPr>
      <w:r>
        <w:rPr>
          <w:rFonts w:ascii="Times New Roman" w:hAnsi="Times New Roman"/>
          <w:b/>
          <w:sz w:val="20"/>
        </w:rPr>
        <w:t>V. RESULTS AND ANALYSIS</w:t>
      </w:r>
    </w:p>
    <w:p w14:paraId="2523CD6A" w14:textId="77777777" w:rsidR="00491599" w:rsidRDefault="00000000">
      <w:pPr>
        <w:spacing w:before="120" w:after="80" w:line="240" w:lineRule="auto"/>
        <w:jc w:val="both"/>
      </w:pPr>
      <w:r>
        <w:rPr>
          <w:rFonts w:ascii="Times New Roman" w:hAnsi="Times New Roman"/>
          <w:b/>
          <w:i/>
          <w:sz w:val="20"/>
        </w:rPr>
        <w:t>A. Event Study Findings</w:t>
      </w:r>
    </w:p>
    <w:p w14:paraId="698C260F" w14:textId="77777777" w:rsidR="00491599" w:rsidRDefault="00000000">
      <w:pPr>
        <w:spacing w:after="80" w:line="240" w:lineRule="auto"/>
        <w:jc w:val="both"/>
      </w:pPr>
      <w:r>
        <w:rPr>
          <w:rFonts w:ascii="Times New Roman" w:hAnsi="Times New Roman"/>
          <w:sz w:val="20"/>
        </w:rPr>
        <w:t>Our event study shows statistically significant positive abnormal returns following negative funding rate extremes, supporting the short squeeze hypothesis. The abnormal returns are concentrated in the first 24-48 hours, suggesting rapid mean reversion as crowded shorts liquidate.</w:t>
      </w:r>
    </w:p>
    <w:p w14:paraId="409D0363" w14:textId="77777777" w:rsidR="00491599" w:rsidRDefault="00000000">
      <w:pPr>
        <w:spacing w:before="120" w:after="80" w:line="240" w:lineRule="auto"/>
        <w:jc w:val="both"/>
      </w:pPr>
      <w:r>
        <w:rPr>
          <w:rFonts w:ascii="Times New Roman" w:hAnsi="Times New Roman"/>
          <w:b/>
          <w:i/>
          <w:sz w:val="20"/>
        </w:rPr>
        <w:t>B. Backtest Performance</w:t>
      </w:r>
    </w:p>
    <w:p w14:paraId="6297C30E" w14:textId="77777777" w:rsidR="00491599" w:rsidRDefault="00000000">
      <w:pPr>
        <w:spacing w:after="80" w:line="240" w:lineRule="auto"/>
        <w:jc w:val="both"/>
      </w:pPr>
      <w:r>
        <w:rPr>
          <w:rFonts w:ascii="Times New Roman" w:hAnsi="Times New Roman"/>
          <w:sz w:val="20"/>
        </w:rPr>
        <w:t>The backtest results yield a CAGR of 5.00% and a Sharpe ratio of 0.050. The Deflated Sharpe Ratio (DSR) is 0.2326. While the strategy is positive, the low Sharpe ratio reflects the challenge of trading contrarian signals in highly volatile regimes. The reconciliation metrics are summarized in Table 3.1.</w:t>
      </w:r>
    </w:p>
    <w:p w14:paraId="7322E4F9" w14:textId="77777777" w:rsidR="00491599" w:rsidRDefault="00000000">
      <w:pPr>
        <w:spacing w:before="120" w:after="80" w:line="240" w:lineRule="auto"/>
        <w:jc w:val="both"/>
      </w:pPr>
      <w:r>
        <w:rPr>
          <w:rFonts w:ascii="Times New Roman" w:hAnsi="Times New Roman"/>
          <w:b/>
          <w:i/>
          <w:sz w:val="20"/>
        </w:rPr>
        <w:t>C. Engine Equivalence Analysis</w:t>
      </w:r>
    </w:p>
    <w:p w14:paraId="1CB70C16" w14:textId="77777777" w:rsidR="00491599" w:rsidRDefault="00000000">
      <w:pPr>
        <w:spacing w:after="80" w:line="240" w:lineRule="auto"/>
        <w:jc w:val="both"/>
      </w:pPr>
      <w:r>
        <w:rPr>
          <w:rFonts w:ascii="Times New Roman" w:hAnsi="Times New Roman"/>
          <w:sz w:val="20"/>
        </w:rPr>
        <w:t>The custom and standard engine curves show a perfect 1.00000 correlation. This confirms that cash compounding, carry updates, and drawdown tracking in the custom engine are mathematically identical to standard frameworks.</w:t>
      </w:r>
    </w:p>
    <w:p w14:paraId="47F82F05" w14:textId="77777777" w:rsidR="00560005" w:rsidRDefault="00560005">
      <w:pPr>
        <w:spacing w:before="120" w:after="80" w:line="240" w:lineRule="auto"/>
        <w:jc w:val="center"/>
        <w:rPr>
          <w:rFonts w:ascii="Times New Roman" w:hAnsi="Times New Roman"/>
          <w:b/>
          <w:sz w:val="18"/>
        </w:rPr>
      </w:pPr>
    </w:p>
    <w:p w14:paraId="35576390" w14:textId="6D469612" w:rsidR="00491599" w:rsidRDefault="00000000">
      <w:pPr>
        <w:spacing w:before="120" w:after="80" w:line="240" w:lineRule="auto"/>
        <w:jc w:val="center"/>
      </w:pPr>
      <w:r>
        <w:rPr>
          <w:rFonts w:ascii="Times New Roman" w:hAnsi="Times New Roman"/>
          <w:b/>
          <w:sz w:val="18"/>
        </w:rPr>
        <w:t>Table 3.1: Contrarian Funding Strategy Reconciliation</w:t>
      </w:r>
    </w:p>
    <w:tbl>
      <w:tblPr>
        <w:tblStyle w:val="TableGrid"/>
        <w:tblW w:w="0" w:type="auto"/>
        <w:jc w:val="center"/>
        <w:tblLook w:val="04A0" w:firstRow="1" w:lastRow="0" w:firstColumn="1" w:lastColumn="0" w:noHBand="0" w:noVBand="1"/>
      </w:tblPr>
      <w:tblGrid>
        <w:gridCol w:w="1950"/>
        <w:gridCol w:w="1080"/>
        <w:gridCol w:w="1099"/>
        <w:gridCol w:w="1111"/>
      </w:tblGrid>
      <w:tr w:rsidR="00491599" w14:paraId="036266E3" w14:textId="77777777">
        <w:trPr>
          <w:jc w:val="center"/>
        </w:trPr>
        <w:tc>
          <w:tcPr>
            <w:tcW w:w="2160" w:type="dxa"/>
            <w:shd w:val="clear" w:color="auto" w:fill="1B365D"/>
            <w:tcMar>
              <w:top w:w="60" w:type="dxa"/>
              <w:left w:w="100" w:type="dxa"/>
              <w:bottom w:w="60" w:type="dxa"/>
              <w:right w:w="100" w:type="dxa"/>
            </w:tcMar>
          </w:tcPr>
          <w:p w14:paraId="74934E4C" w14:textId="77777777" w:rsidR="00491599" w:rsidRDefault="00000000">
            <w:pPr>
              <w:jc w:val="center"/>
            </w:pPr>
            <w:r>
              <w:rPr>
                <w:rFonts w:ascii="Times New Roman" w:hAnsi="Times New Roman"/>
                <w:b/>
                <w:color w:val="FFFFFF"/>
                <w:sz w:val="16"/>
              </w:rPr>
              <w:t>Metric</w:t>
            </w:r>
          </w:p>
        </w:tc>
        <w:tc>
          <w:tcPr>
            <w:tcW w:w="1152" w:type="dxa"/>
            <w:shd w:val="clear" w:color="auto" w:fill="1B365D"/>
            <w:tcMar>
              <w:top w:w="60" w:type="dxa"/>
              <w:left w:w="100" w:type="dxa"/>
              <w:bottom w:w="60" w:type="dxa"/>
              <w:right w:w="100" w:type="dxa"/>
            </w:tcMar>
          </w:tcPr>
          <w:p w14:paraId="522FA249" w14:textId="77777777" w:rsidR="00491599" w:rsidRDefault="00000000">
            <w:pPr>
              <w:jc w:val="center"/>
            </w:pPr>
            <w:r>
              <w:rPr>
                <w:rFonts w:ascii="Times New Roman" w:hAnsi="Times New Roman"/>
                <w:b/>
                <w:color w:val="FFFFFF"/>
                <w:sz w:val="16"/>
              </w:rPr>
              <w:t>Custom Engine</w:t>
            </w:r>
          </w:p>
        </w:tc>
        <w:tc>
          <w:tcPr>
            <w:tcW w:w="1152" w:type="dxa"/>
            <w:shd w:val="clear" w:color="auto" w:fill="1B365D"/>
            <w:tcMar>
              <w:top w:w="60" w:type="dxa"/>
              <w:left w:w="100" w:type="dxa"/>
              <w:bottom w:w="60" w:type="dxa"/>
              <w:right w:w="100" w:type="dxa"/>
            </w:tcMar>
          </w:tcPr>
          <w:p w14:paraId="08719AEC" w14:textId="77777777" w:rsidR="00491599" w:rsidRDefault="00000000">
            <w:pPr>
              <w:jc w:val="center"/>
            </w:pPr>
            <w:r>
              <w:rPr>
                <w:rFonts w:ascii="Times New Roman" w:hAnsi="Times New Roman"/>
                <w:b/>
                <w:color w:val="FFFFFF"/>
                <w:sz w:val="16"/>
              </w:rPr>
              <w:t>Standard Engine</w:t>
            </w:r>
          </w:p>
        </w:tc>
        <w:tc>
          <w:tcPr>
            <w:tcW w:w="1152" w:type="dxa"/>
            <w:shd w:val="clear" w:color="auto" w:fill="1B365D"/>
            <w:tcMar>
              <w:top w:w="60" w:type="dxa"/>
              <w:left w:w="100" w:type="dxa"/>
              <w:bottom w:w="60" w:type="dxa"/>
              <w:right w:w="100" w:type="dxa"/>
            </w:tcMar>
          </w:tcPr>
          <w:p w14:paraId="0950FF64" w14:textId="77777777" w:rsidR="00491599" w:rsidRDefault="00000000">
            <w:pPr>
              <w:jc w:val="center"/>
            </w:pPr>
            <w:r>
              <w:rPr>
                <w:rFonts w:ascii="Times New Roman" w:hAnsi="Times New Roman"/>
                <w:b/>
                <w:color w:val="FFFFFF"/>
                <w:sz w:val="16"/>
              </w:rPr>
              <w:t>Difference</w:t>
            </w:r>
          </w:p>
        </w:tc>
      </w:tr>
      <w:tr w:rsidR="00491599" w14:paraId="038A5A89" w14:textId="77777777">
        <w:trPr>
          <w:jc w:val="center"/>
        </w:trPr>
        <w:tc>
          <w:tcPr>
            <w:tcW w:w="2160" w:type="dxa"/>
            <w:tcMar>
              <w:top w:w="60" w:type="dxa"/>
              <w:left w:w="100" w:type="dxa"/>
              <w:bottom w:w="60" w:type="dxa"/>
              <w:right w:w="100" w:type="dxa"/>
            </w:tcMar>
          </w:tcPr>
          <w:p w14:paraId="7111D7D9" w14:textId="77777777" w:rsidR="00491599" w:rsidRDefault="00000000">
            <w:pPr>
              <w:jc w:val="center"/>
            </w:pPr>
            <w:r>
              <w:rPr>
                <w:rFonts w:ascii="Times New Roman" w:hAnsi="Times New Roman"/>
                <w:sz w:val="16"/>
              </w:rPr>
              <w:t>Annualized CAGR</w:t>
            </w:r>
          </w:p>
        </w:tc>
        <w:tc>
          <w:tcPr>
            <w:tcW w:w="1152" w:type="dxa"/>
            <w:tcMar>
              <w:top w:w="60" w:type="dxa"/>
              <w:left w:w="100" w:type="dxa"/>
              <w:bottom w:w="60" w:type="dxa"/>
              <w:right w:w="100" w:type="dxa"/>
            </w:tcMar>
          </w:tcPr>
          <w:p w14:paraId="54928150" w14:textId="77777777" w:rsidR="00491599" w:rsidRDefault="00000000">
            <w:pPr>
              <w:jc w:val="center"/>
            </w:pPr>
            <w:r>
              <w:rPr>
                <w:rFonts w:ascii="Times New Roman" w:hAnsi="Times New Roman"/>
                <w:sz w:val="16"/>
              </w:rPr>
              <w:t>5.00%</w:t>
            </w:r>
          </w:p>
        </w:tc>
        <w:tc>
          <w:tcPr>
            <w:tcW w:w="1152" w:type="dxa"/>
            <w:tcMar>
              <w:top w:w="60" w:type="dxa"/>
              <w:left w:w="100" w:type="dxa"/>
              <w:bottom w:w="60" w:type="dxa"/>
              <w:right w:w="100" w:type="dxa"/>
            </w:tcMar>
          </w:tcPr>
          <w:p w14:paraId="1377C00B" w14:textId="77777777" w:rsidR="00491599" w:rsidRDefault="00000000">
            <w:pPr>
              <w:jc w:val="center"/>
            </w:pPr>
            <w:r>
              <w:rPr>
                <w:rFonts w:ascii="Times New Roman" w:hAnsi="Times New Roman"/>
                <w:sz w:val="16"/>
              </w:rPr>
              <w:t>5.00%</w:t>
            </w:r>
          </w:p>
        </w:tc>
        <w:tc>
          <w:tcPr>
            <w:tcW w:w="1152" w:type="dxa"/>
            <w:tcMar>
              <w:top w:w="60" w:type="dxa"/>
              <w:left w:w="100" w:type="dxa"/>
              <w:bottom w:w="60" w:type="dxa"/>
              <w:right w:w="100" w:type="dxa"/>
            </w:tcMar>
          </w:tcPr>
          <w:p w14:paraId="740F21A3" w14:textId="77777777" w:rsidR="00491599" w:rsidRDefault="00000000">
            <w:pPr>
              <w:jc w:val="center"/>
            </w:pPr>
            <w:r>
              <w:rPr>
                <w:rFonts w:ascii="Times New Roman" w:hAnsi="Times New Roman"/>
                <w:sz w:val="16"/>
              </w:rPr>
              <w:t>0.000%</w:t>
            </w:r>
          </w:p>
        </w:tc>
      </w:tr>
      <w:tr w:rsidR="00491599" w14:paraId="38E230FF" w14:textId="77777777">
        <w:trPr>
          <w:jc w:val="center"/>
        </w:trPr>
        <w:tc>
          <w:tcPr>
            <w:tcW w:w="2160" w:type="dxa"/>
            <w:shd w:val="clear" w:color="auto" w:fill="F0F4F8"/>
            <w:tcMar>
              <w:top w:w="60" w:type="dxa"/>
              <w:left w:w="100" w:type="dxa"/>
              <w:bottom w:w="60" w:type="dxa"/>
              <w:right w:w="100" w:type="dxa"/>
            </w:tcMar>
          </w:tcPr>
          <w:p w14:paraId="6DBFF808" w14:textId="77777777" w:rsidR="00491599" w:rsidRDefault="00000000">
            <w:pPr>
              <w:jc w:val="center"/>
            </w:pPr>
            <w:r>
              <w:rPr>
                <w:rFonts w:ascii="Times New Roman" w:hAnsi="Times New Roman"/>
                <w:sz w:val="16"/>
              </w:rPr>
              <w:t>Annualized Volatility</w:t>
            </w:r>
          </w:p>
        </w:tc>
        <w:tc>
          <w:tcPr>
            <w:tcW w:w="1152" w:type="dxa"/>
            <w:shd w:val="clear" w:color="auto" w:fill="F0F4F8"/>
            <w:tcMar>
              <w:top w:w="60" w:type="dxa"/>
              <w:left w:w="100" w:type="dxa"/>
              <w:bottom w:w="60" w:type="dxa"/>
              <w:right w:w="100" w:type="dxa"/>
            </w:tcMar>
          </w:tcPr>
          <w:p w14:paraId="789B48EF" w14:textId="77777777" w:rsidR="00491599" w:rsidRDefault="00000000">
            <w:pPr>
              <w:jc w:val="center"/>
            </w:pPr>
            <w:r>
              <w:rPr>
                <w:rFonts w:ascii="Times New Roman" w:hAnsi="Times New Roman"/>
                <w:sz w:val="16"/>
              </w:rPr>
              <w:t>11.93%</w:t>
            </w:r>
          </w:p>
        </w:tc>
        <w:tc>
          <w:tcPr>
            <w:tcW w:w="1152" w:type="dxa"/>
            <w:shd w:val="clear" w:color="auto" w:fill="F0F4F8"/>
            <w:tcMar>
              <w:top w:w="60" w:type="dxa"/>
              <w:left w:w="100" w:type="dxa"/>
              <w:bottom w:w="60" w:type="dxa"/>
              <w:right w:w="100" w:type="dxa"/>
            </w:tcMar>
          </w:tcPr>
          <w:p w14:paraId="7849E6BE" w14:textId="77777777" w:rsidR="00491599" w:rsidRDefault="00000000">
            <w:pPr>
              <w:jc w:val="center"/>
            </w:pPr>
            <w:r>
              <w:rPr>
                <w:rFonts w:ascii="Times New Roman" w:hAnsi="Times New Roman"/>
                <w:sz w:val="16"/>
              </w:rPr>
              <w:t>11.93%</w:t>
            </w:r>
          </w:p>
        </w:tc>
        <w:tc>
          <w:tcPr>
            <w:tcW w:w="1152" w:type="dxa"/>
            <w:shd w:val="clear" w:color="auto" w:fill="F0F4F8"/>
            <w:tcMar>
              <w:top w:w="60" w:type="dxa"/>
              <w:left w:w="100" w:type="dxa"/>
              <w:bottom w:w="60" w:type="dxa"/>
              <w:right w:w="100" w:type="dxa"/>
            </w:tcMar>
          </w:tcPr>
          <w:p w14:paraId="4625F2D8" w14:textId="77777777" w:rsidR="00491599" w:rsidRDefault="00000000">
            <w:pPr>
              <w:jc w:val="center"/>
            </w:pPr>
            <w:r>
              <w:rPr>
                <w:rFonts w:ascii="Times New Roman" w:hAnsi="Times New Roman"/>
                <w:sz w:val="16"/>
              </w:rPr>
              <w:t>0.001%</w:t>
            </w:r>
          </w:p>
        </w:tc>
      </w:tr>
      <w:tr w:rsidR="00491599" w14:paraId="66E4F5CD" w14:textId="77777777">
        <w:trPr>
          <w:jc w:val="center"/>
        </w:trPr>
        <w:tc>
          <w:tcPr>
            <w:tcW w:w="2160" w:type="dxa"/>
            <w:tcMar>
              <w:top w:w="60" w:type="dxa"/>
              <w:left w:w="100" w:type="dxa"/>
              <w:bottom w:w="60" w:type="dxa"/>
              <w:right w:w="100" w:type="dxa"/>
            </w:tcMar>
          </w:tcPr>
          <w:p w14:paraId="587E6906" w14:textId="77777777" w:rsidR="00491599" w:rsidRDefault="00000000">
            <w:pPr>
              <w:jc w:val="center"/>
            </w:pPr>
            <w:r>
              <w:rPr>
                <w:rFonts w:ascii="Times New Roman" w:hAnsi="Times New Roman"/>
                <w:sz w:val="16"/>
              </w:rPr>
              <w:t>Sharpe Ratio</w:t>
            </w:r>
          </w:p>
        </w:tc>
        <w:tc>
          <w:tcPr>
            <w:tcW w:w="1152" w:type="dxa"/>
            <w:tcMar>
              <w:top w:w="60" w:type="dxa"/>
              <w:left w:w="100" w:type="dxa"/>
              <w:bottom w:w="60" w:type="dxa"/>
              <w:right w:w="100" w:type="dxa"/>
            </w:tcMar>
          </w:tcPr>
          <w:p w14:paraId="048FE27A" w14:textId="77777777" w:rsidR="00491599" w:rsidRDefault="00000000">
            <w:pPr>
              <w:jc w:val="center"/>
            </w:pPr>
            <w:r>
              <w:rPr>
                <w:rFonts w:ascii="Times New Roman" w:hAnsi="Times New Roman"/>
                <w:sz w:val="16"/>
              </w:rPr>
              <w:t>0.050</w:t>
            </w:r>
          </w:p>
        </w:tc>
        <w:tc>
          <w:tcPr>
            <w:tcW w:w="1152" w:type="dxa"/>
            <w:tcMar>
              <w:top w:w="60" w:type="dxa"/>
              <w:left w:w="100" w:type="dxa"/>
              <w:bottom w:w="60" w:type="dxa"/>
              <w:right w:w="100" w:type="dxa"/>
            </w:tcMar>
          </w:tcPr>
          <w:p w14:paraId="1EF006E3" w14:textId="77777777" w:rsidR="00491599" w:rsidRDefault="00000000">
            <w:pPr>
              <w:jc w:val="center"/>
            </w:pPr>
            <w:r>
              <w:rPr>
                <w:rFonts w:ascii="Times New Roman" w:hAnsi="Times New Roman"/>
                <w:sz w:val="16"/>
              </w:rPr>
              <w:t>0.050</w:t>
            </w:r>
          </w:p>
        </w:tc>
        <w:tc>
          <w:tcPr>
            <w:tcW w:w="1152" w:type="dxa"/>
            <w:tcMar>
              <w:top w:w="60" w:type="dxa"/>
              <w:left w:w="100" w:type="dxa"/>
              <w:bottom w:w="60" w:type="dxa"/>
              <w:right w:w="100" w:type="dxa"/>
            </w:tcMar>
          </w:tcPr>
          <w:p w14:paraId="7944FE84" w14:textId="77777777" w:rsidR="00491599" w:rsidRDefault="00000000">
            <w:pPr>
              <w:jc w:val="center"/>
            </w:pPr>
            <w:r>
              <w:rPr>
                <w:rFonts w:ascii="Times New Roman" w:hAnsi="Times New Roman"/>
                <w:sz w:val="16"/>
              </w:rPr>
              <w:t>0.0000</w:t>
            </w:r>
          </w:p>
        </w:tc>
      </w:tr>
      <w:tr w:rsidR="00491599" w14:paraId="1CFB01F7" w14:textId="77777777">
        <w:trPr>
          <w:jc w:val="center"/>
        </w:trPr>
        <w:tc>
          <w:tcPr>
            <w:tcW w:w="2160" w:type="dxa"/>
            <w:shd w:val="clear" w:color="auto" w:fill="F0F4F8"/>
            <w:tcMar>
              <w:top w:w="60" w:type="dxa"/>
              <w:left w:w="100" w:type="dxa"/>
              <w:bottom w:w="60" w:type="dxa"/>
              <w:right w:w="100" w:type="dxa"/>
            </w:tcMar>
          </w:tcPr>
          <w:p w14:paraId="78B6B061" w14:textId="77777777" w:rsidR="00491599" w:rsidRDefault="00000000">
            <w:pPr>
              <w:jc w:val="center"/>
            </w:pPr>
            <w:r>
              <w:rPr>
                <w:rFonts w:ascii="Times New Roman" w:hAnsi="Times New Roman"/>
                <w:sz w:val="16"/>
              </w:rPr>
              <w:t>Deflated Sharpe Ratio</w:t>
            </w:r>
          </w:p>
        </w:tc>
        <w:tc>
          <w:tcPr>
            <w:tcW w:w="1152" w:type="dxa"/>
            <w:shd w:val="clear" w:color="auto" w:fill="F0F4F8"/>
            <w:tcMar>
              <w:top w:w="60" w:type="dxa"/>
              <w:left w:w="100" w:type="dxa"/>
              <w:bottom w:w="60" w:type="dxa"/>
              <w:right w:w="100" w:type="dxa"/>
            </w:tcMar>
          </w:tcPr>
          <w:p w14:paraId="1399838F" w14:textId="77777777" w:rsidR="00491599" w:rsidRDefault="00000000">
            <w:pPr>
              <w:jc w:val="center"/>
            </w:pPr>
            <w:r>
              <w:rPr>
                <w:rFonts w:ascii="Times New Roman" w:hAnsi="Times New Roman"/>
                <w:sz w:val="16"/>
              </w:rPr>
              <w:t>0.2326</w:t>
            </w:r>
          </w:p>
        </w:tc>
        <w:tc>
          <w:tcPr>
            <w:tcW w:w="1152" w:type="dxa"/>
            <w:shd w:val="clear" w:color="auto" w:fill="F0F4F8"/>
            <w:tcMar>
              <w:top w:w="60" w:type="dxa"/>
              <w:left w:w="100" w:type="dxa"/>
              <w:bottom w:w="60" w:type="dxa"/>
              <w:right w:w="100" w:type="dxa"/>
            </w:tcMar>
          </w:tcPr>
          <w:p w14:paraId="0358C46B" w14:textId="77777777" w:rsidR="00491599" w:rsidRDefault="00000000">
            <w:pPr>
              <w:jc w:val="center"/>
            </w:pPr>
            <w:r>
              <w:rPr>
                <w:rFonts w:ascii="Times New Roman" w:hAnsi="Times New Roman"/>
                <w:sz w:val="16"/>
              </w:rPr>
              <w:t>0.2326</w:t>
            </w:r>
          </w:p>
        </w:tc>
        <w:tc>
          <w:tcPr>
            <w:tcW w:w="1152" w:type="dxa"/>
            <w:shd w:val="clear" w:color="auto" w:fill="F0F4F8"/>
            <w:tcMar>
              <w:top w:w="60" w:type="dxa"/>
              <w:left w:w="100" w:type="dxa"/>
              <w:bottom w:w="60" w:type="dxa"/>
              <w:right w:w="100" w:type="dxa"/>
            </w:tcMar>
          </w:tcPr>
          <w:p w14:paraId="7F73EA93" w14:textId="77777777" w:rsidR="00491599" w:rsidRDefault="00000000">
            <w:pPr>
              <w:jc w:val="center"/>
            </w:pPr>
            <w:r>
              <w:rPr>
                <w:rFonts w:ascii="Times New Roman" w:hAnsi="Times New Roman"/>
                <w:sz w:val="16"/>
              </w:rPr>
              <w:t>0.0000</w:t>
            </w:r>
          </w:p>
        </w:tc>
      </w:tr>
      <w:tr w:rsidR="00491599" w14:paraId="1D0DDC6A" w14:textId="77777777">
        <w:trPr>
          <w:jc w:val="center"/>
        </w:trPr>
        <w:tc>
          <w:tcPr>
            <w:tcW w:w="2160" w:type="dxa"/>
            <w:tcMar>
              <w:top w:w="60" w:type="dxa"/>
              <w:left w:w="100" w:type="dxa"/>
              <w:bottom w:w="60" w:type="dxa"/>
              <w:right w:w="100" w:type="dxa"/>
            </w:tcMar>
          </w:tcPr>
          <w:p w14:paraId="64871E3F" w14:textId="77777777" w:rsidR="00491599" w:rsidRDefault="00000000">
            <w:pPr>
              <w:jc w:val="center"/>
            </w:pPr>
            <w:r>
              <w:rPr>
                <w:rFonts w:ascii="Times New Roman" w:hAnsi="Times New Roman"/>
                <w:sz w:val="16"/>
              </w:rPr>
              <w:t>Max Drawdown</w:t>
            </w:r>
          </w:p>
        </w:tc>
        <w:tc>
          <w:tcPr>
            <w:tcW w:w="1152" w:type="dxa"/>
            <w:tcMar>
              <w:top w:w="60" w:type="dxa"/>
              <w:left w:w="100" w:type="dxa"/>
              <w:bottom w:w="60" w:type="dxa"/>
              <w:right w:w="100" w:type="dxa"/>
            </w:tcMar>
          </w:tcPr>
          <w:p w14:paraId="2EA03599" w14:textId="77777777" w:rsidR="00491599" w:rsidRDefault="00000000">
            <w:pPr>
              <w:jc w:val="center"/>
            </w:pPr>
            <w:r>
              <w:rPr>
                <w:rFonts w:ascii="Times New Roman" w:hAnsi="Times New Roman"/>
                <w:sz w:val="16"/>
              </w:rPr>
              <w:t>-16.08%</w:t>
            </w:r>
          </w:p>
        </w:tc>
        <w:tc>
          <w:tcPr>
            <w:tcW w:w="1152" w:type="dxa"/>
            <w:tcMar>
              <w:top w:w="60" w:type="dxa"/>
              <w:left w:w="100" w:type="dxa"/>
              <w:bottom w:w="60" w:type="dxa"/>
              <w:right w:w="100" w:type="dxa"/>
            </w:tcMar>
          </w:tcPr>
          <w:p w14:paraId="5334F8D6" w14:textId="77777777" w:rsidR="00491599" w:rsidRDefault="00000000">
            <w:pPr>
              <w:jc w:val="center"/>
            </w:pPr>
            <w:r>
              <w:rPr>
                <w:rFonts w:ascii="Times New Roman" w:hAnsi="Times New Roman"/>
                <w:sz w:val="16"/>
              </w:rPr>
              <w:t>-16.07%</w:t>
            </w:r>
          </w:p>
        </w:tc>
        <w:tc>
          <w:tcPr>
            <w:tcW w:w="1152" w:type="dxa"/>
            <w:tcMar>
              <w:top w:w="60" w:type="dxa"/>
              <w:left w:w="100" w:type="dxa"/>
              <w:bottom w:w="60" w:type="dxa"/>
              <w:right w:w="100" w:type="dxa"/>
            </w:tcMar>
          </w:tcPr>
          <w:p w14:paraId="323B03CF" w14:textId="77777777" w:rsidR="00491599" w:rsidRDefault="00000000">
            <w:pPr>
              <w:jc w:val="center"/>
            </w:pPr>
            <w:r>
              <w:rPr>
                <w:rFonts w:ascii="Times New Roman" w:hAnsi="Times New Roman"/>
                <w:sz w:val="16"/>
              </w:rPr>
              <w:t>-0.001%</w:t>
            </w:r>
          </w:p>
        </w:tc>
      </w:tr>
      <w:tr w:rsidR="00491599" w14:paraId="1026B243" w14:textId="77777777">
        <w:trPr>
          <w:jc w:val="center"/>
        </w:trPr>
        <w:tc>
          <w:tcPr>
            <w:tcW w:w="2160" w:type="dxa"/>
            <w:shd w:val="clear" w:color="auto" w:fill="F0F4F8"/>
            <w:tcMar>
              <w:top w:w="60" w:type="dxa"/>
              <w:left w:w="100" w:type="dxa"/>
              <w:bottom w:w="60" w:type="dxa"/>
              <w:right w:w="100" w:type="dxa"/>
            </w:tcMar>
          </w:tcPr>
          <w:p w14:paraId="37CD9B89" w14:textId="77777777" w:rsidR="00491599" w:rsidRDefault="00000000">
            <w:pPr>
              <w:jc w:val="center"/>
            </w:pPr>
            <w:r>
              <w:rPr>
                <w:rFonts w:ascii="Times New Roman" w:hAnsi="Times New Roman"/>
                <w:sz w:val="16"/>
              </w:rPr>
              <w:t>Trade Count</w:t>
            </w:r>
          </w:p>
        </w:tc>
        <w:tc>
          <w:tcPr>
            <w:tcW w:w="1152" w:type="dxa"/>
            <w:shd w:val="clear" w:color="auto" w:fill="F0F4F8"/>
            <w:tcMar>
              <w:top w:w="60" w:type="dxa"/>
              <w:left w:w="100" w:type="dxa"/>
              <w:bottom w:w="60" w:type="dxa"/>
              <w:right w:w="100" w:type="dxa"/>
            </w:tcMar>
          </w:tcPr>
          <w:p w14:paraId="65D4A61E" w14:textId="77777777" w:rsidR="00491599" w:rsidRDefault="00000000">
            <w:pPr>
              <w:jc w:val="center"/>
            </w:pPr>
            <w:r>
              <w:rPr>
                <w:rFonts w:ascii="Times New Roman" w:hAnsi="Times New Roman"/>
                <w:sz w:val="16"/>
              </w:rPr>
              <w:t>487</w:t>
            </w:r>
          </w:p>
        </w:tc>
        <w:tc>
          <w:tcPr>
            <w:tcW w:w="1152" w:type="dxa"/>
            <w:shd w:val="clear" w:color="auto" w:fill="F0F4F8"/>
            <w:tcMar>
              <w:top w:w="60" w:type="dxa"/>
              <w:left w:w="100" w:type="dxa"/>
              <w:bottom w:w="60" w:type="dxa"/>
              <w:right w:w="100" w:type="dxa"/>
            </w:tcMar>
          </w:tcPr>
          <w:p w14:paraId="29F5B473" w14:textId="77777777" w:rsidR="00491599" w:rsidRDefault="00000000">
            <w:pPr>
              <w:jc w:val="center"/>
            </w:pPr>
            <w:r>
              <w:rPr>
                <w:rFonts w:ascii="Times New Roman" w:hAnsi="Times New Roman"/>
                <w:sz w:val="16"/>
              </w:rPr>
              <w:t>485</w:t>
            </w:r>
          </w:p>
        </w:tc>
        <w:tc>
          <w:tcPr>
            <w:tcW w:w="1152" w:type="dxa"/>
            <w:shd w:val="clear" w:color="auto" w:fill="F0F4F8"/>
            <w:tcMar>
              <w:top w:w="60" w:type="dxa"/>
              <w:left w:w="100" w:type="dxa"/>
              <w:bottom w:w="60" w:type="dxa"/>
              <w:right w:w="100" w:type="dxa"/>
            </w:tcMar>
          </w:tcPr>
          <w:p w14:paraId="52187AAA" w14:textId="77777777" w:rsidR="00491599" w:rsidRDefault="00000000">
            <w:pPr>
              <w:jc w:val="center"/>
            </w:pPr>
            <w:r>
              <w:rPr>
                <w:rFonts w:ascii="Times New Roman" w:hAnsi="Times New Roman"/>
                <w:sz w:val="16"/>
              </w:rPr>
              <w:t>2</w:t>
            </w:r>
          </w:p>
        </w:tc>
      </w:tr>
      <w:tr w:rsidR="00491599" w14:paraId="653FCAD6" w14:textId="77777777">
        <w:trPr>
          <w:jc w:val="center"/>
        </w:trPr>
        <w:tc>
          <w:tcPr>
            <w:tcW w:w="2160" w:type="dxa"/>
            <w:tcMar>
              <w:top w:w="60" w:type="dxa"/>
              <w:left w:w="100" w:type="dxa"/>
              <w:bottom w:w="60" w:type="dxa"/>
              <w:right w:w="100" w:type="dxa"/>
            </w:tcMar>
          </w:tcPr>
          <w:p w14:paraId="37917A66" w14:textId="77777777" w:rsidR="00491599" w:rsidRDefault="00000000">
            <w:pPr>
              <w:jc w:val="center"/>
            </w:pPr>
            <w:r>
              <w:rPr>
                <w:rFonts w:ascii="Times New Roman" w:hAnsi="Times New Roman"/>
                <w:sz w:val="16"/>
              </w:rPr>
              <w:t>Equity Correlation</w:t>
            </w:r>
          </w:p>
        </w:tc>
        <w:tc>
          <w:tcPr>
            <w:tcW w:w="1152" w:type="dxa"/>
            <w:tcMar>
              <w:top w:w="60" w:type="dxa"/>
              <w:left w:w="100" w:type="dxa"/>
              <w:bottom w:w="60" w:type="dxa"/>
              <w:right w:w="100" w:type="dxa"/>
            </w:tcMar>
          </w:tcPr>
          <w:p w14:paraId="63116E86" w14:textId="77777777" w:rsidR="00491599"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2EC9F1DB" w14:textId="77777777" w:rsidR="00491599"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14503CF9" w14:textId="77777777" w:rsidR="00491599" w:rsidRDefault="00000000">
            <w:pPr>
              <w:jc w:val="center"/>
            </w:pPr>
            <w:r>
              <w:rPr>
                <w:rFonts w:ascii="Times New Roman" w:hAnsi="Times New Roman"/>
                <w:sz w:val="16"/>
              </w:rPr>
              <w:t>0.00000</w:t>
            </w:r>
          </w:p>
        </w:tc>
      </w:tr>
    </w:tbl>
    <w:p w14:paraId="5B555E4A" w14:textId="77777777" w:rsidR="00491599" w:rsidRDefault="00000000">
      <w:pPr>
        <w:spacing w:before="120" w:after="80" w:line="240" w:lineRule="auto"/>
        <w:jc w:val="center"/>
      </w:pPr>
      <w:r>
        <w:rPr>
          <w:rFonts w:ascii="Times New Roman" w:hAnsi="Times New Roman"/>
          <w:i/>
          <w:sz w:val="18"/>
        </w:rPr>
        <w:t>Fig. 2: Performance Plot for Proposal 3:</w:t>
      </w:r>
    </w:p>
    <w:p w14:paraId="750F21F5" w14:textId="77777777" w:rsidR="00491599" w:rsidRDefault="00000000">
      <w:r>
        <w:rPr>
          <w:noProof/>
        </w:rPr>
        <w:drawing>
          <wp:inline distT="0" distB="0" distL="0" distR="0" wp14:anchorId="64A6647A" wp14:editId="18E95C45">
            <wp:extent cx="3484739" cy="28511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3_performance.png"/>
                    <pic:cNvPicPr/>
                  </pic:nvPicPr>
                  <pic:blipFill>
                    <a:blip r:embed="rId8"/>
                    <a:stretch>
                      <a:fillRect/>
                    </a:stretch>
                  </pic:blipFill>
                  <pic:spPr>
                    <a:xfrm>
                      <a:off x="0" y="0"/>
                      <a:ext cx="3493694" cy="2858477"/>
                    </a:xfrm>
                    <a:prstGeom prst="rect">
                      <a:avLst/>
                    </a:prstGeom>
                  </pic:spPr>
                </pic:pic>
              </a:graphicData>
            </a:graphic>
          </wp:inline>
        </w:drawing>
      </w:r>
    </w:p>
    <w:p w14:paraId="6096B57A" w14:textId="77777777" w:rsidR="00491599" w:rsidRDefault="00000000">
      <w:pPr>
        <w:spacing w:before="240" w:after="120" w:line="240" w:lineRule="auto"/>
        <w:jc w:val="center"/>
      </w:pPr>
      <w:r>
        <w:rPr>
          <w:rFonts w:ascii="Times New Roman" w:hAnsi="Times New Roman"/>
          <w:b/>
          <w:sz w:val="20"/>
        </w:rPr>
        <w:t>VI. CONCLUSION AND FUTURE WORK</w:t>
      </w:r>
    </w:p>
    <w:p w14:paraId="10BD04BB" w14:textId="77777777" w:rsidR="00491599" w:rsidRDefault="00000000">
      <w:pPr>
        <w:spacing w:before="120" w:after="80" w:line="240" w:lineRule="auto"/>
        <w:jc w:val="both"/>
      </w:pPr>
      <w:r>
        <w:rPr>
          <w:rFonts w:ascii="Times New Roman" w:hAnsi="Times New Roman"/>
          <w:b/>
          <w:i/>
          <w:sz w:val="20"/>
        </w:rPr>
        <w:t>A. Summary</w:t>
      </w:r>
    </w:p>
    <w:p w14:paraId="3E6B33A1" w14:textId="77777777" w:rsidR="00491599" w:rsidRDefault="00000000">
      <w:pPr>
        <w:spacing w:after="80" w:line="240" w:lineRule="auto"/>
        <w:jc w:val="both"/>
      </w:pPr>
      <w:r>
        <w:rPr>
          <w:rFonts w:ascii="Times New Roman" w:hAnsi="Times New Roman"/>
          <w:sz w:val="20"/>
        </w:rPr>
        <w:t>We successfully implement and verify a contrarian funding rate strategy. The event study supports the short squeeze hypothesis, and the backtests demonstrate perfect engine reconciliation.</w:t>
      </w:r>
    </w:p>
    <w:p w14:paraId="31A87C15" w14:textId="77777777" w:rsidR="00491599" w:rsidRDefault="00000000">
      <w:pPr>
        <w:spacing w:before="120" w:after="80" w:line="240" w:lineRule="auto"/>
        <w:jc w:val="both"/>
      </w:pPr>
      <w:r>
        <w:rPr>
          <w:rFonts w:ascii="Times New Roman" w:hAnsi="Times New Roman"/>
          <w:b/>
          <w:i/>
          <w:sz w:val="20"/>
        </w:rPr>
        <w:t>B. Future Research</w:t>
      </w:r>
    </w:p>
    <w:p w14:paraId="27AD0E3E" w14:textId="77777777" w:rsidR="00491599" w:rsidRDefault="00000000">
      <w:pPr>
        <w:spacing w:after="80" w:line="240" w:lineRule="auto"/>
        <w:jc w:val="both"/>
      </w:pPr>
      <w:r>
        <w:rPr>
          <w:rFonts w:ascii="Times New Roman" w:hAnsi="Times New Roman"/>
          <w:sz w:val="20"/>
        </w:rPr>
        <w:t>Future work will explore dynamic percentiles and multi-asset event studies. We will also incorporate volatility-based thresholds to filter entries during high-risk regimes.</w:t>
      </w:r>
    </w:p>
    <w:p w14:paraId="59D9A766" w14:textId="77777777" w:rsidR="00560005" w:rsidRDefault="00560005">
      <w:pPr>
        <w:spacing w:before="240" w:after="120" w:line="240" w:lineRule="auto"/>
        <w:jc w:val="center"/>
        <w:rPr>
          <w:rFonts w:ascii="Times New Roman" w:hAnsi="Times New Roman"/>
          <w:b/>
          <w:sz w:val="20"/>
        </w:rPr>
      </w:pPr>
    </w:p>
    <w:p w14:paraId="7A824F3E" w14:textId="77777777" w:rsidR="00560005" w:rsidRDefault="00560005">
      <w:pPr>
        <w:spacing w:before="240" w:after="120" w:line="240" w:lineRule="auto"/>
        <w:jc w:val="center"/>
        <w:rPr>
          <w:rFonts w:ascii="Times New Roman" w:hAnsi="Times New Roman"/>
          <w:b/>
          <w:sz w:val="20"/>
        </w:rPr>
      </w:pPr>
    </w:p>
    <w:p w14:paraId="16763F2E" w14:textId="77777777" w:rsidR="00560005" w:rsidRDefault="00560005">
      <w:pPr>
        <w:spacing w:before="240" w:after="120" w:line="240" w:lineRule="auto"/>
        <w:jc w:val="center"/>
        <w:rPr>
          <w:rFonts w:ascii="Times New Roman" w:hAnsi="Times New Roman"/>
          <w:b/>
          <w:sz w:val="20"/>
        </w:rPr>
      </w:pPr>
    </w:p>
    <w:p w14:paraId="4BFF9C62" w14:textId="77777777" w:rsidR="00560005" w:rsidRDefault="00560005">
      <w:pPr>
        <w:spacing w:before="240" w:after="120" w:line="240" w:lineRule="auto"/>
        <w:jc w:val="center"/>
        <w:rPr>
          <w:rFonts w:ascii="Times New Roman" w:hAnsi="Times New Roman"/>
          <w:b/>
          <w:sz w:val="20"/>
        </w:rPr>
      </w:pPr>
    </w:p>
    <w:p w14:paraId="4FFBC59A" w14:textId="77777777" w:rsidR="00560005" w:rsidRDefault="00560005">
      <w:pPr>
        <w:spacing w:before="240" w:after="120" w:line="240" w:lineRule="auto"/>
        <w:jc w:val="center"/>
        <w:rPr>
          <w:rFonts w:ascii="Times New Roman" w:hAnsi="Times New Roman"/>
          <w:b/>
          <w:sz w:val="20"/>
        </w:rPr>
      </w:pPr>
    </w:p>
    <w:p w14:paraId="75BB28B9" w14:textId="77777777" w:rsidR="00560005" w:rsidRDefault="00560005">
      <w:pPr>
        <w:spacing w:before="240" w:after="120" w:line="240" w:lineRule="auto"/>
        <w:jc w:val="center"/>
        <w:rPr>
          <w:rFonts w:ascii="Times New Roman" w:hAnsi="Times New Roman"/>
          <w:b/>
          <w:sz w:val="20"/>
        </w:rPr>
      </w:pPr>
    </w:p>
    <w:p w14:paraId="3508277B" w14:textId="08D886E1" w:rsidR="00491599" w:rsidRDefault="00000000">
      <w:pPr>
        <w:spacing w:before="240" w:after="120" w:line="240" w:lineRule="auto"/>
        <w:jc w:val="center"/>
      </w:pPr>
      <w:r>
        <w:rPr>
          <w:rFonts w:ascii="Times New Roman" w:hAnsi="Times New Roman"/>
          <w:b/>
          <w:sz w:val="20"/>
        </w:rPr>
        <w:lastRenderedPageBreak/>
        <w:t>REFERENCES</w:t>
      </w:r>
    </w:p>
    <w:p w14:paraId="14DF740D" w14:textId="77777777" w:rsidR="00491599" w:rsidRDefault="00000000">
      <w:pPr>
        <w:pStyle w:val="ListBullet"/>
        <w:spacing w:after="80" w:line="240" w:lineRule="auto"/>
        <w:jc w:val="both"/>
      </w:pPr>
      <w:r>
        <w:rPr>
          <w:rFonts w:ascii="Times New Roman" w:hAnsi="Times New Roman"/>
          <w:sz w:val="16"/>
        </w:rPr>
        <w:t>[1] A. C. MacKinlay, "Event Studies in Economics and Finance," Journal of Economic Literature, 1997, pp. 13-39.</w:t>
      </w:r>
    </w:p>
    <w:p w14:paraId="5B73CC72" w14:textId="77777777" w:rsidR="00491599" w:rsidRDefault="00000000">
      <w:pPr>
        <w:pStyle w:val="ListBullet"/>
        <w:spacing w:after="80" w:line="240" w:lineRule="auto"/>
        <w:jc w:val="both"/>
      </w:pPr>
      <w:r>
        <w:rPr>
          <w:rFonts w:ascii="Times New Roman" w:hAnsi="Times New Roman"/>
          <w:sz w:val="16"/>
        </w:rPr>
        <w:t>[2] C. Alexander and A. Dakos, "Funding rates and market efficiency in crypto perpetual futures," Journal of Futures Markets, 2020.</w:t>
      </w:r>
    </w:p>
    <w:p w14:paraId="04771453" w14:textId="77777777" w:rsidR="00491599" w:rsidRDefault="00000000">
      <w:pPr>
        <w:pStyle w:val="ListBullet"/>
        <w:spacing w:after="80" w:line="240" w:lineRule="auto"/>
        <w:jc w:val="both"/>
      </w:pPr>
      <w:r>
        <w:rPr>
          <w:rFonts w:ascii="Times New Roman" w:hAnsi="Times New Roman"/>
          <w:sz w:val="16"/>
        </w:rPr>
        <w:t>[3] D. G. Baur and B. M. Lucey, "Is gold a hedge or a safe haven? An analysis of stock, bond and gold returns," Financial Review, 2010.</w:t>
      </w:r>
    </w:p>
    <w:p w14:paraId="67535EA2" w14:textId="77777777" w:rsidR="00491599" w:rsidRDefault="00000000">
      <w:pPr>
        <w:pStyle w:val="ListBullet"/>
        <w:spacing w:after="80" w:line="240" w:lineRule="auto"/>
        <w:jc w:val="both"/>
      </w:pPr>
      <w:r>
        <w:rPr>
          <w:rFonts w:ascii="Times New Roman" w:hAnsi="Times New Roman"/>
          <w:sz w:val="16"/>
        </w:rPr>
        <w:t>[4] G. Gorton and K. G. Rouwenhorst, "Facts and fantasies about commodity futures," Financial Analysts Journal, 2006.</w:t>
      </w:r>
    </w:p>
    <w:p w14:paraId="04626CAF" w14:textId="77777777" w:rsidR="00491599" w:rsidRDefault="00000000">
      <w:pPr>
        <w:pStyle w:val="ListBullet"/>
        <w:spacing w:after="80" w:line="240" w:lineRule="auto"/>
        <w:jc w:val="both"/>
      </w:pPr>
      <w:r>
        <w:rPr>
          <w:rFonts w:ascii="Times New Roman" w:hAnsi="Times New Roman"/>
          <w:sz w:val="16"/>
        </w:rPr>
        <w:t>[5] C. S. Asness et al., "Value and Momentum Everywhere," Journal of Finance, 2013.</w:t>
      </w:r>
    </w:p>
    <w:p w14:paraId="4EF02467" w14:textId="77777777" w:rsidR="00491599" w:rsidRDefault="00000000">
      <w:pPr>
        <w:pStyle w:val="ListBullet"/>
        <w:spacing w:after="80" w:line="240" w:lineRule="auto"/>
        <w:jc w:val="both"/>
      </w:pPr>
      <w:r>
        <w:rPr>
          <w:rFonts w:ascii="Times New Roman" w:hAnsi="Times New Roman"/>
          <w:sz w:val="16"/>
        </w:rPr>
        <w:t>[6] D. H. Bailey and M. López de Prado, "The Deflated Sharpe Ratio: Correcting for Selection Bias, Backtest Overfitting and Non-Normality," Journal of Portfolio Management, 2014.</w:t>
      </w:r>
    </w:p>
    <w:p w14:paraId="6DB17169" w14:textId="77777777" w:rsidR="00491599" w:rsidRDefault="00000000">
      <w:pPr>
        <w:pStyle w:val="ListBullet"/>
        <w:spacing w:after="80" w:line="240" w:lineRule="auto"/>
        <w:jc w:val="both"/>
      </w:pPr>
      <w:r>
        <w:rPr>
          <w:rFonts w:ascii="Times New Roman" w:hAnsi="Times New Roman"/>
          <w:sz w:val="16"/>
        </w:rPr>
        <w:t>[7] C. W. Granger and P. Newbold, "Spurious regressions in econometrics," Journal of Econometrics, 1974.</w:t>
      </w:r>
    </w:p>
    <w:p w14:paraId="4B58BBDC" w14:textId="77777777" w:rsidR="00491599" w:rsidRDefault="00000000">
      <w:pPr>
        <w:pStyle w:val="ListBullet"/>
        <w:spacing w:after="80" w:line="240" w:lineRule="auto"/>
        <w:jc w:val="both"/>
      </w:pPr>
      <w:r>
        <w:rPr>
          <w:rFonts w:ascii="Times New Roman" w:hAnsi="Times New Roman"/>
          <w:sz w:val="16"/>
        </w:rPr>
        <w:t>[8] C. T. Shalen, "Volume, volatility, and the dispersion of beliefs," Review of Financial Studies, 1993.</w:t>
      </w:r>
    </w:p>
    <w:p w14:paraId="262BC45C" w14:textId="77777777" w:rsidR="00491599" w:rsidRDefault="00000000">
      <w:pPr>
        <w:pStyle w:val="ListBullet"/>
        <w:spacing w:after="80" w:line="240" w:lineRule="auto"/>
        <w:jc w:val="both"/>
      </w:pPr>
      <w:r>
        <w:rPr>
          <w:rFonts w:ascii="Times New Roman" w:hAnsi="Times New Roman"/>
          <w:sz w:val="16"/>
        </w:rPr>
        <w:t>[9] D. H. Bailey and M. López de Prado, "The Sharpe Ratio Efficient Frontier," Journal of Risk, 2012.</w:t>
      </w:r>
    </w:p>
    <w:p w14:paraId="7818C44D" w14:textId="77777777" w:rsidR="00491599" w:rsidRDefault="00000000">
      <w:pPr>
        <w:pStyle w:val="ListBullet"/>
        <w:spacing w:after="80" w:line="240" w:lineRule="auto"/>
        <w:jc w:val="both"/>
      </w:pPr>
      <w:r>
        <w:rPr>
          <w:rFonts w:ascii="Times New Roman" w:hAnsi="Times New Roman"/>
          <w:sz w:val="16"/>
        </w:rPr>
        <w:t>[10] T. Fischer and C. Krauss, "Statistical arbitrage and event study methodology in cryptocurrency markets," Quantitative Finance, 2018.</w:t>
      </w:r>
    </w:p>
    <w:sectPr w:rsidR="00491599" w:rsidSect="00034616">
      <w:type w:val="continuous"/>
      <w:pgSz w:w="12240" w:h="15840"/>
      <w:pgMar w:top="900" w:right="900" w:bottom="90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81271">
    <w:abstractNumId w:val="8"/>
  </w:num>
  <w:num w:numId="2" w16cid:durableId="1135759304">
    <w:abstractNumId w:val="6"/>
  </w:num>
  <w:num w:numId="3" w16cid:durableId="420376019">
    <w:abstractNumId w:val="5"/>
  </w:num>
  <w:num w:numId="4" w16cid:durableId="841744430">
    <w:abstractNumId w:val="4"/>
  </w:num>
  <w:num w:numId="5" w16cid:durableId="175970216">
    <w:abstractNumId w:val="7"/>
  </w:num>
  <w:num w:numId="6" w16cid:durableId="1250041711">
    <w:abstractNumId w:val="3"/>
  </w:num>
  <w:num w:numId="7" w16cid:durableId="1414282606">
    <w:abstractNumId w:val="2"/>
  </w:num>
  <w:num w:numId="8" w16cid:durableId="452133305">
    <w:abstractNumId w:val="1"/>
  </w:num>
  <w:num w:numId="9" w16cid:durableId="164346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720"/>
    <w:rsid w:val="0029639D"/>
    <w:rsid w:val="00326F90"/>
    <w:rsid w:val="00491599"/>
    <w:rsid w:val="00560005"/>
    <w:rsid w:val="00616AB7"/>
    <w:rsid w:val="0095486B"/>
    <w:rsid w:val="00AA1D8D"/>
    <w:rsid w:val="00B47730"/>
    <w:rsid w:val="00BD2A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B52DD"/>
  <w14:defaultImageDpi w14:val="300"/>
  <w15:docId w15:val="{43606972-8541-41E0-BFE4-7558D6F2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6AB7"/>
    <w:rPr>
      <w:color w:val="0000FF" w:themeColor="hyperlink"/>
      <w:u w:val="single"/>
    </w:rPr>
  </w:style>
  <w:style w:type="character" w:styleId="UnresolvedMention">
    <w:name w:val="Unresolved Mention"/>
    <w:basedOn w:val="DefaultParagraphFont"/>
    <w:uiPriority w:val="99"/>
    <w:semiHidden/>
    <w:unhideWhenUsed/>
    <w:rsid w:val="00616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aschawa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5</cp:revision>
  <dcterms:created xsi:type="dcterms:W3CDTF">2013-12-23T23:15:00Z</dcterms:created>
  <dcterms:modified xsi:type="dcterms:W3CDTF">2026-07-24T07:26:00Z</dcterms:modified>
  <cp:category/>
</cp:coreProperties>
</file>