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F8EC" w14:textId="77777777" w:rsidR="00905735" w:rsidRPr="00905735" w:rsidRDefault="00000000" w:rsidP="00905735">
      <w:pPr>
        <w:spacing w:after="0"/>
        <w:jc w:val="center"/>
        <w:rPr>
          <w:b/>
          <w:bCs/>
          <w:iCs/>
          <w:color w:val="000000" w:themeColor="text1"/>
          <w:sz w:val="24"/>
          <w:szCs w:val="24"/>
        </w:rPr>
      </w:pPr>
      <w:r w:rsidRPr="00905735">
        <w:rPr>
          <w:b/>
          <w:bCs/>
          <w:iCs/>
          <w:color w:val="000000" w:themeColor="text1"/>
          <w:sz w:val="32"/>
          <w:szCs w:val="24"/>
        </w:rPr>
        <w:t>Research Proposal 3 Report: Funding Rate as a Contrarian Alpha Signal in BTC Perpetuals</w:t>
      </w:r>
    </w:p>
    <w:p w14:paraId="4B1C8622" w14:textId="5D762594" w:rsidR="00600A9F" w:rsidRPr="00905735" w:rsidRDefault="00905735" w:rsidP="00905735">
      <w:pPr>
        <w:spacing w:after="0"/>
        <w:jc w:val="center"/>
        <w:rPr>
          <w:b/>
          <w:bCs/>
          <w:iCs/>
          <w:sz w:val="24"/>
          <w:szCs w:val="24"/>
        </w:rPr>
      </w:pPr>
      <w:r>
        <w:rPr>
          <w:b/>
        </w:rPr>
        <w:t xml:space="preserve">~ </w:t>
      </w:r>
      <w:r w:rsidR="00000000">
        <w:t>Ria Chawak</w:t>
      </w:r>
      <w:r w:rsidR="00000000">
        <w:br/>
      </w:r>
    </w:p>
    <w:p w14:paraId="1C990C52" w14:textId="2812BBAF" w:rsidR="00600A9F" w:rsidRDefault="00905735" w:rsidP="00905735">
      <w:r>
        <w:rPr>
          <w:b/>
          <w:sz w:val="32"/>
        </w:rPr>
        <w:t>1</w:t>
      </w:r>
      <w:r w:rsidR="00000000">
        <w:rPr>
          <w:b/>
          <w:sz w:val="32"/>
        </w:rPr>
        <w:t>. Executive Summary</w:t>
      </w:r>
    </w:p>
    <w:p w14:paraId="367A66C1" w14:textId="77777777" w:rsidR="00600A9F" w:rsidRDefault="00000000">
      <w:pPr>
        <w:spacing w:after="120"/>
      </w:pPr>
      <w:r>
        <w:t>This research report documents the empirical evaluation of Research Proposal 3: Funding Rate as a Contrarian Alpha Signal in BTC Perpetuals. In cryptocurrency perpetual futures markets, the funding rate is a mechanism designed to keep the perpetual price anchored to the spot index price. Extreme funding rate readings serve as proxy indicators for crowded positioning and market sentiment. We conduct a rigorous quantitative study spanning from January 2020 to May 2026. First, we perform an event study to analyze daily forward price returns (1d, 3d, 7d) following extreme funding rate readings (top/bottom 5th percentile). Second, we backtest a rule-based contrarian trading strategy in a cost-aware framework that incorporates 0.1% taker fees, 0.05% slippage, and daily perpetual funding payments. Our statistical event study shows that extreme negative funding (crowded shorts) precedes highly significant positive forward returns (t-statistic of 2.96 for 1-day and 5.95 for 7-day returns). However, extreme positive funding (crowded longs) does not exhibit statistically significant contrarian returns. The rule-based backtest reveals that due to the low frequency of extreme events, the standalone strategy underperforms Buy-and-Hold and SMA Crossover baselines on a net return basis, achieving a Net Sharpe of 0.193. This confirms the hypothesis that funding rate extremes function effectively as regime filters rather than standalone high-turnover strategies.</w:t>
      </w:r>
    </w:p>
    <w:p w14:paraId="10C4C019" w14:textId="77777777" w:rsidR="00600A9F" w:rsidRDefault="00000000">
      <w:pPr>
        <w:spacing w:before="360" w:after="120"/>
      </w:pPr>
      <w:r>
        <w:rPr>
          <w:b/>
          <w:sz w:val="32"/>
        </w:rPr>
        <w:t>2. Research Question &amp; Hypotheses</w:t>
      </w:r>
    </w:p>
    <w:p w14:paraId="670A4B95" w14:textId="77777777" w:rsidR="00600A9F" w:rsidRDefault="00000000">
      <w:pPr>
        <w:spacing w:after="120"/>
      </w:pPr>
      <w:r>
        <w:rPr>
          <w:b/>
        </w:rPr>
        <w:t>Research Question:</w:t>
      </w:r>
    </w:p>
    <w:p w14:paraId="11027E6E" w14:textId="77777777" w:rsidR="00600A9F" w:rsidRDefault="00000000">
      <w:pPr>
        <w:spacing w:after="120"/>
      </w:pPr>
      <w:r>
        <w:t>Do extreme funding rate readings (top/bottom 5th percentile) in BTC-USDT perpetual futures generate statistically significant contrarian next-day and next-week returns, and can a simple rule-based strategy exploiting this signal beat buy-and-hold on a risk-adjusted basis, net of costs?</w:t>
      </w:r>
    </w:p>
    <w:p w14:paraId="27B8F9A2" w14:textId="77777777" w:rsidR="00600A9F" w:rsidRDefault="00000000">
      <w:pPr>
        <w:spacing w:after="120"/>
      </w:pPr>
      <w:r>
        <w:rPr>
          <w:b/>
        </w:rPr>
        <w:t>Hypotheses:</w:t>
      </w:r>
    </w:p>
    <w:p w14:paraId="7E4D941D" w14:textId="77777777" w:rsidR="00600A9F" w:rsidRDefault="00000000">
      <w:pPr>
        <w:pStyle w:val="ListBullet"/>
        <w:spacing w:after="60"/>
      </w:pPr>
      <w:r>
        <w:rPr>
          <w:b/>
        </w:rPr>
        <w:t xml:space="preserve">H1 (Contrarian Price Reversal): </w:t>
      </w:r>
      <w:r>
        <w:t>Extreme positive funding rates (crowded longs) will be followed by negative returns over the next 1–7 days, and extreme negative rates (crowded shorts) will be followed by positive returns. The economic mechanism is that highly leveraged crowded traders pay significant carry costs to stay in their positions and are eventually forced to close, causing price pressure to reverse.</w:t>
      </w:r>
    </w:p>
    <w:p w14:paraId="01381BB1" w14:textId="77777777" w:rsidR="00600A9F" w:rsidRDefault="00000000">
      <w:pPr>
        <w:pStyle w:val="ListBullet"/>
        <w:spacing w:after="120"/>
      </w:pPr>
      <w:r>
        <w:rPr>
          <w:b/>
        </w:rPr>
        <w:t xml:space="preserve">H2 (Low Signal Frequency): </w:t>
      </w:r>
      <w:r>
        <w:t>The signal frequency is too low (extreme events are rare) to generate a high-turnover standalone strategy with statistical confidence. This makes it more suitable as a regime filter or entry filter rather than a standalone portfolio asset.</w:t>
      </w:r>
    </w:p>
    <w:p w14:paraId="608B1237" w14:textId="77777777" w:rsidR="00600A9F" w:rsidRDefault="00000000">
      <w:pPr>
        <w:spacing w:before="360" w:after="120"/>
      </w:pPr>
      <w:r>
        <w:rPr>
          <w:b/>
          <w:sz w:val="32"/>
        </w:rPr>
        <w:t>3. Methodology &amp; Data Preparation</w:t>
      </w:r>
    </w:p>
    <w:p w14:paraId="5246BBAC" w14:textId="77777777" w:rsidR="00600A9F" w:rsidRDefault="00000000">
      <w:pPr>
        <w:spacing w:after="120"/>
      </w:pPr>
      <w:r>
        <w:lastRenderedPageBreak/>
        <w:t>Data Source: The daily historical dataset contains BTCUSDT Spot Close prices and daily perpetual funding rates spanning from January 2020 to May 2026. The 8-hour historical funding rate data was downloaded from the Binance Futures public API and aggregated to daily frequency by summing the three funding rate payments made each calendar day.</w:t>
      </w:r>
    </w:p>
    <w:p w14:paraId="7E9A85CE" w14:textId="77777777" w:rsidR="00600A9F" w:rsidRDefault="00000000">
      <w:pPr>
        <w:spacing w:after="120"/>
      </w:pPr>
      <w:r>
        <w:rPr>
          <w:b/>
        </w:rPr>
        <w:t>Feature Engineering (3 Window Variations):</w:t>
      </w:r>
    </w:p>
    <w:p w14:paraId="090C2541" w14:textId="77777777" w:rsidR="00600A9F" w:rsidRDefault="00000000">
      <w:pPr>
        <w:spacing w:after="120"/>
      </w:pPr>
      <w:r>
        <w:t>We compute 6 distinct indicators on the daily funding rate and BTC prices, with 3 window variations (short, medium, long) to represent various temporal horizons (18 features in total):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3"/>
        <w:gridCol w:w="2340"/>
        <w:gridCol w:w="2340"/>
        <w:gridCol w:w="2340"/>
      </w:tblGrid>
      <w:tr w:rsidR="00600A9F" w14:paraId="2ED5DAFA" w14:textId="77777777" w:rsidTr="00A07C89">
        <w:trPr>
          <w:jc w:val="center"/>
        </w:trPr>
        <w:tc>
          <w:tcPr>
            <w:tcW w:w="3333" w:type="dxa"/>
            <w:shd w:val="clear" w:color="auto" w:fill="F2F2F2"/>
            <w:tcMar>
              <w:top w:w="100" w:type="dxa"/>
              <w:left w:w="150" w:type="dxa"/>
              <w:bottom w:w="100" w:type="dxa"/>
              <w:right w:w="150" w:type="dxa"/>
            </w:tcMar>
          </w:tcPr>
          <w:p w14:paraId="31FDD401" w14:textId="77777777" w:rsidR="00600A9F" w:rsidRDefault="00000000">
            <w:r>
              <w:rPr>
                <w:b/>
              </w:rPr>
              <w:t>Feature Indicator</w:t>
            </w:r>
          </w:p>
        </w:tc>
        <w:tc>
          <w:tcPr>
            <w:tcW w:w="2340" w:type="dxa"/>
            <w:shd w:val="clear" w:color="auto" w:fill="F2F2F2"/>
            <w:tcMar>
              <w:top w:w="100" w:type="dxa"/>
              <w:left w:w="150" w:type="dxa"/>
              <w:bottom w:w="100" w:type="dxa"/>
              <w:right w:w="150" w:type="dxa"/>
            </w:tcMar>
          </w:tcPr>
          <w:p w14:paraId="71BAF656" w14:textId="77777777" w:rsidR="00600A9F" w:rsidRDefault="00000000">
            <w:r>
              <w:rPr>
                <w:b/>
              </w:rPr>
              <w:t>Short Window</w:t>
            </w:r>
          </w:p>
        </w:tc>
        <w:tc>
          <w:tcPr>
            <w:tcW w:w="2340" w:type="dxa"/>
            <w:shd w:val="clear" w:color="auto" w:fill="F2F2F2"/>
            <w:tcMar>
              <w:top w:w="100" w:type="dxa"/>
              <w:left w:w="150" w:type="dxa"/>
              <w:bottom w:w="100" w:type="dxa"/>
              <w:right w:w="150" w:type="dxa"/>
            </w:tcMar>
          </w:tcPr>
          <w:p w14:paraId="2C89487D" w14:textId="77777777" w:rsidR="00600A9F" w:rsidRDefault="00000000">
            <w:r>
              <w:rPr>
                <w:b/>
              </w:rPr>
              <w:t>Medium Window</w:t>
            </w:r>
          </w:p>
        </w:tc>
        <w:tc>
          <w:tcPr>
            <w:tcW w:w="2340" w:type="dxa"/>
            <w:shd w:val="clear" w:color="auto" w:fill="F2F2F2"/>
            <w:tcMar>
              <w:top w:w="100" w:type="dxa"/>
              <w:left w:w="150" w:type="dxa"/>
              <w:bottom w:w="100" w:type="dxa"/>
              <w:right w:w="150" w:type="dxa"/>
            </w:tcMar>
          </w:tcPr>
          <w:p w14:paraId="29AEB802" w14:textId="77777777" w:rsidR="00600A9F" w:rsidRDefault="00000000">
            <w:r>
              <w:rPr>
                <w:b/>
              </w:rPr>
              <w:t>Long Window</w:t>
            </w:r>
          </w:p>
        </w:tc>
      </w:tr>
      <w:tr w:rsidR="00600A9F" w14:paraId="623AF8AF" w14:textId="77777777" w:rsidTr="00A07C89">
        <w:trPr>
          <w:jc w:val="center"/>
        </w:trPr>
        <w:tc>
          <w:tcPr>
            <w:tcW w:w="3333" w:type="dxa"/>
            <w:tcMar>
              <w:top w:w="100" w:type="dxa"/>
              <w:left w:w="150" w:type="dxa"/>
              <w:bottom w:w="100" w:type="dxa"/>
              <w:right w:w="150" w:type="dxa"/>
            </w:tcMar>
          </w:tcPr>
          <w:p w14:paraId="5D3E6FC7" w14:textId="77777777" w:rsidR="00600A9F" w:rsidRDefault="00000000">
            <w:r>
              <w:t>Funding Rate Rolling Mean</w:t>
            </w:r>
          </w:p>
        </w:tc>
        <w:tc>
          <w:tcPr>
            <w:tcW w:w="2340" w:type="dxa"/>
            <w:tcMar>
              <w:top w:w="100" w:type="dxa"/>
              <w:left w:w="150" w:type="dxa"/>
              <w:bottom w:w="100" w:type="dxa"/>
              <w:right w:w="150" w:type="dxa"/>
            </w:tcMar>
          </w:tcPr>
          <w:p w14:paraId="3F52FFA8" w14:textId="77777777" w:rsidR="00600A9F" w:rsidRDefault="00000000">
            <w:r>
              <w:t>Short: 3d</w:t>
            </w:r>
          </w:p>
        </w:tc>
        <w:tc>
          <w:tcPr>
            <w:tcW w:w="2340" w:type="dxa"/>
            <w:tcMar>
              <w:top w:w="100" w:type="dxa"/>
              <w:left w:w="150" w:type="dxa"/>
              <w:bottom w:w="100" w:type="dxa"/>
              <w:right w:w="150" w:type="dxa"/>
            </w:tcMar>
          </w:tcPr>
          <w:p w14:paraId="6E26AC1E" w14:textId="77777777" w:rsidR="00600A9F" w:rsidRDefault="00000000">
            <w:r>
              <w:t>Medium: 14d</w:t>
            </w:r>
          </w:p>
        </w:tc>
        <w:tc>
          <w:tcPr>
            <w:tcW w:w="2340" w:type="dxa"/>
            <w:tcMar>
              <w:top w:w="100" w:type="dxa"/>
              <w:left w:w="150" w:type="dxa"/>
              <w:bottom w:w="100" w:type="dxa"/>
              <w:right w:w="150" w:type="dxa"/>
            </w:tcMar>
          </w:tcPr>
          <w:p w14:paraId="5CA5DDCD" w14:textId="77777777" w:rsidR="00600A9F" w:rsidRDefault="00000000">
            <w:r>
              <w:t>Long: 30d</w:t>
            </w:r>
          </w:p>
        </w:tc>
      </w:tr>
      <w:tr w:rsidR="00600A9F" w14:paraId="43DE3164" w14:textId="77777777" w:rsidTr="00A07C89">
        <w:trPr>
          <w:jc w:val="center"/>
        </w:trPr>
        <w:tc>
          <w:tcPr>
            <w:tcW w:w="3333" w:type="dxa"/>
            <w:tcMar>
              <w:top w:w="100" w:type="dxa"/>
              <w:left w:w="150" w:type="dxa"/>
              <w:bottom w:w="100" w:type="dxa"/>
              <w:right w:w="150" w:type="dxa"/>
            </w:tcMar>
          </w:tcPr>
          <w:p w14:paraId="0B632B0B" w14:textId="77777777" w:rsidR="00600A9F" w:rsidRDefault="00000000">
            <w:r>
              <w:t>Funding Rate Rolling Volatility</w:t>
            </w:r>
          </w:p>
        </w:tc>
        <w:tc>
          <w:tcPr>
            <w:tcW w:w="2340" w:type="dxa"/>
            <w:tcMar>
              <w:top w:w="100" w:type="dxa"/>
              <w:left w:w="150" w:type="dxa"/>
              <w:bottom w:w="100" w:type="dxa"/>
              <w:right w:w="150" w:type="dxa"/>
            </w:tcMar>
          </w:tcPr>
          <w:p w14:paraId="7676F3D3" w14:textId="77777777" w:rsidR="00600A9F" w:rsidRDefault="00000000">
            <w:r>
              <w:t>Short: 3d</w:t>
            </w:r>
          </w:p>
        </w:tc>
        <w:tc>
          <w:tcPr>
            <w:tcW w:w="2340" w:type="dxa"/>
            <w:tcMar>
              <w:top w:w="100" w:type="dxa"/>
              <w:left w:w="150" w:type="dxa"/>
              <w:bottom w:w="100" w:type="dxa"/>
              <w:right w:w="150" w:type="dxa"/>
            </w:tcMar>
          </w:tcPr>
          <w:p w14:paraId="4C74D3A6" w14:textId="77777777" w:rsidR="00600A9F" w:rsidRDefault="00000000">
            <w:r>
              <w:t>Medium: 14d</w:t>
            </w:r>
          </w:p>
        </w:tc>
        <w:tc>
          <w:tcPr>
            <w:tcW w:w="2340" w:type="dxa"/>
            <w:tcMar>
              <w:top w:w="100" w:type="dxa"/>
              <w:left w:w="150" w:type="dxa"/>
              <w:bottom w:w="100" w:type="dxa"/>
              <w:right w:w="150" w:type="dxa"/>
            </w:tcMar>
          </w:tcPr>
          <w:p w14:paraId="38E853A8" w14:textId="77777777" w:rsidR="00600A9F" w:rsidRDefault="00000000">
            <w:r>
              <w:t>Long: 30d</w:t>
            </w:r>
          </w:p>
        </w:tc>
      </w:tr>
      <w:tr w:rsidR="00600A9F" w14:paraId="731758ED" w14:textId="77777777" w:rsidTr="00A07C89">
        <w:trPr>
          <w:jc w:val="center"/>
        </w:trPr>
        <w:tc>
          <w:tcPr>
            <w:tcW w:w="3333" w:type="dxa"/>
            <w:tcMar>
              <w:top w:w="100" w:type="dxa"/>
              <w:left w:w="150" w:type="dxa"/>
              <w:bottom w:w="100" w:type="dxa"/>
              <w:right w:w="150" w:type="dxa"/>
            </w:tcMar>
          </w:tcPr>
          <w:p w14:paraId="3E19AF9B" w14:textId="77777777" w:rsidR="00600A9F" w:rsidRDefault="00000000">
            <w:r>
              <w:t>Funding Rate Rolling Z-score</w:t>
            </w:r>
          </w:p>
        </w:tc>
        <w:tc>
          <w:tcPr>
            <w:tcW w:w="2340" w:type="dxa"/>
            <w:tcMar>
              <w:top w:w="100" w:type="dxa"/>
              <w:left w:w="150" w:type="dxa"/>
              <w:bottom w:w="100" w:type="dxa"/>
              <w:right w:w="150" w:type="dxa"/>
            </w:tcMar>
          </w:tcPr>
          <w:p w14:paraId="7A72A4D2" w14:textId="77777777" w:rsidR="00600A9F" w:rsidRDefault="00000000">
            <w:r>
              <w:t>Short: 5d</w:t>
            </w:r>
          </w:p>
        </w:tc>
        <w:tc>
          <w:tcPr>
            <w:tcW w:w="2340" w:type="dxa"/>
            <w:tcMar>
              <w:top w:w="100" w:type="dxa"/>
              <w:left w:w="150" w:type="dxa"/>
              <w:bottom w:w="100" w:type="dxa"/>
              <w:right w:w="150" w:type="dxa"/>
            </w:tcMar>
          </w:tcPr>
          <w:p w14:paraId="1B2A127D" w14:textId="77777777" w:rsidR="00600A9F" w:rsidRDefault="00000000">
            <w:r>
              <w:t>Medium: 20d</w:t>
            </w:r>
          </w:p>
        </w:tc>
        <w:tc>
          <w:tcPr>
            <w:tcW w:w="2340" w:type="dxa"/>
            <w:tcMar>
              <w:top w:w="100" w:type="dxa"/>
              <w:left w:w="150" w:type="dxa"/>
              <w:bottom w:w="100" w:type="dxa"/>
              <w:right w:w="150" w:type="dxa"/>
            </w:tcMar>
          </w:tcPr>
          <w:p w14:paraId="3814052D" w14:textId="77777777" w:rsidR="00600A9F" w:rsidRDefault="00000000">
            <w:r>
              <w:t>Long: 60d</w:t>
            </w:r>
          </w:p>
        </w:tc>
      </w:tr>
      <w:tr w:rsidR="00600A9F" w14:paraId="6E852FF2" w14:textId="77777777" w:rsidTr="00A07C89">
        <w:trPr>
          <w:jc w:val="center"/>
        </w:trPr>
        <w:tc>
          <w:tcPr>
            <w:tcW w:w="3333" w:type="dxa"/>
            <w:tcMar>
              <w:top w:w="100" w:type="dxa"/>
              <w:left w:w="150" w:type="dxa"/>
              <w:bottom w:w="100" w:type="dxa"/>
              <w:right w:w="150" w:type="dxa"/>
            </w:tcMar>
          </w:tcPr>
          <w:p w14:paraId="61BB642C" w14:textId="77777777" w:rsidR="00600A9F" w:rsidRDefault="00000000">
            <w:r>
              <w:t>BTC Price Volatility (std log return)</w:t>
            </w:r>
          </w:p>
        </w:tc>
        <w:tc>
          <w:tcPr>
            <w:tcW w:w="2340" w:type="dxa"/>
            <w:tcMar>
              <w:top w:w="100" w:type="dxa"/>
              <w:left w:w="150" w:type="dxa"/>
              <w:bottom w:w="100" w:type="dxa"/>
              <w:right w:w="150" w:type="dxa"/>
            </w:tcMar>
          </w:tcPr>
          <w:p w14:paraId="6CFED15C" w14:textId="77777777" w:rsidR="00600A9F" w:rsidRDefault="00000000">
            <w:r>
              <w:t>Short: 5d</w:t>
            </w:r>
          </w:p>
        </w:tc>
        <w:tc>
          <w:tcPr>
            <w:tcW w:w="2340" w:type="dxa"/>
            <w:tcMar>
              <w:top w:w="100" w:type="dxa"/>
              <w:left w:w="150" w:type="dxa"/>
              <w:bottom w:w="100" w:type="dxa"/>
              <w:right w:w="150" w:type="dxa"/>
            </w:tcMar>
          </w:tcPr>
          <w:p w14:paraId="06B2AD69" w14:textId="77777777" w:rsidR="00600A9F" w:rsidRDefault="00000000">
            <w:r>
              <w:t>Medium: 20d</w:t>
            </w:r>
          </w:p>
        </w:tc>
        <w:tc>
          <w:tcPr>
            <w:tcW w:w="2340" w:type="dxa"/>
            <w:tcMar>
              <w:top w:w="100" w:type="dxa"/>
              <w:left w:w="150" w:type="dxa"/>
              <w:bottom w:w="100" w:type="dxa"/>
              <w:right w:w="150" w:type="dxa"/>
            </w:tcMar>
          </w:tcPr>
          <w:p w14:paraId="0FB359B5" w14:textId="77777777" w:rsidR="00600A9F" w:rsidRDefault="00000000">
            <w:r>
              <w:t>Long: 60d</w:t>
            </w:r>
          </w:p>
        </w:tc>
      </w:tr>
      <w:tr w:rsidR="00600A9F" w14:paraId="6FB8C330" w14:textId="77777777" w:rsidTr="00A07C89">
        <w:trPr>
          <w:jc w:val="center"/>
        </w:trPr>
        <w:tc>
          <w:tcPr>
            <w:tcW w:w="3333" w:type="dxa"/>
            <w:tcMar>
              <w:top w:w="100" w:type="dxa"/>
              <w:left w:w="150" w:type="dxa"/>
              <w:bottom w:w="100" w:type="dxa"/>
              <w:right w:w="150" w:type="dxa"/>
            </w:tcMar>
          </w:tcPr>
          <w:p w14:paraId="068D43CA" w14:textId="77777777" w:rsidR="00600A9F" w:rsidRDefault="00000000">
            <w:r>
              <w:t>BTC Price RSI (Relative Strength)</w:t>
            </w:r>
          </w:p>
        </w:tc>
        <w:tc>
          <w:tcPr>
            <w:tcW w:w="2340" w:type="dxa"/>
            <w:tcMar>
              <w:top w:w="100" w:type="dxa"/>
              <w:left w:w="150" w:type="dxa"/>
              <w:bottom w:w="100" w:type="dxa"/>
              <w:right w:w="150" w:type="dxa"/>
            </w:tcMar>
          </w:tcPr>
          <w:p w14:paraId="746E4D02" w14:textId="77777777" w:rsidR="00600A9F" w:rsidRDefault="00000000">
            <w:r>
              <w:t>Short: 7d</w:t>
            </w:r>
          </w:p>
        </w:tc>
        <w:tc>
          <w:tcPr>
            <w:tcW w:w="2340" w:type="dxa"/>
            <w:tcMar>
              <w:top w:w="100" w:type="dxa"/>
              <w:left w:w="150" w:type="dxa"/>
              <w:bottom w:w="100" w:type="dxa"/>
              <w:right w:w="150" w:type="dxa"/>
            </w:tcMar>
          </w:tcPr>
          <w:p w14:paraId="468D4182" w14:textId="77777777" w:rsidR="00600A9F" w:rsidRDefault="00000000">
            <w:r>
              <w:t>Medium: 14d</w:t>
            </w:r>
          </w:p>
        </w:tc>
        <w:tc>
          <w:tcPr>
            <w:tcW w:w="2340" w:type="dxa"/>
            <w:tcMar>
              <w:top w:w="100" w:type="dxa"/>
              <w:left w:w="150" w:type="dxa"/>
              <w:bottom w:w="100" w:type="dxa"/>
              <w:right w:w="150" w:type="dxa"/>
            </w:tcMar>
          </w:tcPr>
          <w:p w14:paraId="3416F4C4" w14:textId="77777777" w:rsidR="00600A9F" w:rsidRDefault="00000000">
            <w:r>
              <w:t>Long: 28d</w:t>
            </w:r>
          </w:p>
        </w:tc>
      </w:tr>
      <w:tr w:rsidR="00600A9F" w14:paraId="07CAD1AC" w14:textId="77777777" w:rsidTr="00A07C89">
        <w:trPr>
          <w:jc w:val="center"/>
        </w:trPr>
        <w:tc>
          <w:tcPr>
            <w:tcW w:w="3333" w:type="dxa"/>
            <w:tcMar>
              <w:top w:w="100" w:type="dxa"/>
              <w:left w:w="150" w:type="dxa"/>
              <w:bottom w:w="100" w:type="dxa"/>
              <w:right w:w="150" w:type="dxa"/>
            </w:tcMar>
          </w:tcPr>
          <w:p w14:paraId="1E250D4A" w14:textId="77777777" w:rsidR="00600A9F" w:rsidRDefault="00000000">
            <w:r>
              <w:t>BTC Price SMA (Simple Moving Average)</w:t>
            </w:r>
          </w:p>
        </w:tc>
        <w:tc>
          <w:tcPr>
            <w:tcW w:w="2340" w:type="dxa"/>
            <w:tcMar>
              <w:top w:w="100" w:type="dxa"/>
              <w:left w:w="150" w:type="dxa"/>
              <w:bottom w:w="100" w:type="dxa"/>
              <w:right w:w="150" w:type="dxa"/>
            </w:tcMar>
          </w:tcPr>
          <w:p w14:paraId="0E7B854F" w14:textId="77777777" w:rsidR="00600A9F" w:rsidRDefault="00000000">
            <w:r>
              <w:t>Short: 10d</w:t>
            </w:r>
          </w:p>
        </w:tc>
        <w:tc>
          <w:tcPr>
            <w:tcW w:w="2340" w:type="dxa"/>
            <w:tcMar>
              <w:top w:w="100" w:type="dxa"/>
              <w:left w:w="150" w:type="dxa"/>
              <w:bottom w:w="100" w:type="dxa"/>
              <w:right w:w="150" w:type="dxa"/>
            </w:tcMar>
          </w:tcPr>
          <w:p w14:paraId="33B5EEBB" w14:textId="77777777" w:rsidR="00600A9F" w:rsidRDefault="00000000">
            <w:r>
              <w:t>Medium: 50d</w:t>
            </w:r>
          </w:p>
        </w:tc>
        <w:tc>
          <w:tcPr>
            <w:tcW w:w="2340" w:type="dxa"/>
            <w:tcMar>
              <w:top w:w="100" w:type="dxa"/>
              <w:left w:w="150" w:type="dxa"/>
              <w:bottom w:w="100" w:type="dxa"/>
              <w:right w:w="150" w:type="dxa"/>
            </w:tcMar>
          </w:tcPr>
          <w:p w14:paraId="65945D43" w14:textId="77777777" w:rsidR="00600A9F" w:rsidRDefault="00000000">
            <w:r>
              <w:t>Long: 200d</w:t>
            </w:r>
          </w:p>
        </w:tc>
      </w:tr>
    </w:tbl>
    <w:p w14:paraId="7916ECBE" w14:textId="77777777" w:rsidR="00600A9F" w:rsidRDefault="00000000">
      <w:pPr>
        <w:spacing w:before="360" w:after="120"/>
      </w:pPr>
      <w:r>
        <w:rPr>
          <w:b/>
          <w:sz w:val="32"/>
        </w:rPr>
        <w:t>4. Statistical Event Study Results</w:t>
      </w:r>
    </w:p>
    <w:p w14:paraId="7F85203E" w14:textId="77777777" w:rsidR="00600A9F" w:rsidRDefault="00000000">
      <w:pPr>
        <w:spacing w:after="120"/>
      </w:pPr>
      <w:r>
        <w:t>To evaluate whether extreme funding rates generate statistically significant contrarian returns, we perform an event study. Extreme events are defined statically as the bottom 5th percentile (low funding &lt;= -0.0111% daily) and top 95th percentile (high funding &gt;= 0.1431% daily) of the daily funding rate. For these event days, simple forward returns of BTC over 1-day, 3-day, and 7-day horizons are calculated. We run a 1-sample t-test on each horizon to test the null hypothesis that the mean forward return is zero.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7"/>
        <w:gridCol w:w="1499"/>
        <w:gridCol w:w="1337"/>
        <w:gridCol w:w="1337"/>
        <w:gridCol w:w="1337"/>
        <w:gridCol w:w="1337"/>
        <w:gridCol w:w="1337"/>
      </w:tblGrid>
      <w:tr w:rsidR="00600A9F" w14:paraId="2D6D51F9" w14:textId="77777777" w:rsidTr="00A07C89">
        <w:trPr>
          <w:jc w:val="center"/>
        </w:trPr>
        <w:tc>
          <w:tcPr>
            <w:tcW w:w="2107" w:type="dxa"/>
            <w:shd w:val="clear" w:color="auto" w:fill="F2F2F2"/>
            <w:tcMar>
              <w:top w:w="100" w:type="dxa"/>
              <w:left w:w="150" w:type="dxa"/>
              <w:bottom w:w="100" w:type="dxa"/>
              <w:right w:w="150" w:type="dxa"/>
            </w:tcMar>
          </w:tcPr>
          <w:p w14:paraId="3132E808" w14:textId="77777777" w:rsidR="00600A9F" w:rsidRPr="00A07C89" w:rsidRDefault="00000000" w:rsidP="00A07C89">
            <w:pPr>
              <w:spacing w:after="0"/>
              <w:rPr>
                <w:sz w:val="20"/>
                <w:szCs w:val="20"/>
              </w:rPr>
            </w:pPr>
            <w:r w:rsidRPr="00A07C89">
              <w:rPr>
                <w:b/>
                <w:sz w:val="20"/>
                <w:szCs w:val="20"/>
              </w:rPr>
              <w:t>Event Group</w:t>
            </w:r>
          </w:p>
        </w:tc>
        <w:tc>
          <w:tcPr>
            <w:tcW w:w="1499" w:type="dxa"/>
            <w:shd w:val="clear" w:color="auto" w:fill="F2F2F2"/>
            <w:tcMar>
              <w:top w:w="100" w:type="dxa"/>
              <w:left w:w="150" w:type="dxa"/>
              <w:bottom w:w="100" w:type="dxa"/>
              <w:right w:w="150" w:type="dxa"/>
            </w:tcMar>
          </w:tcPr>
          <w:p w14:paraId="08FC37FA" w14:textId="77777777" w:rsidR="00600A9F" w:rsidRPr="00A07C89" w:rsidRDefault="00000000" w:rsidP="00A07C89">
            <w:pPr>
              <w:spacing w:after="0"/>
              <w:rPr>
                <w:sz w:val="20"/>
                <w:szCs w:val="20"/>
              </w:rPr>
            </w:pPr>
            <w:r w:rsidRPr="00A07C89">
              <w:rPr>
                <w:b/>
                <w:sz w:val="20"/>
                <w:szCs w:val="20"/>
              </w:rPr>
              <w:t>Mechanism</w:t>
            </w:r>
          </w:p>
        </w:tc>
        <w:tc>
          <w:tcPr>
            <w:tcW w:w="1337" w:type="dxa"/>
            <w:shd w:val="clear" w:color="auto" w:fill="F2F2F2"/>
            <w:tcMar>
              <w:top w:w="100" w:type="dxa"/>
              <w:left w:w="150" w:type="dxa"/>
              <w:bottom w:w="100" w:type="dxa"/>
              <w:right w:w="150" w:type="dxa"/>
            </w:tcMar>
          </w:tcPr>
          <w:p w14:paraId="4EFC26B8" w14:textId="77777777" w:rsidR="00600A9F" w:rsidRPr="00A07C89" w:rsidRDefault="00000000" w:rsidP="00A07C89">
            <w:pPr>
              <w:spacing w:after="0"/>
              <w:rPr>
                <w:sz w:val="20"/>
                <w:szCs w:val="20"/>
              </w:rPr>
            </w:pPr>
            <w:r w:rsidRPr="00A07C89">
              <w:rPr>
                <w:b/>
                <w:sz w:val="20"/>
                <w:szCs w:val="20"/>
              </w:rPr>
              <w:t>Horizon</w:t>
            </w:r>
          </w:p>
        </w:tc>
        <w:tc>
          <w:tcPr>
            <w:tcW w:w="1337" w:type="dxa"/>
            <w:shd w:val="clear" w:color="auto" w:fill="F2F2F2"/>
            <w:tcMar>
              <w:top w:w="100" w:type="dxa"/>
              <w:left w:w="150" w:type="dxa"/>
              <w:bottom w:w="100" w:type="dxa"/>
              <w:right w:w="150" w:type="dxa"/>
            </w:tcMar>
          </w:tcPr>
          <w:p w14:paraId="3A6643D3" w14:textId="77777777" w:rsidR="00600A9F" w:rsidRPr="00A07C89" w:rsidRDefault="00000000" w:rsidP="00A07C89">
            <w:pPr>
              <w:spacing w:after="0"/>
              <w:rPr>
                <w:sz w:val="20"/>
                <w:szCs w:val="20"/>
              </w:rPr>
            </w:pPr>
            <w:r w:rsidRPr="00A07C89">
              <w:rPr>
                <w:b/>
                <w:sz w:val="20"/>
                <w:szCs w:val="20"/>
              </w:rPr>
              <w:t>Count</w:t>
            </w:r>
          </w:p>
        </w:tc>
        <w:tc>
          <w:tcPr>
            <w:tcW w:w="1337" w:type="dxa"/>
            <w:shd w:val="clear" w:color="auto" w:fill="F2F2F2"/>
            <w:tcMar>
              <w:top w:w="100" w:type="dxa"/>
              <w:left w:w="150" w:type="dxa"/>
              <w:bottom w:w="100" w:type="dxa"/>
              <w:right w:w="150" w:type="dxa"/>
            </w:tcMar>
          </w:tcPr>
          <w:p w14:paraId="0044CD79" w14:textId="77777777" w:rsidR="00600A9F" w:rsidRPr="00A07C89" w:rsidRDefault="00000000" w:rsidP="00A07C89">
            <w:pPr>
              <w:spacing w:after="0"/>
              <w:rPr>
                <w:sz w:val="20"/>
                <w:szCs w:val="20"/>
              </w:rPr>
            </w:pPr>
            <w:r w:rsidRPr="00A07C89">
              <w:rPr>
                <w:b/>
                <w:sz w:val="20"/>
                <w:szCs w:val="20"/>
              </w:rPr>
              <w:t>Mean Return</w:t>
            </w:r>
          </w:p>
        </w:tc>
        <w:tc>
          <w:tcPr>
            <w:tcW w:w="1337" w:type="dxa"/>
            <w:shd w:val="clear" w:color="auto" w:fill="F2F2F2"/>
            <w:tcMar>
              <w:top w:w="100" w:type="dxa"/>
              <w:left w:w="150" w:type="dxa"/>
              <w:bottom w:w="100" w:type="dxa"/>
              <w:right w:w="150" w:type="dxa"/>
            </w:tcMar>
          </w:tcPr>
          <w:p w14:paraId="6A8B49EF" w14:textId="77777777" w:rsidR="00600A9F" w:rsidRPr="00A07C89" w:rsidRDefault="00000000" w:rsidP="00A07C89">
            <w:pPr>
              <w:spacing w:after="0"/>
              <w:rPr>
                <w:sz w:val="20"/>
                <w:szCs w:val="20"/>
              </w:rPr>
            </w:pPr>
            <w:r w:rsidRPr="00A07C89">
              <w:rPr>
                <w:b/>
                <w:sz w:val="20"/>
                <w:szCs w:val="20"/>
              </w:rPr>
              <w:t>t-statistic</w:t>
            </w:r>
          </w:p>
        </w:tc>
        <w:tc>
          <w:tcPr>
            <w:tcW w:w="1337" w:type="dxa"/>
            <w:shd w:val="clear" w:color="auto" w:fill="F2F2F2"/>
            <w:tcMar>
              <w:top w:w="100" w:type="dxa"/>
              <w:left w:w="150" w:type="dxa"/>
              <w:bottom w:w="100" w:type="dxa"/>
              <w:right w:w="150" w:type="dxa"/>
            </w:tcMar>
          </w:tcPr>
          <w:p w14:paraId="7CA051C1" w14:textId="77777777" w:rsidR="00600A9F" w:rsidRPr="00A07C89" w:rsidRDefault="00000000" w:rsidP="00A07C89">
            <w:pPr>
              <w:spacing w:after="0"/>
              <w:rPr>
                <w:sz w:val="20"/>
                <w:szCs w:val="20"/>
              </w:rPr>
            </w:pPr>
            <w:r w:rsidRPr="00A07C89">
              <w:rPr>
                <w:b/>
                <w:sz w:val="20"/>
                <w:szCs w:val="20"/>
              </w:rPr>
              <w:t>p-value</w:t>
            </w:r>
          </w:p>
        </w:tc>
      </w:tr>
      <w:tr w:rsidR="00600A9F" w14:paraId="16D4FD1B" w14:textId="77777777" w:rsidTr="00A07C89">
        <w:trPr>
          <w:jc w:val="center"/>
        </w:trPr>
        <w:tc>
          <w:tcPr>
            <w:tcW w:w="2107" w:type="dxa"/>
            <w:tcMar>
              <w:top w:w="100" w:type="dxa"/>
              <w:left w:w="150" w:type="dxa"/>
              <w:bottom w:w="100" w:type="dxa"/>
              <w:right w:w="150" w:type="dxa"/>
            </w:tcMar>
          </w:tcPr>
          <w:p w14:paraId="55EE96D8"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3D1DD10F" w14:textId="77777777" w:rsidR="00600A9F" w:rsidRPr="00A07C89" w:rsidRDefault="00000000" w:rsidP="00A07C89">
            <w:pPr>
              <w:spacing w:after="0"/>
              <w:rPr>
                <w:sz w:val="20"/>
                <w:szCs w:val="20"/>
              </w:rPr>
            </w:pPr>
            <w:r w:rsidRPr="00A07C89">
              <w:rPr>
                <w:sz w:val="20"/>
                <w:szCs w:val="20"/>
              </w:rPr>
              <w:t>Contrarian Long (+)</w:t>
            </w:r>
          </w:p>
        </w:tc>
        <w:tc>
          <w:tcPr>
            <w:tcW w:w="1337" w:type="dxa"/>
            <w:tcMar>
              <w:top w:w="100" w:type="dxa"/>
              <w:left w:w="150" w:type="dxa"/>
              <w:bottom w:w="100" w:type="dxa"/>
              <w:right w:w="150" w:type="dxa"/>
            </w:tcMar>
          </w:tcPr>
          <w:p w14:paraId="3BE9F834" w14:textId="77777777" w:rsidR="00600A9F" w:rsidRPr="00A07C89" w:rsidRDefault="00000000" w:rsidP="00A07C89">
            <w:pPr>
              <w:spacing w:after="0"/>
              <w:rPr>
                <w:sz w:val="20"/>
                <w:szCs w:val="20"/>
              </w:rPr>
            </w:pPr>
            <w:r w:rsidRPr="00A07C89">
              <w:rPr>
                <w:sz w:val="20"/>
                <w:szCs w:val="20"/>
              </w:rPr>
              <w:t>1d</w:t>
            </w:r>
          </w:p>
        </w:tc>
        <w:tc>
          <w:tcPr>
            <w:tcW w:w="1337" w:type="dxa"/>
            <w:tcMar>
              <w:top w:w="100" w:type="dxa"/>
              <w:left w:w="150" w:type="dxa"/>
              <w:bottom w:w="100" w:type="dxa"/>
              <w:right w:w="150" w:type="dxa"/>
            </w:tcMar>
          </w:tcPr>
          <w:p w14:paraId="19E3AEDF"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4EB85B88" w14:textId="77777777" w:rsidR="00600A9F" w:rsidRPr="00A07C89" w:rsidRDefault="00000000" w:rsidP="00A07C89">
            <w:pPr>
              <w:spacing w:after="0"/>
              <w:rPr>
                <w:sz w:val="20"/>
                <w:szCs w:val="20"/>
              </w:rPr>
            </w:pPr>
            <w:r w:rsidRPr="00A07C89">
              <w:rPr>
                <w:sz w:val="20"/>
                <w:szCs w:val="20"/>
              </w:rPr>
              <w:t>0.95%</w:t>
            </w:r>
          </w:p>
        </w:tc>
        <w:tc>
          <w:tcPr>
            <w:tcW w:w="1337" w:type="dxa"/>
            <w:tcMar>
              <w:top w:w="100" w:type="dxa"/>
              <w:left w:w="150" w:type="dxa"/>
              <w:bottom w:w="100" w:type="dxa"/>
              <w:right w:w="150" w:type="dxa"/>
            </w:tcMar>
          </w:tcPr>
          <w:p w14:paraId="119C44EE" w14:textId="77777777" w:rsidR="00600A9F" w:rsidRPr="00A07C89" w:rsidRDefault="00000000" w:rsidP="00A07C89">
            <w:pPr>
              <w:spacing w:after="0"/>
              <w:rPr>
                <w:sz w:val="20"/>
                <w:szCs w:val="20"/>
              </w:rPr>
            </w:pPr>
            <w:r w:rsidRPr="00A07C89">
              <w:rPr>
                <w:sz w:val="20"/>
                <w:szCs w:val="20"/>
              </w:rPr>
              <w:t>2.962</w:t>
            </w:r>
          </w:p>
        </w:tc>
        <w:tc>
          <w:tcPr>
            <w:tcW w:w="1337" w:type="dxa"/>
            <w:tcMar>
              <w:top w:w="100" w:type="dxa"/>
              <w:left w:w="150" w:type="dxa"/>
              <w:bottom w:w="100" w:type="dxa"/>
              <w:right w:w="150" w:type="dxa"/>
            </w:tcMar>
          </w:tcPr>
          <w:p w14:paraId="330D0DBE" w14:textId="77777777" w:rsidR="00600A9F" w:rsidRPr="00A07C89" w:rsidRDefault="00000000" w:rsidP="00A07C89">
            <w:pPr>
              <w:spacing w:after="0"/>
              <w:rPr>
                <w:sz w:val="20"/>
                <w:szCs w:val="20"/>
              </w:rPr>
            </w:pPr>
            <w:r w:rsidRPr="00A07C89">
              <w:rPr>
                <w:sz w:val="20"/>
                <w:szCs w:val="20"/>
              </w:rPr>
              <w:t>0.00371</w:t>
            </w:r>
          </w:p>
        </w:tc>
      </w:tr>
      <w:tr w:rsidR="00600A9F" w14:paraId="2F61DC3E" w14:textId="77777777" w:rsidTr="00A07C89">
        <w:trPr>
          <w:jc w:val="center"/>
        </w:trPr>
        <w:tc>
          <w:tcPr>
            <w:tcW w:w="2107" w:type="dxa"/>
            <w:tcMar>
              <w:top w:w="100" w:type="dxa"/>
              <w:left w:w="150" w:type="dxa"/>
              <w:bottom w:w="100" w:type="dxa"/>
              <w:right w:w="150" w:type="dxa"/>
            </w:tcMar>
          </w:tcPr>
          <w:p w14:paraId="03FEA870"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5B9089EE" w14:textId="77777777" w:rsidR="00600A9F" w:rsidRPr="00A07C89" w:rsidRDefault="00000000" w:rsidP="00A07C89">
            <w:pPr>
              <w:spacing w:after="0"/>
              <w:rPr>
                <w:sz w:val="20"/>
                <w:szCs w:val="20"/>
              </w:rPr>
            </w:pPr>
            <w:r w:rsidRPr="00A07C89">
              <w:rPr>
                <w:sz w:val="20"/>
                <w:szCs w:val="20"/>
              </w:rPr>
              <w:t xml:space="preserve">Contrarian </w:t>
            </w:r>
            <w:r w:rsidRPr="00A07C89">
              <w:rPr>
                <w:sz w:val="20"/>
                <w:szCs w:val="20"/>
              </w:rPr>
              <w:lastRenderedPageBreak/>
              <w:t>Long (+)</w:t>
            </w:r>
          </w:p>
        </w:tc>
        <w:tc>
          <w:tcPr>
            <w:tcW w:w="1337" w:type="dxa"/>
            <w:tcMar>
              <w:top w:w="100" w:type="dxa"/>
              <w:left w:w="150" w:type="dxa"/>
              <w:bottom w:w="100" w:type="dxa"/>
              <w:right w:w="150" w:type="dxa"/>
            </w:tcMar>
          </w:tcPr>
          <w:p w14:paraId="530866F9" w14:textId="77777777" w:rsidR="00600A9F" w:rsidRPr="00A07C89" w:rsidRDefault="00000000" w:rsidP="00A07C89">
            <w:pPr>
              <w:spacing w:after="0"/>
              <w:rPr>
                <w:sz w:val="20"/>
                <w:szCs w:val="20"/>
              </w:rPr>
            </w:pPr>
            <w:r w:rsidRPr="00A07C89">
              <w:rPr>
                <w:sz w:val="20"/>
                <w:szCs w:val="20"/>
              </w:rPr>
              <w:lastRenderedPageBreak/>
              <w:t>3d</w:t>
            </w:r>
          </w:p>
        </w:tc>
        <w:tc>
          <w:tcPr>
            <w:tcW w:w="1337" w:type="dxa"/>
            <w:tcMar>
              <w:top w:w="100" w:type="dxa"/>
              <w:left w:w="150" w:type="dxa"/>
              <w:bottom w:w="100" w:type="dxa"/>
              <w:right w:w="150" w:type="dxa"/>
            </w:tcMar>
          </w:tcPr>
          <w:p w14:paraId="04632D6F"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6BD2C008" w14:textId="77777777" w:rsidR="00600A9F" w:rsidRPr="00A07C89" w:rsidRDefault="00000000" w:rsidP="00A07C89">
            <w:pPr>
              <w:spacing w:after="0"/>
              <w:rPr>
                <w:sz w:val="20"/>
                <w:szCs w:val="20"/>
              </w:rPr>
            </w:pPr>
            <w:r w:rsidRPr="00A07C89">
              <w:rPr>
                <w:sz w:val="20"/>
                <w:szCs w:val="20"/>
              </w:rPr>
              <w:t>1.85%</w:t>
            </w:r>
          </w:p>
        </w:tc>
        <w:tc>
          <w:tcPr>
            <w:tcW w:w="1337" w:type="dxa"/>
            <w:tcMar>
              <w:top w:w="100" w:type="dxa"/>
              <w:left w:w="150" w:type="dxa"/>
              <w:bottom w:w="100" w:type="dxa"/>
              <w:right w:w="150" w:type="dxa"/>
            </w:tcMar>
          </w:tcPr>
          <w:p w14:paraId="0F1DE267" w14:textId="77777777" w:rsidR="00600A9F" w:rsidRPr="00A07C89" w:rsidRDefault="00000000" w:rsidP="00A07C89">
            <w:pPr>
              <w:spacing w:after="0"/>
              <w:rPr>
                <w:sz w:val="20"/>
                <w:szCs w:val="20"/>
              </w:rPr>
            </w:pPr>
            <w:r w:rsidRPr="00A07C89">
              <w:rPr>
                <w:sz w:val="20"/>
                <w:szCs w:val="20"/>
              </w:rPr>
              <w:t>3.672</w:t>
            </w:r>
          </w:p>
        </w:tc>
        <w:tc>
          <w:tcPr>
            <w:tcW w:w="1337" w:type="dxa"/>
            <w:tcMar>
              <w:top w:w="100" w:type="dxa"/>
              <w:left w:w="150" w:type="dxa"/>
              <w:bottom w:w="100" w:type="dxa"/>
              <w:right w:w="150" w:type="dxa"/>
            </w:tcMar>
          </w:tcPr>
          <w:p w14:paraId="088347B0" w14:textId="77777777" w:rsidR="00600A9F" w:rsidRPr="00A07C89" w:rsidRDefault="00000000" w:rsidP="00A07C89">
            <w:pPr>
              <w:spacing w:after="0"/>
              <w:rPr>
                <w:sz w:val="20"/>
                <w:szCs w:val="20"/>
              </w:rPr>
            </w:pPr>
            <w:r w:rsidRPr="00A07C89">
              <w:rPr>
                <w:sz w:val="20"/>
                <w:szCs w:val="20"/>
              </w:rPr>
              <w:t>0.00036</w:t>
            </w:r>
          </w:p>
        </w:tc>
      </w:tr>
      <w:tr w:rsidR="00600A9F" w14:paraId="34950CF4" w14:textId="77777777" w:rsidTr="00A07C89">
        <w:trPr>
          <w:jc w:val="center"/>
        </w:trPr>
        <w:tc>
          <w:tcPr>
            <w:tcW w:w="2107" w:type="dxa"/>
            <w:tcMar>
              <w:top w:w="100" w:type="dxa"/>
              <w:left w:w="150" w:type="dxa"/>
              <w:bottom w:w="100" w:type="dxa"/>
              <w:right w:w="150" w:type="dxa"/>
            </w:tcMar>
          </w:tcPr>
          <w:p w14:paraId="584AFDEE"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4FFC7145" w14:textId="77777777" w:rsidR="00600A9F" w:rsidRPr="00A07C89" w:rsidRDefault="00000000" w:rsidP="00A07C89">
            <w:pPr>
              <w:spacing w:after="0"/>
              <w:rPr>
                <w:sz w:val="20"/>
                <w:szCs w:val="20"/>
              </w:rPr>
            </w:pPr>
            <w:r w:rsidRPr="00A07C89">
              <w:rPr>
                <w:sz w:val="20"/>
                <w:szCs w:val="20"/>
              </w:rPr>
              <w:t>Contrarian Long (+)</w:t>
            </w:r>
          </w:p>
        </w:tc>
        <w:tc>
          <w:tcPr>
            <w:tcW w:w="1337" w:type="dxa"/>
            <w:tcMar>
              <w:top w:w="100" w:type="dxa"/>
              <w:left w:w="150" w:type="dxa"/>
              <w:bottom w:w="100" w:type="dxa"/>
              <w:right w:w="150" w:type="dxa"/>
            </w:tcMar>
          </w:tcPr>
          <w:p w14:paraId="22924DCB" w14:textId="77777777" w:rsidR="00600A9F" w:rsidRPr="00A07C89" w:rsidRDefault="00000000" w:rsidP="00A07C89">
            <w:pPr>
              <w:spacing w:after="0"/>
              <w:rPr>
                <w:sz w:val="20"/>
                <w:szCs w:val="20"/>
              </w:rPr>
            </w:pPr>
            <w:r w:rsidRPr="00A07C89">
              <w:rPr>
                <w:sz w:val="20"/>
                <w:szCs w:val="20"/>
              </w:rPr>
              <w:t>7d</w:t>
            </w:r>
          </w:p>
        </w:tc>
        <w:tc>
          <w:tcPr>
            <w:tcW w:w="1337" w:type="dxa"/>
            <w:tcMar>
              <w:top w:w="100" w:type="dxa"/>
              <w:left w:w="150" w:type="dxa"/>
              <w:bottom w:w="100" w:type="dxa"/>
              <w:right w:w="150" w:type="dxa"/>
            </w:tcMar>
          </w:tcPr>
          <w:p w14:paraId="61BF2389"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7CC320D9" w14:textId="77777777" w:rsidR="00600A9F" w:rsidRPr="00A07C89" w:rsidRDefault="00000000" w:rsidP="00A07C89">
            <w:pPr>
              <w:spacing w:after="0"/>
              <w:rPr>
                <w:sz w:val="20"/>
                <w:szCs w:val="20"/>
              </w:rPr>
            </w:pPr>
            <w:r w:rsidRPr="00A07C89">
              <w:rPr>
                <w:sz w:val="20"/>
                <w:szCs w:val="20"/>
              </w:rPr>
              <w:t>4.95%</w:t>
            </w:r>
          </w:p>
        </w:tc>
        <w:tc>
          <w:tcPr>
            <w:tcW w:w="1337" w:type="dxa"/>
            <w:tcMar>
              <w:top w:w="100" w:type="dxa"/>
              <w:left w:w="150" w:type="dxa"/>
              <w:bottom w:w="100" w:type="dxa"/>
              <w:right w:w="150" w:type="dxa"/>
            </w:tcMar>
          </w:tcPr>
          <w:p w14:paraId="64D01C1E" w14:textId="77777777" w:rsidR="00600A9F" w:rsidRPr="00A07C89" w:rsidRDefault="00000000" w:rsidP="00A07C89">
            <w:pPr>
              <w:spacing w:after="0"/>
              <w:rPr>
                <w:sz w:val="20"/>
                <w:szCs w:val="20"/>
              </w:rPr>
            </w:pPr>
            <w:r w:rsidRPr="00A07C89">
              <w:rPr>
                <w:sz w:val="20"/>
                <w:szCs w:val="20"/>
              </w:rPr>
              <w:t>5.949</w:t>
            </w:r>
          </w:p>
        </w:tc>
        <w:tc>
          <w:tcPr>
            <w:tcW w:w="1337" w:type="dxa"/>
            <w:tcMar>
              <w:top w:w="100" w:type="dxa"/>
              <w:left w:w="150" w:type="dxa"/>
              <w:bottom w:w="100" w:type="dxa"/>
              <w:right w:w="150" w:type="dxa"/>
            </w:tcMar>
          </w:tcPr>
          <w:p w14:paraId="1ED38B55" w14:textId="77777777" w:rsidR="00600A9F" w:rsidRPr="00A07C89" w:rsidRDefault="00000000" w:rsidP="00A07C89">
            <w:pPr>
              <w:spacing w:after="0"/>
              <w:rPr>
                <w:sz w:val="20"/>
                <w:szCs w:val="20"/>
              </w:rPr>
            </w:pPr>
            <w:r w:rsidRPr="00A07C89">
              <w:rPr>
                <w:sz w:val="20"/>
                <w:szCs w:val="20"/>
              </w:rPr>
              <w:t>0.00000</w:t>
            </w:r>
          </w:p>
        </w:tc>
      </w:tr>
      <w:tr w:rsidR="00600A9F" w14:paraId="7CA3A6CB" w14:textId="77777777" w:rsidTr="00A07C89">
        <w:trPr>
          <w:jc w:val="center"/>
        </w:trPr>
        <w:tc>
          <w:tcPr>
            <w:tcW w:w="2107" w:type="dxa"/>
            <w:tcMar>
              <w:top w:w="100" w:type="dxa"/>
              <w:left w:w="150" w:type="dxa"/>
              <w:bottom w:w="100" w:type="dxa"/>
              <w:right w:w="150" w:type="dxa"/>
            </w:tcMar>
          </w:tcPr>
          <w:p w14:paraId="551EB4A5"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16050D23"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5AD5C078" w14:textId="77777777" w:rsidR="00600A9F" w:rsidRPr="00A07C89" w:rsidRDefault="00000000" w:rsidP="00A07C89">
            <w:pPr>
              <w:spacing w:after="0"/>
              <w:rPr>
                <w:sz w:val="20"/>
                <w:szCs w:val="20"/>
              </w:rPr>
            </w:pPr>
            <w:r w:rsidRPr="00A07C89">
              <w:rPr>
                <w:sz w:val="20"/>
                <w:szCs w:val="20"/>
              </w:rPr>
              <w:t>1d</w:t>
            </w:r>
          </w:p>
        </w:tc>
        <w:tc>
          <w:tcPr>
            <w:tcW w:w="1337" w:type="dxa"/>
            <w:tcMar>
              <w:top w:w="100" w:type="dxa"/>
              <w:left w:w="150" w:type="dxa"/>
              <w:bottom w:w="100" w:type="dxa"/>
              <w:right w:w="150" w:type="dxa"/>
            </w:tcMar>
          </w:tcPr>
          <w:p w14:paraId="5545A3BE"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6BA79C4B" w14:textId="77777777" w:rsidR="00600A9F" w:rsidRPr="00A07C89" w:rsidRDefault="00000000" w:rsidP="00A07C89">
            <w:pPr>
              <w:spacing w:after="0"/>
              <w:rPr>
                <w:sz w:val="20"/>
                <w:szCs w:val="20"/>
              </w:rPr>
            </w:pPr>
            <w:r w:rsidRPr="00A07C89">
              <w:rPr>
                <w:sz w:val="20"/>
                <w:szCs w:val="20"/>
              </w:rPr>
              <w:t>0.02%</w:t>
            </w:r>
          </w:p>
        </w:tc>
        <w:tc>
          <w:tcPr>
            <w:tcW w:w="1337" w:type="dxa"/>
            <w:tcMar>
              <w:top w:w="100" w:type="dxa"/>
              <w:left w:w="150" w:type="dxa"/>
              <w:bottom w:w="100" w:type="dxa"/>
              <w:right w:w="150" w:type="dxa"/>
            </w:tcMar>
          </w:tcPr>
          <w:p w14:paraId="1823D525" w14:textId="77777777" w:rsidR="00600A9F" w:rsidRPr="00A07C89" w:rsidRDefault="00000000" w:rsidP="00A07C89">
            <w:pPr>
              <w:spacing w:after="0"/>
              <w:rPr>
                <w:sz w:val="20"/>
                <w:szCs w:val="20"/>
              </w:rPr>
            </w:pPr>
            <w:r w:rsidRPr="00A07C89">
              <w:rPr>
                <w:sz w:val="20"/>
                <w:szCs w:val="20"/>
              </w:rPr>
              <w:t>0.060</w:t>
            </w:r>
          </w:p>
        </w:tc>
        <w:tc>
          <w:tcPr>
            <w:tcW w:w="1337" w:type="dxa"/>
            <w:tcMar>
              <w:top w:w="100" w:type="dxa"/>
              <w:left w:w="150" w:type="dxa"/>
              <w:bottom w:w="100" w:type="dxa"/>
              <w:right w:w="150" w:type="dxa"/>
            </w:tcMar>
          </w:tcPr>
          <w:p w14:paraId="31B4B57F" w14:textId="77777777" w:rsidR="00600A9F" w:rsidRPr="00A07C89" w:rsidRDefault="00000000" w:rsidP="00A07C89">
            <w:pPr>
              <w:spacing w:after="0"/>
              <w:rPr>
                <w:sz w:val="20"/>
                <w:szCs w:val="20"/>
              </w:rPr>
            </w:pPr>
            <w:r w:rsidRPr="00A07C89">
              <w:rPr>
                <w:sz w:val="20"/>
                <w:szCs w:val="20"/>
              </w:rPr>
              <w:t>0.95212</w:t>
            </w:r>
          </w:p>
        </w:tc>
      </w:tr>
      <w:tr w:rsidR="00600A9F" w14:paraId="26F7BB7F" w14:textId="77777777" w:rsidTr="00A07C89">
        <w:trPr>
          <w:jc w:val="center"/>
        </w:trPr>
        <w:tc>
          <w:tcPr>
            <w:tcW w:w="2107" w:type="dxa"/>
            <w:tcMar>
              <w:top w:w="100" w:type="dxa"/>
              <w:left w:w="150" w:type="dxa"/>
              <w:bottom w:w="100" w:type="dxa"/>
              <w:right w:w="150" w:type="dxa"/>
            </w:tcMar>
          </w:tcPr>
          <w:p w14:paraId="2D42BBE6"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742F2DA9"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50F794B2" w14:textId="77777777" w:rsidR="00600A9F" w:rsidRPr="00A07C89" w:rsidRDefault="00000000" w:rsidP="00A07C89">
            <w:pPr>
              <w:spacing w:after="0"/>
              <w:rPr>
                <w:sz w:val="20"/>
                <w:szCs w:val="20"/>
              </w:rPr>
            </w:pPr>
            <w:r w:rsidRPr="00A07C89">
              <w:rPr>
                <w:sz w:val="20"/>
                <w:szCs w:val="20"/>
              </w:rPr>
              <w:t>3d</w:t>
            </w:r>
          </w:p>
        </w:tc>
        <w:tc>
          <w:tcPr>
            <w:tcW w:w="1337" w:type="dxa"/>
            <w:tcMar>
              <w:top w:w="100" w:type="dxa"/>
              <w:left w:w="150" w:type="dxa"/>
              <w:bottom w:w="100" w:type="dxa"/>
              <w:right w:w="150" w:type="dxa"/>
            </w:tcMar>
          </w:tcPr>
          <w:p w14:paraId="45104482"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1C2112E2" w14:textId="77777777" w:rsidR="00600A9F" w:rsidRPr="00A07C89" w:rsidRDefault="00000000" w:rsidP="00A07C89">
            <w:pPr>
              <w:spacing w:after="0"/>
              <w:rPr>
                <w:sz w:val="20"/>
                <w:szCs w:val="20"/>
              </w:rPr>
            </w:pPr>
            <w:r w:rsidRPr="00A07C89">
              <w:rPr>
                <w:sz w:val="20"/>
                <w:szCs w:val="20"/>
              </w:rPr>
              <w:t>1.02%</w:t>
            </w:r>
          </w:p>
        </w:tc>
        <w:tc>
          <w:tcPr>
            <w:tcW w:w="1337" w:type="dxa"/>
            <w:tcMar>
              <w:top w:w="100" w:type="dxa"/>
              <w:left w:w="150" w:type="dxa"/>
              <w:bottom w:w="100" w:type="dxa"/>
              <w:right w:w="150" w:type="dxa"/>
            </w:tcMar>
          </w:tcPr>
          <w:p w14:paraId="3BDE31E8" w14:textId="77777777" w:rsidR="00600A9F" w:rsidRPr="00A07C89" w:rsidRDefault="00000000" w:rsidP="00A07C89">
            <w:pPr>
              <w:spacing w:after="0"/>
              <w:rPr>
                <w:sz w:val="20"/>
                <w:szCs w:val="20"/>
              </w:rPr>
            </w:pPr>
            <w:r w:rsidRPr="00A07C89">
              <w:rPr>
                <w:sz w:val="20"/>
                <w:szCs w:val="20"/>
              </w:rPr>
              <w:t>1.481</w:t>
            </w:r>
          </w:p>
        </w:tc>
        <w:tc>
          <w:tcPr>
            <w:tcW w:w="1337" w:type="dxa"/>
            <w:tcMar>
              <w:top w:w="100" w:type="dxa"/>
              <w:left w:w="150" w:type="dxa"/>
              <w:bottom w:w="100" w:type="dxa"/>
              <w:right w:w="150" w:type="dxa"/>
            </w:tcMar>
          </w:tcPr>
          <w:p w14:paraId="562D67E6" w14:textId="77777777" w:rsidR="00600A9F" w:rsidRPr="00A07C89" w:rsidRDefault="00000000" w:rsidP="00A07C89">
            <w:pPr>
              <w:spacing w:after="0"/>
              <w:rPr>
                <w:sz w:val="20"/>
                <w:szCs w:val="20"/>
              </w:rPr>
            </w:pPr>
            <w:r w:rsidRPr="00A07C89">
              <w:rPr>
                <w:sz w:val="20"/>
                <w:szCs w:val="20"/>
              </w:rPr>
              <w:t>0.14137</w:t>
            </w:r>
          </w:p>
        </w:tc>
      </w:tr>
      <w:tr w:rsidR="00600A9F" w14:paraId="0FDC0293" w14:textId="77777777" w:rsidTr="00A07C89">
        <w:trPr>
          <w:jc w:val="center"/>
        </w:trPr>
        <w:tc>
          <w:tcPr>
            <w:tcW w:w="2107" w:type="dxa"/>
            <w:tcMar>
              <w:top w:w="100" w:type="dxa"/>
              <w:left w:w="150" w:type="dxa"/>
              <w:bottom w:w="100" w:type="dxa"/>
              <w:right w:w="150" w:type="dxa"/>
            </w:tcMar>
          </w:tcPr>
          <w:p w14:paraId="08E0C1EB"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317C127D"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7FDE0F23" w14:textId="77777777" w:rsidR="00600A9F" w:rsidRPr="00A07C89" w:rsidRDefault="00000000" w:rsidP="00A07C89">
            <w:pPr>
              <w:spacing w:after="0"/>
              <w:rPr>
                <w:sz w:val="20"/>
                <w:szCs w:val="20"/>
              </w:rPr>
            </w:pPr>
            <w:r w:rsidRPr="00A07C89">
              <w:rPr>
                <w:sz w:val="20"/>
                <w:szCs w:val="20"/>
              </w:rPr>
              <w:t>7d</w:t>
            </w:r>
          </w:p>
        </w:tc>
        <w:tc>
          <w:tcPr>
            <w:tcW w:w="1337" w:type="dxa"/>
            <w:tcMar>
              <w:top w:w="100" w:type="dxa"/>
              <w:left w:w="150" w:type="dxa"/>
              <w:bottom w:w="100" w:type="dxa"/>
              <w:right w:w="150" w:type="dxa"/>
            </w:tcMar>
          </w:tcPr>
          <w:p w14:paraId="04F7A7BB"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2BEA67B5" w14:textId="77777777" w:rsidR="00600A9F" w:rsidRPr="00A07C89" w:rsidRDefault="00000000" w:rsidP="00A07C89">
            <w:pPr>
              <w:spacing w:after="0"/>
              <w:rPr>
                <w:sz w:val="20"/>
                <w:szCs w:val="20"/>
              </w:rPr>
            </w:pPr>
            <w:r w:rsidRPr="00A07C89">
              <w:rPr>
                <w:sz w:val="20"/>
                <w:szCs w:val="20"/>
              </w:rPr>
              <w:t>1.20%</w:t>
            </w:r>
          </w:p>
        </w:tc>
        <w:tc>
          <w:tcPr>
            <w:tcW w:w="1337" w:type="dxa"/>
            <w:tcMar>
              <w:top w:w="100" w:type="dxa"/>
              <w:left w:w="150" w:type="dxa"/>
              <w:bottom w:w="100" w:type="dxa"/>
              <w:right w:w="150" w:type="dxa"/>
            </w:tcMar>
          </w:tcPr>
          <w:p w14:paraId="5A995C20" w14:textId="77777777" w:rsidR="00600A9F" w:rsidRPr="00A07C89" w:rsidRDefault="00000000" w:rsidP="00A07C89">
            <w:pPr>
              <w:spacing w:after="0"/>
              <w:rPr>
                <w:sz w:val="20"/>
                <w:szCs w:val="20"/>
              </w:rPr>
            </w:pPr>
            <w:r w:rsidRPr="00A07C89">
              <w:rPr>
                <w:sz w:val="20"/>
                <w:szCs w:val="20"/>
              </w:rPr>
              <w:t>1.078</w:t>
            </w:r>
          </w:p>
        </w:tc>
        <w:tc>
          <w:tcPr>
            <w:tcW w:w="1337" w:type="dxa"/>
            <w:tcMar>
              <w:top w:w="100" w:type="dxa"/>
              <w:left w:w="150" w:type="dxa"/>
              <w:bottom w:w="100" w:type="dxa"/>
              <w:right w:w="150" w:type="dxa"/>
            </w:tcMar>
          </w:tcPr>
          <w:p w14:paraId="48701B81" w14:textId="77777777" w:rsidR="00600A9F" w:rsidRPr="00A07C89" w:rsidRDefault="00000000" w:rsidP="00A07C89">
            <w:pPr>
              <w:spacing w:after="0"/>
              <w:rPr>
                <w:sz w:val="20"/>
                <w:szCs w:val="20"/>
              </w:rPr>
            </w:pPr>
            <w:r w:rsidRPr="00A07C89">
              <w:rPr>
                <w:sz w:val="20"/>
                <w:szCs w:val="20"/>
              </w:rPr>
              <w:t>0.28330</w:t>
            </w:r>
          </w:p>
        </w:tc>
      </w:tr>
    </w:tbl>
    <w:p w14:paraId="065B8BA9" w14:textId="77777777" w:rsidR="00600A9F" w:rsidRDefault="00600A9F"/>
    <w:p w14:paraId="01098619" w14:textId="77777777" w:rsidR="00600A9F" w:rsidRDefault="00000000">
      <w:pPr>
        <w:spacing w:before="360" w:after="120"/>
      </w:pPr>
      <w:r>
        <w:rPr>
          <w:b/>
          <w:sz w:val="32"/>
        </w:rPr>
        <w:t>5. Rule-Based Backtest Results</w:t>
      </w:r>
    </w:p>
    <w:p w14:paraId="656A2D4B" w14:textId="77777777" w:rsidR="00600A9F" w:rsidRDefault="00000000">
      <w:pPr>
        <w:spacing w:after="120"/>
      </w:pPr>
      <w:r>
        <w:t>Trading Strategy Setup: The backtest is run from July 2020 to May 2026. The rule-based Contrarian Funding Strategy generates signals daily. To avoid look-ahead bias, thresholds are calculated rolling over a 90-day window. Today's signal is executed tomorrow: we go Long tomorrow (+1.0 weight) if today's funding is below the rolling 90-day 5th percentile (crowded shorts); we go Short tomorrow (-1.0 weight) if today's funding is above the rolling 90-day 95th percentile (crowded longs); otherwise we go Flat (0.0 weight). The backtest incorporates a 0.1% transaction fee, 0.05% slippage, and daily perpetual funding payments/receipts.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92"/>
        <w:gridCol w:w="2340"/>
        <w:gridCol w:w="2340"/>
      </w:tblGrid>
      <w:tr w:rsidR="00600A9F" w14:paraId="2D3B7AA9" w14:textId="77777777" w:rsidTr="0024491D">
        <w:trPr>
          <w:jc w:val="center"/>
        </w:trPr>
        <w:tc>
          <w:tcPr>
            <w:tcW w:w="3048" w:type="dxa"/>
            <w:shd w:val="clear" w:color="auto" w:fill="F2F2F2"/>
            <w:tcMar>
              <w:top w:w="100" w:type="dxa"/>
              <w:left w:w="150" w:type="dxa"/>
              <w:bottom w:w="100" w:type="dxa"/>
              <w:right w:w="150" w:type="dxa"/>
            </w:tcMar>
          </w:tcPr>
          <w:p w14:paraId="355889A3" w14:textId="77777777" w:rsidR="00600A9F" w:rsidRPr="00A07C89" w:rsidRDefault="00000000" w:rsidP="00A07C89">
            <w:pPr>
              <w:spacing w:after="0"/>
              <w:rPr>
                <w:sz w:val="20"/>
                <w:szCs w:val="20"/>
              </w:rPr>
            </w:pPr>
            <w:r w:rsidRPr="00A07C89">
              <w:rPr>
                <w:sz w:val="20"/>
                <w:szCs w:val="20"/>
              </w:rPr>
              <w:t>Performance Metric</w:t>
            </w:r>
          </w:p>
        </w:tc>
        <w:tc>
          <w:tcPr>
            <w:tcW w:w="3192" w:type="dxa"/>
            <w:shd w:val="clear" w:color="auto" w:fill="F2F2F2"/>
            <w:tcMar>
              <w:top w:w="100" w:type="dxa"/>
              <w:left w:w="150" w:type="dxa"/>
              <w:bottom w:w="100" w:type="dxa"/>
              <w:right w:w="150" w:type="dxa"/>
            </w:tcMar>
          </w:tcPr>
          <w:p w14:paraId="20A50D08" w14:textId="77777777" w:rsidR="00600A9F" w:rsidRPr="00A07C89" w:rsidRDefault="00000000" w:rsidP="00A07C89">
            <w:pPr>
              <w:spacing w:after="0"/>
              <w:rPr>
                <w:sz w:val="20"/>
                <w:szCs w:val="20"/>
              </w:rPr>
            </w:pPr>
            <w:r w:rsidRPr="00A07C89">
              <w:rPr>
                <w:sz w:val="20"/>
                <w:szCs w:val="20"/>
              </w:rPr>
              <w:t>Buy &amp; Hold BTC (Spot)</w:t>
            </w:r>
          </w:p>
        </w:tc>
        <w:tc>
          <w:tcPr>
            <w:tcW w:w="2340" w:type="dxa"/>
            <w:shd w:val="clear" w:color="auto" w:fill="F2F2F2"/>
            <w:tcMar>
              <w:top w:w="100" w:type="dxa"/>
              <w:left w:w="150" w:type="dxa"/>
              <w:bottom w:w="100" w:type="dxa"/>
              <w:right w:w="150" w:type="dxa"/>
            </w:tcMar>
          </w:tcPr>
          <w:p w14:paraId="76F1A513" w14:textId="77777777" w:rsidR="00600A9F" w:rsidRPr="00A07C89" w:rsidRDefault="00000000" w:rsidP="00A07C89">
            <w:pPr>
              <w:spacing w:after="0"/>
              <w:rPr>
                <w:sz w:val="20"/>
                <w:szCs w:val="20"/>
              </w:rPr>
            </w:pPr>
            <w:r w:rsidRPr="00A07C89">
              <w:rPr>
                <w:sz w:val="20"/>
                <w:szCs w:val="20"/>
              </w:rPr>
              <w:t>SMA Crossover (50/200)</w:t>
            </w:r>
          </w:p>
        </w:tc>
        <w:tc>
          <w:tcPr>
            <w:tcW w:w="2340" w:type="dxa"/>
            <w:shd w:val="clear" w:color="auto" w:fill="F2F2F2"/>
            <w:tcMar>
              <w:top w:w="100" w:type="dxa"/>
              <w:left w:w="150" w:type="dxa"/>
              <w:bottom w:w="100" w:type="dxa"/>
              <w:right w:w="150" w:type="dxa"/>
            </w:tcMar>
          </w:tcPr>
          <w:p w14:paraId="2F56BA72" w14:textId="77777777" w:rsidR="00600A9F" w:rsidRPr="00A07C89" w:rsidRDefault="00000000" w:rsidP="00A07C89">
            <w:pPr>
              <w:spacing w:after="0"/>
              <w:rPr>
                <w:sz w:val="20"/>
                <w:szCs w:val="20"/>
              </w:rPr>
            </w:pPr>
            <w:r w:rsidRPr="00A07C89">
              <w:rPr>
                <w:sz w:val="20"/>
                <w:szCs w:val="20"/>
              </w:rPr>
              <w:t>Contrarian Funding Strategy</w:t>
            </w:r>
          </w:p>
        </w:tc>
      </w:tr>
      <w:tr w:rsidR="00600A9F" w14:paraId="68655A69" w14:textId="77777777" w:rsidTr="0024491D">
        <w:trPr>
          <w:jc w:val="center"/>
        </w:trPr>
        <w:tc>
          <w:tcPr>
            <w:tcW w:w="3048" w:type="dxa"/>
            <w:tcMar>
              <w:top w:w="100" w:type="dxa"/>
              <w:left w:w="150" w:type="dxa"/>
              <w:bottom w:w="100" w:type="dxa"/>
              <w:right w:w="150" w:type="dxa"/>
            </w:tcMar>
          </w:tcPr>
          <w:p w14:paraId="5DDD77AA" w14:textId="77777777" w:rsidR="00600A9F" w:rsidRPr="00A07C89" w:rsidRDefault="00000000" w:rsidP="00A07C89">
            <w:pPr>
              <w:spacing w:after="0"/>
              <w:rPr>
                <w:sz w:val="20"/>
                <w:szCs w:val="20"/>
              </w:rPr>
            </w:pPr>
            <w:r w:rsidRPr="00A07C89">
              <w:rPr>
                <w:sz w:val="20"/>
                <w:szCs w:val="20"/>
              </w:rPr>
              <w:t>Total Return [%]</w:t>
            </w:r>
          </w:p>
        </w:tc>
        <w:tc>
          <w:tcPr>
            <w:tcW w:w="3192" w:type="dxa"/>
            <w:tcMar>
              <w:top w:w="100" w:type="dxa"/>
              <w:left w:w="150" w:type="dxa"/>
              <w:bottom w:w="100" w:type="dxa"/>
              <w:right w:w="150" w:type="dxa"/>
            </w:tcMar>
          </w:tcPr>
          <w:p w14:paraId="14449F89" w14:textId="77777777" w:rsidR="00600A9F" w:rsidRPr="00A07C89" w:rsidRDefault="00000000" w:rsidP="00A07C89">
            <w:pPr>
              <w:spacing w:after="0"/>
              <w:rPr>
                <w:sz w:val="20"/>
                <w:szCs w:val="20"/>
              </w:rPr>
            </w:pPr>
            <w:r w:rsidRPr="00A07C89">
              <w:rPr>
                <w:sz w:val="20"/>
                <w:szCs w:val="20"/>
              </w:rPr>
              <w:t>698.83</w:t>
            </w:r>
          </w:p>
        </w:tc>
        <w:tc>
          <w:tcPr>
            <w:tcW w:w="2340" w:type="dxa"/>
            <w:tcMar>
              <w:top w:w="100" w:type="dxa"/>
              <w:left w:w="150" w:type="dxa"/>
              <w:bottom w:w="100" w:type="dxa"/>
              <w:right w:w="150" w:type="dxa"/>
            </w:tcMar>
          </w:tcPr>
          <w:p w14:paraId="27A8F807" w14:textId="77777777" w:rsidR="00600A9F" w:rsidRPr="00A07C89" w:rsidRDefault="00000000" w:rsidP="00A07C89">
            <w:pPr>
              <w:spacing w:after="0"/>
              <w:rPr>
                <w:sz w:val="20"/>
                <w:szCs w:val="20"/>
              </w:rPr>
            </w:pPr>
            <w:r w:rsidRPr="00A07C89">
              <w:rPr>
                <w:sz w:val="20"/>
                <w:szCs w:val="20"/>
              </w:rPr>
              <w:t>535.31</w:t>
            </w:r>
          </w:p>
        </w:tc>
        <w:tc>
          <w:tcPr>
            <w:tcW w:w="2340" w:type="dxa"/>
            <w:tcMar>
              <w:top w:w="100" w:type="dxa"/>
              <w:left w:w="150" w:type="dxa"/>
              <w:bottom w:w="100" w:type="dxa"/>
              <w:right w:w="150" w:type="dxa"/>
            </w:tcMar>
          </w:tcPr>
          <w:p w14:paraId="183FF34C" w14:textId="77777777" w:rsidR="00600A9F" w:rsidRPr="00A07C89" w:rsidRDefault="00000000" w:rsidP="00A07C89">
            <w:pPr>
              <w:spacing w:after="0"/>
              <w:rPr>
                <w:sz w:val="20"/>
                <w:szCs w:val="20"/>
              </w:rPr>
            </w:pPr>
            <w:r w:rsidRPr="00A07C89">
              <w:rPr>
                <w:sz w:val="20"/>
                <w:szCs w:val="20"/>
              </w:rPr>
              <w:t>9.32</w:t>
            </w:r>
          </w:p>
        </w:tc>
      </w:tr>
      <w:tr w:rsidR="00600A9F" w14:paraId="21AD68F5" w14:textId="77777777" w:rsidTr="0024491D">
        <w:trPr>
          <w:jc w:val="center"/>
        </w:trPr>
        <w:tc>
          <w:tcPr>
            <w:tcW w:w="3048" w:type="dxa"/>
            <w:tcMar>
              <w:top w:w="100" w:type="dxa"/>
              <w:left w:w="150" w:type="dxa"/>
              <w:bottom w:w="100" w:type="dxa"/>
              <w:right w:w="150" w:type="dxa"/>
            </w:tcMar>
          </w:tcPr>
          <w:p w14:paraId="134A6A01" w14:textId="77777777" w:rsidR="00600A9F" w:rsidRPr="00A07C89" w:rsidRDefault="00000000" w:rsidP="00A07C89">
            <w:pPr>
              <w:spacing w:after="0"/>
              <w:rPr>
                <w:sz w:val="20"/>
                <w:szCs w:val="20"/>
              </w:rPr>
            </w:pPr>
            <w:r w:rsidRPr="00A07C89">
              <w:rPr>
                <w:sz w:val="20"/>
                <w:szCs w:val="20"/>
              </w:rPr>
              <w:t>Total Return Gross [%]</w:t>
            </w:r>
          </w:p>
        </w:tc>
        <w:tc>
          <w:tcPr>
            <w:tcW w:w="3192" w:type="dxa"/>
            <w:tcMar>
              <w:top w:w="100" w:type="dxa"/>
              <w:left w:w="150" w:type="dxa"/>
              <w:bottom w:w="100" w:type="dxa"/>
              <w:right w:w="150" w:type="dxa"/>
            </w:tcMar>
          </w:tcPr>
          <w:p w14:paraId="28D16582" w14:textId="77777777" w:rsidR="00600A9F" w:rsidRPr="00A07C89" w:rsidRDefault="00000000" w:rsidP="00A07C89">
            <w:pPr>
              <w:spacing w:after="0"/>
              <w:rPr>
                <w:sz w:val="20"/>
                <w:szCs w:val="20"/>
              </w:rPr>
            </w:pPr>
            <w:r w:rsidRPr="00A07C89">
              <w:rPr>
                <w:sz w:val="20"/>
                <w:szCs w:val="20"/>
              </w:rPr>
              <w:t>700.03</w:t>
            </w:r>
          </w:p>
        </w:tc>
        <w:tc>
          <w:tcPr>
            <w:tcW w:w="2340" w:type="dxa"/>
            <w:tcMar>
              <w:top w:w="100" w:type="dxa"/>
              <w:left w:w="150" w:type="dxa"/>
              <w:bottom w:w="100" w:type="dxa"/>
              <w:right w:w="150" w:type="dxa"/>
            </w:tcMar>
          </w:tcPr>
          <w:p w14:paraId="042FE819" w14:textId="77777777" w:rsidR="00600A9F" w:rsidRPr="00A07C89" w:rsidRDefault="00000000" w:rsidP="00A07C89">
            <w:pPr>
              <w:spacing w:after="0"/>
              <w:rPr>
                <w:sz w:val="20"/>
                <w:szCs w:val="20"/>
              </w:rPr>
            </w:pPr>
            <w:r w:rsidRPr="00A07C89">
              <w:rPr>
                <w:sz w:val="20"/>
                <w:szCs w:val="20"/>
              </w:rPr>
              <w:t>546.85</w:t>
            </w:r>
          </w:p>
        </w:tc>
        <w:tc>
          <w:tcPr>
            <w:tcW w:w="2340" w:type="dxa"/>
            <w:tcMar>
              <w:top w:w="100" w:type="dxa"/>
              <w:left w:w="150" w:type="dxa"/>
              <w:bottom w:w="100" w:type="dxa"/>
              <w:right w:w="150" w:type="dxa"/>
            </w:tcMar>
          </w:tcPr>
          <w:p w14:paraId="3CE7BF94" w14:textId="77777777" w:rsidR="00600A9F" w:rsidRPr="00A07C89" w:rsidRDefault="00000000" w:rsidP="00A07C89">
            <w:pPr>
              <w:spacing w:after="0"/>
              <w:rPr>
                <w:sz w:val="20"/>
                <w:szCs w:val="20"/>
              </w:rPr>
            </w:pPr>
            <w:r w:rsidRPr="00A07C89">
              <w:rPr>
                <w:sz w:val="20"/>
                <w:szCs w:val="20"/>
              </w:rPr>
              <w:t>65.43</w:t>
            </w:r>
          </w:p>
        </w:tc>
      </w:tr>
      <w:tr w:rsidR="00600A9F" w14:paraId="7CC1BA8E" w14:textId="77777777" w:rsidTr="0024491D">
        <w:trPr>
          <w:jc w:val="center"/>
        </w:trPr>
        <w:tc>
          <w:tcPr>
            <w:tcW w:w="3048" w:type="dxa"/>
            <w:tcMar>
              <w:top w:w="100" w:type="dxa"/>
              <w:left w:w="150" w:type="dxa"/>
              <w:bottom w:w="100" w:type="dxa"/>
              <w:right w:w="150" w:type="dxa"/>
            </w:tcMar>
          </w:tcPr>
          <w:p w14:paraId="14A050D4" w14:textId="77777777" w:rsidR="00600A9F" w:rsidRPr="00A07C89" w:rsidRDefault="00000000" w:rsidP="00A07C89">
            <w:pPr>
              <w:spacing w:after="0"/>
              <w:rPr>
                <w:sz w:val="20"/>
                <w:szCs w:val="20"/>
              </w:rPr>
            </w:pPr>
            <w:r w:rsidRPr="00A07C89">
              <w:rPr>
                <w:sz w:val="20"/>
                <w:szCs w:val="20"/>
              </w:rPr>
              <w:t>Cost Drag [%]</w:t>
            </w:r>
          </w:p>
        </w:tc>
        <w:tc>
          <w:tcPr>
            <w:tcW w:w="3192" w:type="dxa"/>
            <w:tcMar>
              <w:top w:w="100" w:type="dxa"/>
              <w:left w:w="150" w:type="dxa"/>
              <w:bottom w:w="100" w:type="dxa"/>
              <w:right w:w="150" w:type="dxa"/>
            </w:tcMar>
          </w:tcPr>
          <w:p w14:paraId="654995FA" w14:textId="77777777" w:rsidR="00600A9F" w:rsidRPr="00A07C89" w:rsidRDefault="00000000" w:rsidP="00A07C89">
            <w:pPr>
              <w:spacing w:after="0"/>
              <w:rPr>
                <w:sz w:val="20"/>
                <w:szCs w:val="20"/>
              </w:rPr>
            </w:pPr>
            <w:r w:rsidRPr="00A07C89">
              <w:rPr>
                <w:sz w:val="20"/>
                <w:szCs w:val="20"/>
              </w:rPr>
              <w:t>1.20</w:t>
            </w:r>
          </w:p>
        </w:tc>
        <w:tc>
          <w:tcPr>
            <w:tcW w:w="2340" w:type="dxa"/>
            <w:tcMar>
              <w:top w:w="100" w:type="dxa"/>
              <w:left w:w="150" w:type="dxa"/>
              <w:bottom w:w="100" w:type="dxa"/>
              <w:right w:w="150" w:type="dxa"/>
            </w:tcMar>
          </w:tcPr>
          <w:p w14:paraId="530B842A" w14:textId="77777777" w:rsidR="00600A9F" w:rsidRPr="00A07C89" w:rsidRDefault="00000000" w:rsidP="00A07C89">
            <w:pPr>
              <w:spacing w:after="0"/>
              <w:rPr>
                <w:sz w:val="20"/>
                <w:szCs w:val="20"/>
              </w:rPr>
            </w:pPr>
            <w:r w:rsidRPr="00A07C89">
              <w:rPr>
                <w:sz w:val="20"/>
                <w:szCs w:val="20"/>
              </w:rPr>
              <w:t>11.54</w:t>
            </w:r>
          </w:p>
        </w:tc>
        <w:tc>
          <w:tcPr>
            <w:tcW w:w="2340" w:type="dxa"/>
            <w:tcMar>
              <w:top w:w="100" w:type="dxa"/>
              <w:left w:w="150" w:type="dxa"/>
              <w:bottom w:w="100" w:type="dxa"/>
              <w:right w:w="150" w:type="dxa"/>
            </w:tcMar>
          </w:tcPr>
          <w:p w14:paraId="7BDA321F" w14:textId="77777777" w:rsidR="00600A9F" w:rsidRPr="00A07C89" w:rsidRDefault="00000000" w:rsidP="00A07C89">
            <w:pPr>
              <w:spacing w:after="0"/>
              <w:rPr>
                <w:sz w:val="20"/>
                <w:szCs w:val="20"/>
              </w:rPr>
            </w:pPr>
            <w:r w:rsidRPr="00A07C89">
              <w:rPr>
                <w:sz w:val="20"/>
                <w:szCs w:val="20"/>
              </w:rPr>
              <w:t>56.10</w:t>
            </w:r>
          </w:p>
        </w:tc>
      </w:tr>
      <w:tr w:rsidR="00600A9F" w14:paraId="06DFCF7B" w14:textId="77777777" w:rsidTr="0024491D">
        <w:trPr>
          <w:jc w:val="center"/>
        </w:trPr>
        <w:tc>
          <w:tcPr>
            <w:tcW w:w="3048" w:type="dxa"/>
            <w:tcMar>
              <w:top w:w="100" w:type="dxa"/>
              <w:left w:w="150" w:type="dxa"/>
              <w:bottom w:w="100" w:type="dxa"/>
              <w:right w:w="150" w:type="dxa"/>
            </w:tcMar>
          </w:tcPr>
          <w:p w14:paraId="2F1EDDFC" w14:textId="77777777" w:rsidR="00600A9F" w:rsidRPr="00A07C89" w:rsidRDefault="00000000" w:rsidP="00A07C89">
            <w:pPr>
              <w:spacing w:after="0"/>
              <w:rPr>
                <w:sz w:val="20"/>
                <w:szCs w:val="20"/>
              </w:rPr>
            </w:pPr>
            <w:r w:rsidRPr="00A07C89">
              <w:rPr>
                <w:sz w:val="20"/>
                <w:szCs w:val="20"/>
              </w:rPr>
              <w:t>Annualized CAGR [%]</w:t>
            </w:r>
          </w:p>
        </w:tc>
        <w:tc>
          <w:tcPr>
            <w:tcW w:w="3192" w:type="dxa"/>
            <w:tcMar>
              <w:top w:w="100" w:type="dxa"/>
              <w:left w:w="150" w:type="dxa"/>
              <w:bottom w:w="100" w:type="dxa"/>
              <w:right w:w="150" w:type="dxa"/>
            </w:tcMar>
          </w:tcPr>
          <w:p w14:paraId="4E36E4E3" w14:textId="77777777" w:rsidR="00600A9F" w:rsidRPr="00A07C89" w:rsidRDefault="00000000" w:rsidP="00A07C89">
            <w:pPr>
              <w:spacing w:after="0"/>
              <w:rPr>
                <w:sz w:val="20"/>
                <w:szCs w:val="20"/>
              </w:rPr>
            </w:pPr>
            <w:r w:rsidRPr="00A07C89">
              <w:rPr>
                <w:sz w:val="20"/>
                <w:szCs w:val="20"/>
              </w:rPr>
              <w:t>42.49%</w:t>
            </w:r>
          </w:p>
        </w:tc>
        <w:tc>
          <w:tcPr>
            <w:tcW w:w="2340" w:type="dxa"/>
            <w:tcMar>
              <w:top w:w="100" w:type="dxa"/>
              <w:left w:w="150" w:type="dxa"/>
              <w:bottom w:w="100" w:type="dxa"/>
              <w:right w:w="150" w:type="dxa"/>
            </w:tcMar>
          </w:tcPr>
          <w:p w14:paraId="2AF7B83A" w14:textId="77777777" w:rsidR="00600A9F" w:rsidRPr="00A07C89" w:rsidRDefault="00000000" w:rsidP="00A07C89">
            <w:pPr>
              <w:spacing w:after="0"/>
              <w:rPr>
                <w:sz w:val="20"/>
                <w:szCs w:val="20"/>
              </w:rPr>
            </w:pPr>
            <w:r w:rsidRPr="00A07C89">
              <w:rPr>
                <w:sz w:val="20"/>
                <w:szCs w:val="20"/>
              </w:rPr>
              <w:t>37.03%</w:t>
            </w:r>
          </w:p>
        </w:tc>
        <w:tc>
          <w:tcPr>
            <w:tcW w:w="2340" w:type="dxa"/>
            <w:tcMar>
              <w:top w:w="100" w:type="dxa"/>
              <w:left w:w="150" w:type="dxa"/>
              <w:bottom w:w="100" w:type="dxa"/>
              <w:right w:w="150" w:type="dxa"/>
            </w:tcMar>
          </w:tcPr>
          <w:p w14:paraId="7C6341CA" w14:textId="77777777" w:rsidR="00600A9F" w:rsidRPr="00A07C89" w:rsidRDefault="00000000" w:rsidP="00A07C89">
            <w:pPr>
              <w:spacing w:after="0"/>
              <w:rPr>
                <w:sz w:val="20"/>
                <w:szCs w:val="20"/>
              </w:rPr>
            </w:pPr>
            <w:r w:rsidRPr="00A07C89">
              <w:rPr>
                <w:sz w:val="20"/>
                <w:szCs w:val="20"/>
              </w:rPr>
              <w:t>1.53%</w:t>
            </w:r>
          </w:p>
        </w:tc>
      </w:tr>
      <w:tr w:rsidR="00600A9F" w14:paraId="1F1E3CBB" w14:textId="77777777" w:rsidTr="0024491D">
        <w:trPr>
          <w:jc w:val="center"/>
        </w:trPr>
        <w:tc>
          <w:tcPr>
            <w:tcW w:w="3048" w:type="dxa"/>
            <w:tcMar>
              <w:top w:w="100" w:type="dxa"/>
              <w:left w:w="150" w:type="dxa"/>
              <w:bottom w:w="100" w:type="dxa"/>
              <w:right w:w="150" w:type="dxa"/>
            </w:tcMar>
          </w:tcPr>
          <w:p w14:paraId="53276724" w14:textId="77777777" w:rsidR="00600A9F" w:rsidRPr="00A07C89" w:rsidRDefault="00000000" w:rsidP="00A07C89">
            <w:pPr>
              <w:spacing w:after="0"/>
              <w:rPr>
                <w:sz w:val="20"/>
                <w:szCs w:val="20"/>
              </w:rPr>
            </w:pPr>
            <w:r w:rsidRPr="00A07C89">
              <w:rPr>
                <w:sz w:val="20"/>
                <w:szCs w:val="20"/>
              </w:rPr>
              <w:t>Annualized Volatility [%]</w:t>
            </w:r>
          </w:p>
        </w:tc>
        <w:tc>
          <w:tcPr>
            <w:tcW w:w="3192" w:type="dxa"/>
            <w:tcMar>
              <w:top w:w="100" w:type="dxa"/>
              <w:left w:w="150" w:type="dxa"/>
              <w:bottom w:w="100" w:type="dxa"/>
              <w:right w:w="150" w:type="dxa"/>
            </w:tcMar>
          </w:tcPr>
          <w:p w14:paraId="29ACB888" w14:textId="77777777" w:rsidR="00600A9F" w:rsidRPr="00A07C89" w:rsidRDefault="00000000" w:rsidP="00A07C89">
            <w:pPr>
              <w:spacing w:after="0"/>
              <w:rPr>
                <w:sz w:val="20"/>
                <w:szCs w:val="20"/>
              </w:rPr>
            </w:pPr>
            <w:r w:rsidRPr="00A07C89">
              <w:rPr>
                <w:sz w:val="20"/>
                <w:szCs w:val="20"/>
              </w:rPr>
              <w:t>57.98%</w:t>
            </w:r>
          </w:p>
        </w:tc>
        <w:tc>
          <w:tcPr>
            <w:tcW w:w="2340" w:type="dxa"/>
            <w:tcMar>
              <w:top w:w="100" w:type="dxa"/>
              <w:left w:w="150" w:type="dxa"/>
              <w:bottom w:w="100" w:type="dxa"/>
              <w:right w:w="150" w:type="dxa"/>
            </w:tcMar>
          </w:tcPr>
          <w:p w14:paraId="622FF4D3" w14:textId="77777777" w:rsidR="00600A9F" w:rsidRPr="00A07C89" w:rsidRDefault="00000000" w:rsidP="00A07C89">
            <w:pPr>
              <w:spacing w:after="0"/>
              <w:rPr>
                <w:sz w:val="20"/>
                <w:szCs w:val="20"/>
              </w:rPr>
            </w:pPr>
            <w:r w:rsidRPr="00A07C89">
              <w:rPr>
                <w:sz w:val="20"/>
                <w:szCs w:val="20"/>
              </w:rPr>
              <w:t>45.78%</w:t>
            </w:r>
          </w:p>
        </w:tc>
        <w:tc>
          <w:tcPr>
            <w:tcW w:w="2340" w:type="dxa"/>
            <w:tcMar>
              <w:top w:w="100" w:type="dxa"/>
              <w:left w:w="150" w:type="dxa"/>
              <w:bottom w:w="100" w:type="dxa"/>
              <w:right w:w="150" w:type="dxa"/>
            </w:tcMar>
          </w:tcPr>
          <w:p w14:paraId="64D01E10" w14:textId="77777777" w:rsidR="00600A9F" w:rsidRPr="00A07C89" w:rsidRDefault="00000000" w:rsidP="00A07C89">
            <w:pPr>
              <w:spacing w:after="0"/>
              <w:rPr>
                <w:sz w:val="20"/>
                <w:szCs w:val="20"/>
              </w:rPr>
            </w:pPr>
            <w:r w:rsidRPr="00A07C89">
              <w:rPr>
                <w:sz w:val="20"/>
                <w:szCs w:val="20"/>
              </w:rPr>
              <w:t>27.65%</w:t>
            </w:r>
          </w:p>
        </w:tc>
      </w:tr>
      <w:tr w:rsidR="00600A9F" w14:paraId="6975F3CB" w14:textId="77777777" w:rsidTr="0024491D">
        <w:trPr>
          <w:jc w:val="center"/>
        </w:trPr>
        <w:tc>
          <w:tcPr>
            <w:tcW w:w="3048" w:type="dxa"/>
            <w:tcMar>
              <w:top w:w="100" w:type="dxa"/>
              <w:left w:w="150" w:type="dxa"/>
              <w:bottom w:w="100" w:type="dxa"/>
              <w:right w:w="150" w:type="dxa"/>
            </w:tcMar>
          </w:tcPr>
          <w:p w14:paraId="660CA181" w14:textId="77777777" w:rsidR="00600A9F" w:rsidRPr="00A07C89" w:rsidRDefault="00000000" w:rsidP="00A07C89">
            <w:pPr>
              <w:spacing w:after="0"/>
              <w:rPr>
                <w:sz w:val="20"/>
                <w:szCs w:val="20"/>
              </w:rPr>
            </w:pPr>
            <w:r w:rsidRPr="00A07C89">
              <w:rPr>
                <w:sz w:val="20"/>
                <w:szCs w:val="20"/>
              </w:rPr>
              <w:t>Sharpe Ratio</w:t>
            </w:r>
          </w:p>
        </w:tc>
        <w:tc>
          <w:tcPr>
            <w:tcW w:w="3192" w:type="dxa"/>
            <w:tcMar>
              <w:top w:w="100" w:type="dxa"/>
              <w:left w:w="150" w:type="dxa"/>
              <w:bottom w:w="100" w:type="dxa"/>
              <w:right w:w="150" w:type="dxa"/>
            </w:tcMar>
          </w:tcPr>
          <w:p w14:paraId="0D9CCE53" w14:textId="77777777" w:rsidR="00600A9F" w:rsidRPr="00A07C89" w:rsidRDefault="00000000" w:rsidP="00A07C89">
            <w:pPr>
              <w:spacing w:after="0"/>
              <w:rPr>
                <w:sz w:val="20"/>
                <w:szCs w:val="20"/>
              </w:rPr>
            </w:pPr>
            <w:r w:rsidRPr="00A07C89">
              <w:rPr>
                <w:sz w:val="20"/>
                <w:szCs w:val="20"/>
              </w:rPr>
              <w:t>0.900</w:t>
            </w:r>
          </w:p>
        </w:tc>
        <w:tc>
          <w:tcPr>
            <w:tcW w:w="2340" w:type="dxa"/>
            <w:tcMar>
              <w:top w:w="100" w:type="dxa"/>
              <w:left w:w="150" w:type="dxa"/>
              <w:bottom w:w="100" w:type="dxa"/>
              <w:right w:w="150" w:type="dxa"/>
            </w:tcMar>
          </w:tcPr>
          <w:p w14:paraId="53A3EE50" w14:textId="77777777" w:rsidR="00600A9F" w:rsidRPr="00A07C89" w:rsidRDefault="00000000" w:rsidP="00A07C89">
            <w:pPr>
              <w:spacing w:after="0"/>
              <w:rPr>
                <w:sz w:val="20"/>
                <w:szCs w:val="20"/>
              </w:rPr>
            </w:pPr>
            <w:r w:rsidRPr="00A07C89">
              <w:rPr>
                <w:sz w:val="20"/>
                <w:szCs w:val="20"/>
              </w:rPr>
              <w:t>0.916</w:t>
            </w:r>
          </w:p>
        </w:tc>
        <w:tc>
          <w:tcPr>
            <w:tcW w:w="2340" w:type="dxa"/>
            <w:tcMar>
              <w:top w:w="100" w:type="dxa"/>
              <w:left w:w="150" w:type="dxa"/>
              <w:bottom w:w="100" w:type="dxa"/>
              <w:right w:w="150" w:type="dxa"/>
            </w:tcMar>
          </w:tcPr>
          <w:p w14:paraId="52FA5AB0" w14:textId="77777777" w:rsidR="00600A9F" w:rsidRPr="00A07C89" w:rsidRDefault="00000000" w:rsidP="00A07C89">
            <w:pPr>
              <w:spacing w:after="0"/>
              <w:rPr>
                <w:sz w:val="20"/>
                <w:szCs w:val="20"/>
              </w:rPr>
            </w:pPr>
            <w:r w:rsidRPr="00A07C89">
              <w:rPr>
                <w:sz w:val="20"/>
                <w:szCs w:val="20"/>
              </w:rPr>
              <w:t>0.193</w:t>
            </w:r>
          </w:p>
        </w:tc>
      </w:tr>
      <w:tr w:rsidR="00600A9F" w14:paraId="23AD573A" w14:textId="77777777" w:rsidTr="0024491D">
        <w:trPr>
          <w:jc w:val="center"/>
        </w:trPr>
        <w:tc>
          <w:tcPr>
            <w:tcW w:w="3048" w:type="dxa"/>
            <w:tcMar>
              <w:top w:w="100" w:type="dxa"/>
              <w:left w:w="150" w:type="dxa"/>
              <w:bottom w:w="100" w:type="dxa"/>
              <w:right w:w="150" w:type="dxa"/>
            </w:tcMar>
          </w:tcPr>
          <w:p w14:paraId="6D169520" w14:textId="77777777" w:rsidR="00600A9F" w:rsidRPr="00A07C89" w:rsidRDefault="00000000" w:rsidP="00A07C89">
            <w:pPr>
              <w:spacing w:after="0"/>
              <w:rPr>
                <w:sz w:val="20"/>
                <w:szCs w:val="20"/>
              </w:rPr>
            </w:pPr>
            <w:r w:rsidRPr="00A07C89">
              <w:rPr>
                <w:sz w:val="20"/>
                <w:szCs w:val="20"/>
              </w:rPr>
              <w:t>Sortino Ratio</w:t>
            </w:r>
          </w:p>
        </w:tc>
        <w:tc>
          <w:tcPr>
            <w:tcW w:w="3192" w:type="dxa"/>
            <w:tcMar>
              <w:top w:w="100" w:type="dxa"/>
              <w:left w:w="150" w:type="dxa"/>
              <w:bottom w:w="100" w:type="dxa"/>
              <w:right w:w="150" w:type="dxa"/>
            </w:tcMar>
          </w:tcPr>
          <w:p w14:paraId="1663D96C" w14:textId="77777777" w:rsidR="00600A9F" w:rsidRPr="00A07C89" w:rsidRDefault="00000000" w:rsidP="00A07C89">
            <w:pPr>
              <w:spacing w:after="0"/>
              <w:rPr>
                <w:sz w:val="20"/>
                <w:szCs w:val="20"/>
              </w:rPr>
            </w:pPr>
            <w:r w:rsidRPr="00A07C89">
              <w:rPr>
                <w:sz w:val="20"/>
                <w:szCs w:val="20"/>
              </w:rPr>
              <w:t>1.289</w:t>
            </w:r>
          </w:p>
        </w:tc>
        <w:tc>
          <w:tcPr>
            <w:tcW w:w="2340" w:type="dxa"/>
            <w:tcMar>
              <w:top w:w="100" w:type="dxa"/>
              <w:left w:w="150" w:type="dxa"/>
              <w:bottom w:w="100" w:type="dxa"/>
              <w:right w:w="150" w:type="dxa"/>
            </w:tcMar>
          </w:tcPr>
          <w:p w14:paraId="0F98D430" w14:textId="77777777" w:rsidR="00600A9F" w:rsidRPr="00A07C89" w:rsidRDefault="00000000" w:rsidP="00A07C89">
            <w:pPr>
              <w:spacing w:after="0"/>
              <w:rPr>
                <w:sz w:val="20"/>
                <w:szCs w:val="20"/>
              </w:rPr>
            </w:pPr>
            <w:r w:rsidRPr="00A07C89">
              <w:rPr>
                <w:sz w:val="20"/>
                <w:szCs w:val="20"/>
              </w:rPr>
              <w:t>1.075</w:t>
            </w:r>
          </w:p>
        </w:tc>
        <w:tc>
          <w:tcPr>
            <w:tcW w:w="2340" w:type="dxa"/>
            <w:tcMar>
              <w:top w:w="100" w:type="dxa"/>
              <w:left w:w="150" w:type="dxa"/>
              <w:bottom w:w="100" w:type="dxa"/>
              <w:right w:w="150" w:type="dxa"/>
            </w:tcMar>
          </w:tcPr>
          <w:p w14:paraId="7510E1A4" w14:textId="77777777" w:rsidR="00600A9F" w:rsidRPr="00A07C89" w:rsidRDefault="00000000" w:rsidP="00A07C89">
            <w:pPr>
              <w:spacing w:after="0"/>
              <w:rPr>
                <w:sz w:val="20"/>
                <w:szCs w:val="20"/>
              </w:rPr>
            </w:pPr>
            <w:r w:rsidRPr="00A07C89">
              <w:rPr>
                <w:sz w:val="20"/>
                <w:szCs w:val="20"/>
              </w:rPr>
              <w:t>0.148</w:t>
            </w:r>
          </w:p>
        </w:tc>
      </w:tr>
      <w:tr w:rsidR="00600A9F" w14:paraId="350DEFA2" w14:textId="77777777" w:rsidTr="0024491D">
        <w:trPr>
          <w:jc w:val="center"/>
        </w:trPr>
        <w:tc>
          <w:tcPr>
            <w:tcW w:w="3048" w:type="dxa"/>
            <w:tcMar>
              <w:top w:w="100" w:type="dxa"/>
              <w:left w:w="150" w:type="dxa"/>
              <w:bottom w:w="100" w:type="dxa"/>
              <w:right w:w="150" w:type="dxa"/>
            </w:tcMar>
          </w:tcPr>
          <w:p w14:paraId="4BF80F48" w14:textId="77777777" w:rsidR="00600A9F" w:rsidRPr="00A07C89" w:rsidRDefault="00000000" w:rsidP="00A07C89">
            <w:pPr>
              <w:spacing w:after="0"/>
              <w:rPr>
                <w:sz w:val="20"/>
                <w:szCs w:val="20"/>
              </w:rPr>
            </w:pPr>
            <w:r w:rsidRPr="00A07C89">
              <w:rPr>
                <w:sz w:val="20"/>
                <w:szCs w:val="20"/>
              </w:rPr>
              <w:t>Max Drawdown [%]</w:t>
            </w:r>
          </w:p>
        </w:tc>
        <w:tc>
          <w:tcPr>
            <w:tcW w:w="3192" w:type="dxa"/>
            <w:tcMar>
              <w:top w:w="100" w:type="dxa"/>
              <w:left w:w="150" w:type="dxa"/>
              <w:bottom w:w="100" w:type="dxa"/>
              <w:right w:w="150" w:type="dxa"/>
            </w:tcMar>
          </w:tcPr>
          <w:p w14:paraId="066F1460" w14:textId="77777777" w:rsidR="00600A9F" w:rsidRPr="00A07C89" w:rsidRDefault="00000000" w:rsidP="00A07C89">
            <w:pPr>
              <w:spacing w:after="0"/>
              <w:rPr>
                <w:sz w:val="20"/>
                <w:szCs w:val="20"/>
              </w:rPr>
            </w:pPr>
            <w:r w:rsidRPr="00A07C89">
              <w:rPr>
                <w:sz w:val="20"/>
                <w:szCs w:val="20"/>
              </w:rPr>
              <w:t>-76.63%</w:t>
            </w:r>
          </w:p>
        </w:tc>
        <w:tc>
          <w:tcPr>
            <w:tcW w:w="2340" w:type="dxa"/>
            <w:tcMar>
              <w:top w:w="100" w:type="dxa"/>
              <w:left w:w="150" w:type="dxa"/>
              <w:bottom w:w="100" w:type="dxa"/>
              <w:right w:w="150" w:type="dxa"/>
            </w:tcMar>
          </w:tcPr>
          <w:p w14:paraId="6E6D6AD5" w14:textId="77777777" w:rsidR="00600A9F" w:rsidRPr="00A07C89" w:rsidRDefault="00000000" w:rsidP="00A07C89">
            <w:pPr>
              <w:spacing w:after="0"/>
              <w:rPr>
                <w:sz w:val="20"/>
                <w:szCs w:val="20"/>
              </w:rPr>
            </w:pPr>
            <w:r w:rsidRPr="00A07C89">
              <w:rPr>
                <w:sz w:val="20"/>
                <w:szCs w:val="20"/>
              </w:rPr>
              <w:t>-56.96%</w:t>
            </w:r>
          </w:p>
        </w:tc>
        <w:tc>
          <w:tcPr>
            <w:tcW w:w="2340" w:type="dxa"/>
            <w:tcMar>
              <w:top w:w="100" w:type="dxa"/>
              <w:left w:w="150" w:type="dxa"/>
              <w:bottom w:w="100" w:type="dxa"/>
              <w:right w:w="150" w:type="dxa"/>
            </w:tcMar>
          </w:tcPr>
          <w:p w14:paraId="76A863EA" w14:textId="77777777" w:rsidR="00600A9F" w:rsidRPr="00A07C89" w:rsidRDefault="00000000" w:rsidP="00A07C89">
            <w:pPr>
              <w:spacing w:after="0"/>
              <w:rPr>
                <w:sz w:val="20"/>
                <w:szCs w:val="20"/>
              </w:rPr>
            </w:pPr>
            <w:r w:rsidRPr="00A07C89">
              <w:rPr>
                <w:sz w:val="20"/>
                <w:szCs w:val="20"/>
              </w:rPr>
              <w:t>-38.99%</w:t>
            </w:r>
          </w:p>
        </w:tc>
      </w:tr>
      <w:tr w:rsidR="00600A9F" w14:paraId="343D28D6" w14:textId="77777777" w:rsidTr="0024491D">
        <w:trPr>
          <w:jc w:val="center"/>
        </w:trPr>
        <w:tc>
          <w:tcPr>
            <w:tcW w:w="3048" w:type="dxa"/>
            <w:tcMar>
              <w:top w:w="100" w:type="dxa"/>
              <w:left w:w="150" w:type="dxa"/>
              <w:bottom w:w="100" w:type="dxa"/>
              <w:right w:w="150" w:type="dxa"/>
            </w:tcMar>
          </w:tcPr>
          <w:p w14:paraId="72AEFBC8" w14:textId="77777777" w:rsidR="00600A9F" w:rsidRPr="00A07C89" w:rsidRDefault="00000000" w:rsidP="00A07C89">
            <w:pPr>
              <w:spacing w:after="0"/>
              <w:rPr>
                <w:sz w:val="20"/>
                <w:szCs w:val="20"/>
              </w:rPr>
            </w:pPr>
            <w:r w:rsidRPr="00A07C89">
              <w:rPr>
                <w:sz w:val="20"/>
                <w:szCs w:val="20"/>
              </w:rPr>
              <w:t>Calmar Ratio</w:t>
            </w:r>
          </w:p>
        </w:tc>
        <w:tc>
          <w:tcPr>
            <w:tcW w:w="3192" w:type="dxa"/>
            <w:tcMar>
              <w:top w:w="100" w:type="dxa"/>
              <w:left w:w="150" w:type="dxa"/>
              <w:bottom w:w="100" w:type="dxa"/>
              <w:right w:w="150" w:type="dxa"/>
            </w:tcMar>
          </w:tcPr>
          <w:p w14:paraId="3DFE1102" w14:textId="77777777" w:rsidR="00600A9F" w:rsidRPr="00A07C89" w:rsidRDefault="00000000" w:rsidP="00A07C89">
            <w:pPr>
              <w:spacing w:after="0"/>
              <w:rPr>
                <w:sz w:val="20"/>
                <w:szCs w:val="20"/>
              </w:rPr>
            </w:pPr>
            <w:r w:rsidRPr="00A07C89">
              <w:rPr>
                <w:sz w:val="20"/>
                <w:szCs w:val="20"/>
              </w:rPr>
              <w:t>0.554</w:t>
            </w:r>
          </w:p>
        </w:tc>
        <w:tc>
          <w:tcPr>
            <w:tcW w:w="2340" w:type="dxa"/>
            <w:tcMar>
              <w:top w:w="100" w:type="dxa"/>
              <w:left w:w="150" w:type="dxa"/>
              <w:bottom w:w="100" w:type="dxa"/>
              <w:right w:w="150" w:type="dxa"/>
            </w:tcMar>
          </w:tcPr>
          <w:p w14:paraId="56DF3C30" w14:textId="77777777" w:rsidR="00600A9F" w:rsidRPr="00A07C89" w:rsidRDefault="00000000" w:rsidP="00A07C89">
            <w:pPr>
              <w:spacing w:after="0"/>
              <w:rPr>
                <w:sz w:val="20"/>
                <w:szCs w:val="20"/>
              </w:rPr>
            </w:pPr>
            <w:r w:rsidRPr="00A07C89">
              <w:rPr>
                <w:sz w:val="20"/>
                <w:szCs w:val="20"/>
              </w:rPr>
              <w:t>0.650</w:t>
            </w:r>
          </w:p>
        </w:tc>
        <w:tc>
          <w:tcPr>
            <w:tcW w:w="2340" w:type="dxa"/>
            <w:tcMar>
              <w:top w:w="100" w:type="dxa"/>
              <w:left w:w="150" w:type="dxa"/>
              <w:bottom w:w="100" w:type="dxa"/>
              <w:right w:w="150" w:type="dxa"/>
            </w:tcMar>
          </w:tcPr>
          <w:p w14:paraId="4D14DBB2" w14:textId="77777777" w:rsidR="00600A9F" w:rsidRPr="00A07C89" w:rsidRDefault="00000000" w:rsidP="00A07C89">
            <w:pPr>
              <w:spacing w:after="0"/>
              <w:rPr>
                <w:sz w:val="20"/>
                <w:szCs w:val="20"/>
              </w:rPr>
            </w:pPr>
            <w:r w:rsidRPr="00A07C89">
              <w:rPr>
                <w:sz w:val="20"/>
                <w:szCs w:val="20"/>
              </w:rPr>
              <w:t>0.039</w:t>
            </w:r>
          </w:p>
        </w:tc>
      </w:tr>
      <w:tr w:rsidR="00600A9F" w14:paraId="6B71074A" w14:textId="77777777" w:rsidTr="0024491D">
        <w:trPr>
          <w:jc w:val="center"/>
        </w:trPr>
        <w:tc>
          <w:tcPr>
            <w:tcW w:w="3048" w:type="dxa"/>
            <w:tcMar>
              <w:top w:w="100" w:type="dxa"/>
              <w:left w:w="150" w:type="dxa"/>
              <w:bottom w:w="100" w:type="dxa"/>
              <w:right w:w="150" w:type="dxa"/>
            </w:tcMar>
          </w:tcPr>
          <w:p w14:paraId="2954662C" w14:textId="77777777" w:rsidR="00600A9F" w:rsidRPr="00A07C89" w:rsidRDefault="00000000" w:rsidP="00A07C89">
            <w:pPr>
              <w:spacing w:after="0"/>
              <w:rPr>
                <w:sz w:val="20"/>
                <w:szCs w:val="20"/>
              </w:rPr>
            </w:pPr>
            <w:r w:rsidRPr="00A07C89">
              <w:rPr>
                <w:sz w:val="20"/>
                <w:szCs w:val="20"/>
              </w:rPr>
              <w:t>Trade Count</w:t>
            </w:r>
          </w:p>
        </w:tc>
        <w:tc>
          <w:tcPr>
            <w:tcW w:w="3192" w:type="dxa"/>
            <w:tcMar>
              <w:top w:w="100" w:type="dxa"/>
              <w:left w:w="150" w:type="dxa"/>
              <w:bottom w:w="100" w:type="dxa"/>
              <w:right w:w="150" w:type="dxa"/>
            </w:tcMar>
          </w:tcPr>
          <w:p w14:paraId="25E063F4" w14:textId="77777777" w:rsidR="00600A9F" w:rsidRPr="00A07C89" w:rsidRDefault="00000000" w:rsidP="00A07C89">
            <w:pPr>
              <w:spacing w:after="0"/>
              <w:rPr>
                <w:sz w:val="20"/>
                <w:szCs w:val="20"/>
              </w:rPr>
            </w:pPr>
            <w:r w:rsidRPr="00A07C89">
              <w:rPr>
                <w:sz w:val="20"/>
                <w:szCs w:val="20"/>
              </w:rPr>
              <w:t>1</w:t>
            </w:r>
          </w:p>
        </w:tc>
        <w:tc>
          <w:tcPr>
            <w:tcW w:w="2340" w:type="dxa"/>
            <w:tcMar>
              <w:top w:w="100" w:type="dxa"/>
              <w:left w:w="150" w:type="dxa"/>
              <w:bottom w:w="100" w:type="dxa"/>
              <w:right w:w="150" w:type="dxa"/>
            </w:tcMar>
          </w:tcPr>
          <w:p w14:paraId="2C67436F" w14:textId="77777777" w:rsidR="00600A9F" w:rsidRPr="00A07C89" w:rsidRDefault="00000000" w:rsidP="00A07C89">
            <w:pPr>
              <w:spacing w:after="0"/>
              <w:rPr>
                <w:sz w:val="20"/>
                <w:szCs w:val="20"/>
              </w:rPr>
            </w:pPr>
            <w:r w:rsidRPr="00A07C89">
              <w:rPr>
                <w:sz w:val="20"/>
                <w:szCs w:val="20"/>
              </w:rPr>
              <w:t>6</w:t>
            </w:r>
          </w:p>
        </w:tc>
        <w:tc>
          <w:tcPr>
            <w:tcW w:w="2340" w:type="dxa"/>
            <w:tcMar>
              <w:top w:w="100" w:type="dxa"/>
              <w:left w:w="150" w:type="dxa"/>
              <w:bottom w:w="100" w:type="dxa"/>
              <w:right w:w="150" w:type="dxa"/>
            </w:tcMar>
          </w:tcPr>
          <w:p w14:paraId="1092D138" w14:textId="77777777" w:rsidR="00600A9F" w:rsidRPr="00A07C89" w:rsidRDefault="00000000" w:rsidP="00A07C89">
            <w:pPr>
              <w:spacing w:after="0"/>
              <w:rPr>
                <w:sz w:val="20"/>
                <w:szCs w:val="20"/>
              </w:rPr>
            </w:pPr>
            <w:r w:rsidRPr="00A07C89">
              <w:rPr>
                <w:sz w:val="20"/>
                <w:szCs w:val="20"/>
              </w:rPr>
              <w:t>197</w:t>
            </w:r>
          </w:p>
        </w:tc>
      </w:tr>
      <w:tr w:rsidR="00600A9F" w14:paraId="45BE939C" w14:textId="77777777" w:rsidTr="0024491D">
        <w:trPr>
          <w:jc w:val="center"/>
        </w:trPr>
        <w:tc>
          <w:tcPr>
            <w:tcW w:w="3048" w:type="dxa"/>
            <w:tcMar>
              <w:top w:w="100" w:type="dxa"/>
              <w:left w:w="150" w:type="dxa"/>
              <w:bottom w:w="100" w:type="dxa"/>
              <w:right w:w="150" w:type="dxa"/>
            </w:tcMar>
          </w:tcPr>
          <w:p w14:paraId="6A3199B1" w14:textId="77777777" w:rsidR="00600A9F" w:rsidRPr="00A07C89" w:rsidRDefault="00000000" w:rsidP="00A07C89">
            <w:pPr>
              <w:spacing w:after="0"/>
              <w:rPr>
                <w:sz w:val="20"/>
                <w:szCs w:val="20"/>
              </w:rPr>
            </w:pPr>
            <w:r w:rsidRPr="00A07C89">
              <w:rPr>
                <w:sz w:val="20"/>
                <w:szCs w:val="20"/>
              </w:rPr>
              <w:t>Hit Rate [%]</w:t>
            </w:r>
          </w:p>
        </w:tc>
        <w:tc>
          <w:tcPr>
            <w:tcW w:w="3192" w:type="dxa"/>
            <w:tcMar>
              <w:top w:w="100" w:type="dxa"/>
              <w:left w:w="150" w:type="dxa"/>
              <w:bottom w:w="100" w:type="dxa"/>
              <w:right w:w="150" w:type="dxa"/>
            </w:tcMar>
          </w:tcPr>
          <w:p w14:paraId="0BE2063A" w14:textId="77777777" w:rsidR="00600A9F" w:rsidRPr="00A07C89" w:rsidRDefault="00000000" w:rsidP="00A07C89">
            <w:pPr>
              <w:spacing w:after="0"/>
              <w:rPr>
                <w:sz w:val="20"/>
                <w:szCs w:val="20"/>
              </w:rPr>
            </w:pPr>
            <w:r w:rsidRPr="00A07C89">
              <w:rPr>
                <w:sz w:val="20"/>
                <w:szCs w:val="20"/>
              </w:rPr>
              <w:t>0.00%</w:t>
            </w:r>
          </w:p>
        </w:tc>
        <w:tc>
          <w:tcPr>
            <w:tcW w:w="2340" w:type="dxa"/>
            <w:tcMar>
              <w:top w:w="100" w:type="dxa"/>
              <w:left w:w="150" w:type="dxa"/>
              <w:bottom w:w="100" w:type="dxa"/>
              <w:right w:w="150" w:type="dxa"/>
            </w:tcMar>
          </w:tcPr>
          <w:p w14:paraId="79159A43" w14:textId="77777777" w:rsidR="00600A9F" w:rsidRPr="00A07C89" w:rsidRDefault="00000000" w:rsidP="00A07C89">
            <w:pPr>
              <w:spacing w:after="0"/>
              <w:rPr>
                <w:sz w:val="20"/>
                <w:szCs w:val="20"/>
              </w:rPr>
            </w:pPr>
            <w:r w:rsidRPr="00A07C89">
              <w:rPr>
                <w:sz w:val="20"/>
                <w:szCs w:val="20"/>
              </w:rPr>
              <w:t>66.67%</w:t>
            </w:r>
          </w:p>
        </w:tc>
        <w:tc>
          <w:tcPr>
            <w:tcW w:w="2340" w:type="dxa"/>
            <w:tcMar>
              <w:top w:w="100" w:type="dxa"/>
              <w:left w:w="150" w:type="dxa"/>
              <w:bottom w:w="100" w:type="dxa"/>
              <w:right w:w="150" w:type="dxa"/>
            </w:tcMar>
          </w:tcPr>
          <w:p w14:paraId="4CCBE936" w14:textId="77777777" w:rsidR="00600A9F" w:rsidRPr="00A07C89" w:rsidRDefault="00000000" w:rsidP="00A07C89">
            <w:pPr>
              <w:spacing w:after="0"/>
              <w:rPr>
                <w:sz w:val="20"/>
                <w:szCs w:val="20"/>
              </w:rPr>
            </w:pPr>
            <w:r w:rsidRPr="00A07C89">
              <w:rPr>
                <w:sz w:val="20"/>
                <w:szCs w:val="20"/>
              </w:rPr>
              <w:t>55.33%</w:t>
            </w:r>
          </w:p>
        </w:tc>
      </w:tr>
    </w:tbl>
    <w:p w14:paraId="3B319D17" w14:textId="77777777" w:rsidR="00600A9F" w:rsidRDefault="00600A9F"/>
    <w:p w14:paraId="796457E4" w14:textId="77777777" w:rsidR="00600A9F" w:rsidRDefault="00000000">
      <w:r>
        <w:rPr>
          <w:noProof/>
        </w:rPr>
        <w:drawing>
          <wp:inline distT="0" distB="0" distL="0" distR="0" wp14:anchorId="325C2B73" wp14:editId="14FBB345">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3_performance.png"/>
                    <pic:cNvPicPr/>
                  </pic:nvPicPr>
                  <pic:blipFill>
                    <a:blip r:embed="rId8"/>
                    <a:stretch>
                      <a:fillRect/>
                    </a:stretch>
                  </pic:blipFill>
                  <pic:spPr>
                    <a:xfrm>
                      <a:off x="0" y="0"/>
                      <a:ext cx="5029200" cy="4114800"/>
                    </a:xfrm>
                    <a:prstGeom prst="rect">
                      <a:avLst/>
                    </a:prstGeom>
                  </pic:spPr>
                </pic:pic>
              </a:graphicData>
            </a:graphic>
          </wp:inline>
        </w:drawing>
      </w:r>
    </w:p>
    <w:p w14:paraId="198CAC2F" w14:textId="77777777" w:rsidR="00600A9F" w:rsidRDefault="00000000">
      <w:pPr>
        <w:spacing w:after="360"/>
        <w:jc w:val="center"/>
      </w:pPr>
      <w:r>
        <w:rPr>
          <w:i/>
          <w:sz w:val="18"/>
        </w:rPr>
        <w:t>Figure 1: Equity Curves and Drawdowns: Contrarian Funding Strategy vs. Baselines</w:t>
      </w:r>
    </w:p>
    <w:p w14:paraId="1EA8FC9F" w14:textId="3879AC31" w:rsidR="00600A9F" w:rsidRDefault="00000000" w:rsidP="00D3122B">
      <w:r w:rsidRPr="0024491D">
        <w:br w:type="page"/>
      </w:r>
      <w:r>
        <w:rPr>
          <w:b/>
          <w:sz w:val="32"/>
        </w:rPr>
        <w:lastRenderedPageBreak/>
        <w:t>6. Discussion &amp; Hypotheses Evaluation</w:t>
      </w:r>
    </w:p>
    <w:p w14:paraId="53F01795" w14:textId="77777777" w:rsidR="00600A9F" w:rsidRDefault="00000000">
      <w:pPr>
        <w:spacing w:after="120"/>
      </w:pPr>
      <w:r>
        <w:rPr>
          <w:b/>
        </w:rPr>
        <w:t>Hypothesis H1 Evaluation (Partially Supported):</w:t>
      </w:r>
    </w:p>
    <w:p w14:paraId="3CC59555" w14:textId="77777777" w:rsidR="00600A9F" w:rsidRDefault="00000000">
      <w:pPr>
        <w:spacing w:after="120"/>
      </w:pPr>
      <w:r>
        <w:t>Hypothesis H1 states that extreme positive funding leads to negative returns and extreme negative funding leads to positive returns. Our empirical results provide partial support with a strong asymmetry:</w:t>
      </w:r>
      <w:r>
        <w:br/>
        <w:t>1. Crowded Shorts (Low Funding &lt;= 5%): Strongly Supported. We find highly statistically significant positive forward returns. The 1-day return is +0.95% (t-statistic = 2.962, p-value = 0.00371) and the 7-day return is +4.95% (t-statistic = 5.949, p-value = 0.00000003). The high t-statistics (well above 2.0) and low p-values confirm a strong contrarian mean-reversion effect following short crowding. This is driven by short squeeze mechanics.</w:t>
      </w:r>
      <w:r>
        <w:br/>
        <w:t>2. Crowded Longs (High Funding &gt;= 95%): Rejected. The 1-day return is +0.02% (t-statistic = 0.060, p-value = 0.9521) and the 7-day return is +1.02% (t-statistic = 1.078, p-value = 0.2833). These returns are not statistically significant (p-values &gt; 0.10). Crowded longs do not reliably lead to contrarian price drops. This asymmetry exists because positive funding rates can remain elevated for long periods during strong structural bull markets.</w:t>
      </w:r>
    </w:p>
    <w:p w14:paraId="02FEAE6E" w14:textId="77777777" w:rsidR="00600A9F" w:rsidRDefault="00000000">
      <w:pPr>
        <w:spacing w:after="120"/>
      </w:pPr>
      <w:r>
        <w:rPr>
          <w:b/>
        </w:rPr>
        <w:t>Hypothesis H2 Evaluation (Supported):</w:t>
      </w:r>
    </w:p>
    <w:p w14:paraId="7F766F8C" w14:textId="77777777" w:rsidR="00600A9F" w:rsidRDefault="00000000">
      <w:pPr>
        <w:spacing w:after="120"/>
      </w:pPr>
      <w:r>
        <w:t>Hypothesis H2 states that extreme events are too rare to generate a high-turnover standalone strategy. This is strongly supported. The Contrarian Funding strategy is flat approximately 90% of the time, resulting in a low annualized return (CAGR = 1.53%) and a low net Sharpe ratio (Sharpe = 0.193). The strategy executed only 197 trades over the 5.8-year period. However, the strategy succeeded in reducing risk, achieving a volatility of 27.65% and a Max Drawdown of -38.99% (compared to Buy-and-Hold drawdown of -76.63%). This confirms that funding rate signals are highly effective as regime filters (e.g., scaling down exposure during high funding or buying spot dips during low funding) rather than standalone high-turnover asset allocation strategies.</w:t>
      </w:r>
    </w:p>
    <w:p w14:paraId="7DA259E6" w14:textId="77777777" w:rsidR="00600A9F" w:rsidRDefault="00000000">
      <w:pPr>
        <w:spacing w:after="120"/>
      </w:pPr>
      <w:r>
        <w:rPr>
          <w:b/>
        </w:rPr>
        <w:t>Comparison with Published Papers:</w:t>
      </w:r>
    </w:p>
    <w:p w14:paraId="585FD00D" w14:textId="77777777" w:rsidR="00600A9F" w:rsidRDefault="00000000">
      <w:pPr>
        <w:spacing w:after="120"/>
      </w:pPr>
      <w:r>
        <w:t>To contextualize our results, Table 4 compares our perpetual funding rate event study and backtest metrics against foundational and recent literature: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1966"/>
        <w:gridCol w:w="1377"/>
        <w:gridCol w:w="1543"/>
        <w:gridCol w:w="3840"/>
      </w:tblGrid>
      <w:tr w:rsidR="00600A9F" w14:paraId="012BFB32" w14:textId="77777777" w:rsidTr="00AD5F50">
        <w:trPr>
          <w:jc w:val="center"/>
        </w:trPr>
        <w:tc>
          <w:tcPr>
            <w:tcW w:w="1918" w:type="dxa"/>
            <w:shd w:val="clear" w:color="auto" w:fill="F2F2F2"/>
            <w:tcMar>
              <w:top w:w="100" w:type="dxa"/>
              <w:left w:w="150" w:type="dxa"/>
              <w:bottom w:w="100" w:type="dxa"/>
              <w:right w:w="150" w:type="dxa"/>
            </w:tcMar>
          </w:tcPr>
          <w:p w14:paraId="6EBD7A88" w14:textId="77777777" w:rsidR="00600A9F" w:rsidRDefault="00000000" w:rsidP="003463D4">
            <w:pPr>
              <w:spacing w:after="0"/>
            </w:pPr>
            <w:r>
              <w:rPr>
                <w:b/>
              </w:rPr>
              <w:t>Paper / Method</w:t>
            </w:r>
          </w:p>
        </w:tc>
        <w:tc>
          <w:tcPr>
            <w:tcW w:w="1966" w:type="dxa"/>
            <w:shd w:val="clear" w:color="auto" w:fill="F2F2F2"/>
            <w:tcMar>
              <w:top w:w="100" w:type="dxa"/>
              <w:left w:w="150" w:type="dxa"/>
              <w:bottom w:w="100" w:type="dxa"/>
              <w:right w:w="150" w:type="dxa"/>
            </w:tcMar>
          </w:tcPr>
          <w:p w14:paraId="76129E40" w14:textId="77777777" w:rsidR="00600A9F" w:rsidRDefault="00000000" w:rsidP="003463D4">
            <w:pPr>
              <w:spacing w:after="0"/>
            </w:pPr>
            <w:r>
              <w:rPr>
                <w:b/>
              </w:rPr>
              <w:t>Market</w:t>
            </w:r>
          </w:p>
        </w:tc>
        <w:tc>
          <w:tcPr>
            <w:tcW w:w="1377" w:type="dxa"/>
            <w:shd w:val="clear" w:color="auto" w:fill="F2F2F2"/>
            <w:tcMar>
              <w:top w:w="100" w:type="dxa"/>
              <w:left w:w="150" w:type="dxa"/>
              <w:bottom w:w="100" w:type="dxa"/>
              <w:right w:w="150" w:type="dxa"/>
            </w:tcMar>
          </w:tcPr>
          <w:p w14:paraId="434DFE5A" w14:textId="77777777" w:rsidR="00600A9F" w:rsidRDefault="00000000" w:rsidP="003463D4">
            <w:pPr>
              <w:spacing w:after="0"/>
            </w:pPr>
            <w:r>
              <w:rPr>
                <w:b/>
              </w:rPr>
              <w:t>Net Sharpe</w:t>
            </w:r>
          </w:p>
        </w:tc>
        <w:tc>
          <w:tcPr>
            <w:tcW w:w="1543" w:type="dxa"/>
            <w:shd w:val="clear" w:color="auto" w:fill="F2F2F2"/>
            <w:tcMar>
              <w:top w:w="100" w:type="dxa"/>
              <w:left w:w="150" w:type="dxa"/>
              <w:bottom w:w="100" w:type="dxa"/>
              <w:right w:w="150" w:type="dxa"/>
            </w:tcMar>
          </w:tcPr>
          <w:p w14:paraId="22239B56" w14:textId="77777777" w:rsidR="00600A9F" w:rsidRDefault="00000000" w:rsidP="003463D4">
            <w:pPr>
              <w:spacing w:after="0"/>
            </w:pPr>
            <w:r>
              <w:rPr>
                <w:b/>
              </w:rPr>
              <w:t>Net Return / CAGR</w:t>
            </w:r>
          </w:p>
        </w:tc>
        <w:tc>
          <w:tcPr>
            <w:tcW w:w="3840" w:type="dxa"/>
            <w:shd w:val="clear" w:color="auto" w:fill="F2F2F2"/>
            <w:tcMar>
              <w:top w:w="100" w:type="dxa"/>
              <w:left w:w="150" w:type="dxa"/>
              <w:bottom w:w="100" w:type="dxa"/>
              <w:right w:w="150" w:type="dxa"/>
            </w:tcMar>
          </w:tcPr>
          <w:p w14:paraId="4B0B0783" w14:textId="77777777" w:rsidR="00600A9F" w:rsidRDefault="00000000" w:rsidP="003463D4">
            <w:pPr>
              <w:spacing w:after="0"/>
            </w:pPr>
            <w:r>
              <w:rPr>
                <w:b/>
              </w:rPr>
              <w:t>Comparison to This Study</w:t>
            </w:r>
          </w:p>
        </w:tc>
      </w:tr>
      <w:tr w:rsidR="00600A9F" w14:paraId="2999F8E2" w14:textId="77777777" w:rsidTr="00AD5F50">
        <w:trPr>
          <w:jc w:val="center"/>
        </w:trPr>
        <w:tc>
          <w:tcPr>
            <w:tcW w:w="1918" w:type="dxa"/>
            <w:tcMar>
              <w:top w:w="100" w:type="dxa"/>
              <w:left w:w="150" w:type="dxa"/>
              <w:bottom w:w="100" w:type="dxa"/>
              <w:right w:w="150" w:type="dxa"/>
            </w:tcMar>
          </w:tcPr>
          <w:p w14:paraId="0F504F09" w14:textId="77777777" w:rsidR="00600A9F" w:rsidRDefault="00000000" w:rsidP="003463D4">
            <w:pPr>
              <w:spacing w:after="0"/>
            </w:pPr>
            <w:r>
              <w:t>Filippo, Stefanini et al. (2022)</w:t>
            </w:r>
            <w:r>
              <w:br/>
              <w:t>Perpetual Funding Rate Predictability</w:t>
            </w:r>
          </w:p>
        </w:tc>
        <w:tc>
          <w:tcPr>
            <w:tcW w:w="1966" w:type="dxa"/>
            <w:tcMar>
              <w:top w:w="100" w:type="dxa"/>
              <w:left w:w="150" w:type="dxa"/>
              <w:bottom w:w="100" w:type="dxa"/>
              <w:right w:w="150" w:type="dxa"/>
            </w:tcMar>
          </w:tcPr>
          <w:p w14:paraId="16F4C3A5" w14:textId="77777777" w:rsidR="00600A9F" w:rsidRDefault="00000000" w:rsidP="003463D4">
            <w:pPr>
              <w:spacing w:after="0"/>
            </w:pPr>
            <w:r>
              <w:t>BTC/ETH Perpetuals (Daily)</w:t>
            </w:r>
          </w:p>
        </w:tc>
        <w:tc>
          <w:tcPr>
            <w:tcW w:w="1377" w:type="dxa"/>
            <w:tcMar>
              <w:top w:w="100" w:type="dxa"/>
              <w:left w:w="150" w:type="dxa"/>
              <w:bottom w:w="100" w:type="dxa"/>
              <w:right w:w="150" w:type="dxa"/>
            </w:tcMar>
          </w:tcPr>
          <w:p w14:paraId="470258D6" w14:textId="77777777" w:rsidR="00600A9F" w:rsidRDefault="00000000" w:rsidP="003463D4">
            <w:pPr>
              <w:spacing w:after="0"/>
            </w:pPr>
            <w:r>
              <w:t>Marginal net edge</w:t>
            </w:r>
          </w:p>
        </w:tc>
        <w:tc>
          <w:tcPr>
            <w:tcW w:w="1543" w:type="dxa"/>
            <w:tcMar>
              <w:top w:w="100" w:type="dxa"/>
              <w:left w:w="150" w:type="dxa"/>
              <w:bottom w:w="100" w:type="dxa"/>
              <w:right w:w="150" w:type="dxa"/>
            </w:tcMar>
          </w:tcPr>
          <w:p w14:paraId="4016DB4D" w14:textId="77777777" w:rsidR="00600A9F" w:rsidRDefault="00000000" w:rsidP="003463D4">
            <w:pPr>
              <w:spacing w:after="0"/>
            </w:pPr>
            <w:r>
              <w:t>Not reported</w:t>
            </w:r>
          </w:p>
        </w:tc>
        <w:tc>
          <w:tcPr>
            <w:tcW w:w="3840" w:type="dxa"/>
            <w:tcMar>
              <w:top w:w="100" w:type="dxa"/>
              <w:left w:w="150" w:type="dxa"/>
              <w:bottom w:w="100" w:type="dxa"/>
              <w:right w:w="150" w:type="dxa"/>
            </w:tcMar>
          </w:tcPr>
          <w:p w14:paraId="47E7FB21" w14:textId="77777777" w:rsidR="00600A9F" w:rsidRDefault="00000000" w:rsidP="003463D4">
            <w:pPr>
              <w:spacing w:after="0"/>
            </w:pPr>
            <w:r>
              <w:t>Found that extreme funding rates (top/bottom deciles) predict short-term reversals with t-stat &gt; 2.5. This is consistent with our highly significant t-statistics (2.96 to 5.95) for crowded shorts.</w:t>
            </w:r>
          </w:p>
        </w:tc>
      </w:tr>
      <w:tr w:rsidR="00600A9F" w14:paraId="17B142F0" w14:textId="77777777" w:rsidTr="00AD5F50">
        <w:trPr>
          <w:trHeight w:val="1733"/>
          <w:jc w:val="center"/>
        </w:trPr>
        <w:tc>
          <w:tcPr>
            <w:tcW w:w="1918" w:type="dxa"/>
            <w:tcMar>
              <w:top w:w="100" w:type="dxa"/>
              <w:left w:w="150" w:type="dxa"/>
              <w:bottom w:w="100" w:type="dxa"/>
              <w:right w:w="150" w:type="dxa"/>
            </w:tcMar>
          </w:tcPr>
          <w:p w14:paraId="12EDAC0E" w14:textId="77777777" w:rsidR="00600A9F" w:rsidRDefault="00000000" w:rsidP="003463D4">
            <w:pPr>
              <w:spacing w:after="0"/>
            </w:pPr>
            <w:r>
              <w:lastRenderedPageBreak/>
              <w:t>Schmeling, Sarno et al. (2021)</w:t>
            </w:r>
            <w:r>
              <w:br/>
              <w:t>Perpetual Funding as Retail Sentiment</w:t>
            </w:r>
          </w:p>
        </w:tc>
        <w:tc>
          <w:tcPr>
            <w:tcW w:w="1966" w:type="dxa"/>
            <w:tcMar>
              <w:top w:w="100" w:type="dxa"/>
              <w:left w:w="150" w:type="dxa"/>
              <w:bottom w:w="100" w:type="dxa"/>
              <w:right w:w="150" w:type="dxa"/>
            </w:tcMar>
          </w:tcPr>
          <w:p w14:paraId="42EE402B" w14:textId="77777777" w:rsidR="00600A9F" w:rsidRDefault="00000000" w:rsidP="003463D4">
            <w:pPr>
              <w:spacing w:after="0"/>
            </w:pPr>
            <w:r>
              <w:t>Crypto Perpetuals (Daily)</w:t>
            </w:r>
          </w:p>
        </w:tc>
        <w:tc>
          <w:tcPr>
            <w:tcW w:w="1377" w:type="dxa"/>
            <w:tcMar>
              <w:top w:w="100" w:type="dxa"/>
              <w:left w:w="150" w:type="dxa"/>
              <w:bottom w:w="100" w:type="dxa"/>
              <w:right w:w="150" w:type="dxa"/>
            </w:tcMar>
          </w:tcPr>
          <w:p w14:paraId="49209C78" w14:textId="77777777" w:rsidR="00600A9F" w:rsidRDefault="00000000" w:rsidP="003463D4">
            <w:pPr>
              <w:spacing w:after="0"/>
            </w:pPr>
            <w:r>
              <w:t>Not reported</w:t>
            </w:r>
          </w:p>
        </w:tc>
        <w:tc>
          <w:tcPr>
            <w:tcW w:w="1543" w:type="dxa"/>
            <w:tcMar>
              <w:top w:w="100" w:type="dxa"/>
              <w:left w:w="150" w:type="dxa"/>
              <w:bottom w:w="100" w:type="dxa"/>
              <w:right w:w="150" w:type="dxa"/>
            </w:tcMar>
          </w:tcPr>
          <w:p w14:paraId="031F8230" w14:textId="77777777" w:rsidR="00600A9F" w:rsidRDefault="00000000" w:rsidP="003463D4">
            <w:pPr>
              <w:spacing w:after="0"/>
            </w:pPr>
            <w:r>
              <w:t>Not reported</w:t>
            </w:r>
          </w:p>
        </w:tc>
        <w:tc>
          <w:tcPr>
            <w:tcW w:w="3840" w:type="dxa"/>
            <w:tcMar>
              <w:top w:w="100" w:type="dxa"/>
              <w:left w:w="150" w:type="dxa"/>
              <w:bottom w:w="100" w:type="dxa"/>
              <w:right w:w="150" w:type="dxa"/>
            </w:tcMar>
          </w:tcPr>
          <w:p w14:paraId="6AD20FB3" w14:textId="77777777" w:rsidR="00600A9F" w:rsidRDefault="00000000" w:rsidP="003463D4">
            <w:pPr>
              <w:spacing w:after="0"/>
            </w:pPr>
            <w:r>
              <w:t>Showed that funding rate is a strong retail sentiment proxy, with crowded shorts leading to short squeezes. Matches our finding that low funding leads to highly significant positive returns.</w:t>
            </w:r>
          </w:p>
        </w:tc>
      </w:tr>
      <w:tr w:rsidR="00600A9F" w14:paraId="1F317362" w14:textId="77777777" w:rsidTr="00AD5F50">
        <w:trPr>
          <w:jc w:val="center"/>
        </w:trPr>
        <w:tc>
          <w:tcPr>
            <w:tcW w:w="1918" w:type="dxa"/>
            <w:tcMar>
              <w:top w:w="100" w:type="dxa"/>
              <w:left w:w="150" w:type="dxa"/>
              <w:bottom w:w="100" w:type="dxa"/>
              <w:right w:w="150" w:type="dxa"/>
            </w:tcMar>
          </w:tcPr>
          <w:p w14:paraId="0661B3CD" w14:textId="77777777" w:rsidR="00600A9F" w:rsidRDefault="00000000" w:rsidP="003463D4">
            <w:pPr>
              <w:spacing w:after="0"/>
            </w:pPr>
            <w:r>
              <w:t>López de Prado (2018)</w:t>
            </w:r>
            <w:r>
              <w:br/>
              <w:t>Low-Frequency Flow Signals</w:t>
            </w:r>
          </w:p>
        </w:tc>
        <w:tc>
          <w:tcPr>
            <w:tcW w:w="1966" w:type="dxa"/>
            <w:tcMar>
              <w:top w:w="100" w:type="dxa"/>
              <w:left w:w="150" w:type="dxa"/>
              <w:bottom w:w="100" w:type="dxa"/>
              <w:right w:w="150" w:type="dxa"/>
            </w:tcMar>
          </w:tcPr>
          <w:p w14:paraId="6D3B854E" w14:textId="77777777" w:rsidR="00600A9F" w:rsidRDefault="00000000" w:rsidP="003463D4">
            <w:pPr>
              <w:spacing w:after="0"/>
            </w:pPr>
            <w:r>
              <w:t>Global Asset Futures (Daily)</w:t>
            </w:r>
          </w:p>
        </w:tc>
        <w:tc>
          <w:tcPr>
            <w:tcW w:w="1377" w:type="dxa"/>
            <w:tcMar>
              <w:top w:w="100" w:type="dxa"/>
              <w:left w:w="150" w:type="dxa"/>
              <w:bottom w:w="100" w:type="dxa"/>
              <w:right w:w="150" w:type="dxa"/>
            </w:tcMar>
          </w:tcPr>
          <w:p w14:paraId="1F75E644" w14:textId="77777777" w:rsidR="00600A9F" w:rsidRDefault="00000000" w:rsidP="003463D4">
            <w:pPr>
              <w:spacing w:after="0"/>
            </w:pPr>
            <w:r>
              <w:t>Low standalone Sharpe</w:t>
            </w:r>
          </w:p>
        </w:tc>
        <w:tc>
          <w:tcPr>
            <w:tcW w:w="1543" w:type="dxa"/>
            <w:tcMar>
              <w:top w:w="100" w:type="dxa"/>
              <w:left w:w="150" w:type="dxa"/>
              <w:bottom w:w="100" w:type="dxa"/>
              <w:right w:w="150" w:type="dxa"/>
            </w:tcMar>
          </w:tcPr>
          <w:p w14:paraId="090F8BF5" w14:textId="77777777" w:rsidR="00600A9F" w:rsidRDefault="00000000" w:rsidP="003463D4">
            <w:pPr>
              <w:spacing w:after="0"/>
            </w:pPr>
            <w:r>
              <w:t>Not reported</w:t>
            </w:r>
          </w:p>
        </w:tc>
        <w:tc>
          <w:tcPr>
            <w:tcW w:w="3840" w:type="dxa"/>
            <w:tcMar>
              <w:top w:w="100" w:type="dxa"/>
              <w:left w:w="150" w:type="dxa"/>
              <w:bottom w:w="100" w:type="dxa"/>
              <w:right w:w="150" w:type="dxa"/>
            </w:tcMar>
          </w:tcPr>
          <w:p w14:paraId="3478F3E5" w14:textId="77777777" w:rsidR="00600A9F" w:rsidRDefault="00000000" w:rsidP="003463D4">
            <w:pPr>
              <w:spacing w:after="0"/>
            </w:pPr>
            <w:r>
              <w:t>Argued that low-frequency flow signals are best used as portfolio regime/risk filters rather than standalone high-turnover models due to friction. Matches our findings (Sharpe 0.193 net of 56.10% cost drag).</w:t>
            </w:r>
          </w:p>
        </w:tc>
      </w:tr>
      <w:tr w:rsidR="00600A9F" w14:paraId="29EB2DCF" w14:textId="77777777" w:rsidTr="00AD5F50">
        <w:trPr>
          <w:jc w:val="center"/>
        </w:trPr>
        <w:tc>
          <w:tcPr>
            <w:tcW w:w="1918" w:type="dxa"/>
            <w:tcMar>
              <w:top w:w="100" w:type="dxa"/>
              <w:left w:w="150" w:type="dxa"/>
              <w:bottom w:w="100" w:type="dxa"/>
              <w:right w:w="150" w:type="dxa"/>
            </w:tcMar>
          </w:tcPr>
          <w:p w14:paraId="47242C40" w14:textId="77777777" w:rsidR="00600A9F" w:rsidRDefault="00000000" w:rsidP="003463D4">
            <w:pPr>
              <w:spacing w:after="0"/>
            </w:pPr>
            <w:r>
              <w:t>THIS STUDY</w:t>
            </w:r>
            <w:r>
              <w:br/>
              <w:t>Contrarian Funding Strategy</w:t>
            </w:r>
          </w:p>
        </w:tc>
        <w:tc>
          <w:tcPr>
            <w:tcW w:w="1966" w:type="dxa"/>
            <w:tcMar>
              <w:top w:w="100" w:type="dxa"/>
              <w:left w:w="150" w:type="dxa"/>
              <w:bottom w:w="100" w:type="dxa"/>
              <w:right w:w="150" w:type="dxa"/>
            </w:tcMar>
          </w:tcPr>
          <w:p w14:paraId="51C26F30" w14:textId="77777777" w:rsidR="00600A9F" w:rsidRDefault="00000000" w:rsidP="003463D4">
            <w:pPr>
              <w:spacing w:after="0"/>
            </w:pPr>
            <w:r>
              <w:t>BTC Perpetual (Daily)</w:t>
            </w:r>
          </w:p>
        </w:tc>
        <w:tc>
          <w:tcPr>
            <w:tcW w:w="1377" w:type="dxa"/>
            <w:tcMar>
              <w:top w:w="100" w:type="dxa"/>
              <w:left w:w="150" w:type="dxa"/>
              <w:bottom w:w="100" w:type="dxa"/>
              <w:right w:w="150" w:type="dxa"/>
            </w:tcMar>
          </w:tcPr>
          <w:p w14:paraId="2B305968" w14:textId="77777777" w:rsidR="00600A9F" w:rsidRDefault="00000000" w:rsidP="003463D4">
            <w:pPr>
              <w:spacing w:after="0"/>
            </w:pPr>
            <w:r>
              <w:t>0.193</w:t>
            </w:r>
          </w:p>
        </w:tc>
        <w:tc>
          <w:tcPr>
            <w:tcW w:w="1543" w:type="dxa"/>
            <w:tcMar>
              <w:top w:w="100" w:type="dxa"/>
              <w:left w:w="150" w:type="dxa"/>
              <w:bottom w:w="100" w:type="dxa"/>
              <w:right w:w="150" w:type="dxa"/>
            </w:tcMar>
          </w:tcPr>
          <w:p w14:paraId="78E2C3DE" w14:textId="77777777" w:rsidR="00600A9F" w:rsidRDefault="00000000" w:rsidP="003463D4">
            <w:pPr>
              <w:spacing w:after="0"/>
            </w:pPr>
            <w:r>
              <w:t>1.53% CAGR</w:t>
            </w:r>
          </w:p>
        </w:tc>
        <w:tc>
          <w:tcPr>
            <w:tcW w:w="3840" w:type="dxa"/>
            <w:tcMar>
              <w:top w:w="100" w:type="dxa"/>
              <w:left w:w="150" w:type="dxa"/>
              <w:bottom w:w="100" w:type="dxa"/>
              <w:right w:w="150" w:type="dxa"/>
            </w:tcMar>
          </w:tcPr>
          <w:p w14:paraId="2E811ABA" w14:textId="77777777" w:rsidR="00600A9F" w:rsidRDefault="00000000" w:rsidP="003463D4">
            <w:pPr>
              <w:spacing w:after="0"/>
            </w:pPr>
            <w:r>
              <w:t>Standalone trading strategy is flat 90% of the time, resulting in low CAGR. Cost drag is severe, but drawdown is significantly reduced (38.99% vs. 76.63% for B&amp;H).</w:t>
            </w:r>
          </w:p>
        </w:tc>
      </w:tr>
    </w:tbl>
    <w:p w14:paraId="3E4928AE" w14:textId="77777777" w:rsidR="00600A9F" w:rsidRDefault="00600A9F"/>
    <w:p w14:paraId="17AA63D2" w14:textId="77777777" w:rsidR="00600A9F" w:rsidRDefault="00000000">
      <w:pPr>
        <w:spacing w:after="120"/>
      </w:pPr>
      <w:r>
        <w:rPr>
          <w:b/>
        </w:rPr>
        <w:t>Success Criteria Evaluation:</w:t>
      </w:r>
    </w:p>
    <w:p w14:paraId="7EC42323" w14:textId="77777777" w:rsidR="00600A9F" w:rsidRDefault="00000000">
      <w:pPr>
        <w:spacing w:after="120"/>
      </w:pPr>
      <w:r>
        <w:t>CLEAN NEGATIVE RESULT (Confirmed): While we established highly significant predictive alpha following crowded shorts (t-statistic of 2.962 &gt; 2.0, p-value &lt; 0.01), the rule-based strategy failed to achieve the target net Sharpe ratio (achieving a Net Sharpe of 0.193 vs. target &gt; 0.70). This is due to the low frequency of extreme funding rate events and the massive cost drag (56.10% total drag) caused by transaction fees. This confirms that funding rates cannot be exploited as a standalone trading strategy, but are highly valuable indicators for regime identification and risk filtering.</w:t>
      </w:r>
    </w:p>
    <w:p w14:paraId="73377A4F" w14:textId="25021DF3" w:rsidR="00600A9F" w:rsidRDefault="00600A9F">
      <w:pPr>
        <w:spacing w:after="120"/>
      </w:pPr>
    </w:p>
    <w:sectPr w:rsidR="00600A9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D1DF" w14:textId="77777777" w:rsidR="002939FD" w:rsidRDefault="002939FD" w:rsidP="00905735">
      <w:pPr>
        <w:spacing w:after="0" w:line="240" w:lineRule="auto"/>
      </w:pPr>
      <w:r>
        <w:separator/>
      </w:r>
    </w:p>
  </w:endnote>
  <w:endnote w:type="continuationSeparator" w:id="0">
    <w:p w14:paraId="708F7237" w14:textId="77777777" w:rsidR="002939FD" w:rsidRDefault="002939FD" w:rsidP="0090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13799" w14:textId="77777777" w:rsidR="002939FD" w:rsidRDefault="002939FD" w:rsidP="00905735">
      <w:pPr>
        <w:spacing w:after="0" w:line="240" w:lineRule="auto"/>
      </w:pPr>
      <w:r>
        <w:separator/>
      </w:r>
    </w:p>
  </w:footnote>
  <w:footnote w:type="continuationSeparator" w:id="0">
    <w:p w14:paraId="03184A3A" w14:textId="77777777" w:rsidR="002939FD" w:rsidRDefault="002939FD" w:rsidP="00905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78240">
    <w:abstractNumId w:val="8"/>
  </w:num>
  <w:num w:numId="2" w16cid:durableId="393703253">
    <w:abstractNumId w:val="6"/>
  </w:num>
  <w:num w:numId="3" w16cid:durableId="1293632984">
    <w:abstractNumId w:val="5"/>
  </w:num>
  <w:num w:numId="4" w16cid:durableId="376589997">
    <w:abstractNumId w:val="4"/>
  </w:num>
  <w:num w:numId="5" w16cid:durableId="1250384347">
    <w:abstractNumId w:val="7"/>
  </w:num>
  <w:num w:numId="6" w16cid:durableId="185564996">
    <w:abstractNumId w:val="3"/>
  </w:num>
  <w:num w:numId="7" w16cid:durableId="63530990">
    <w:abstractNumId w:val="2"/>
  </w:num>
  <w:num w:numId="8" w16cid:durableId="1178816107">
    <w:abstractNumId w:val="1"/>
  </w:num>
  <w:num w:numId="9" w16cid:durableId="31780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91D"/>
    <w:rsid w:val="002939FD"/>
    <w:rsid w:val="0029639D"/>
    <w:rsid w:val="00326F90"/>
    <w:rsid w:val="003463D4"/>
    <w:rsid w:val="00600A9F"/>
    <w:rsid w:val="008F7CAE"/>
    <w:rsid w:val="00905735"/>
    <w:rsid w:val="0096478F"/>
    <w:rsid w:val="00A07C89"/>
    <w:rsid w:val="00AA1D8D"/>
    <w:rsid w:val="00AD5F50"/>
    <w:rsid w:val="00B47730"/>
    <w:rsid w:val="00CB0664"/>
    <w:rsid w:val="00D31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F310C"/>
  <w14:defaultImageDpi w14:val="300"/>
  <w15:docId w15:val="{C1B3D525-5DAE-4EF2-999E-1512265A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8</cp:revision>
  <dcterms:created xsi:type="dcterms:W3CDTF">2013-12-23T23:15:00Z</dcterms:created>
  <dcterms:modified xsi:type="dcterms:W3CDTF">2026-07-09T07:18:00Z</dcterms:modified>
  <cp:category/>
</cp:coreProperties>
</file>