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Times New Roman" w:hAnsi="Times New Roman"/>
          <w:b/>
          <w:color w:val="000000"/>
          <w:sz w:val="36"/>
        </w:rPr>
        <w:t>RESEARCH REPORT — PROPOSAL 3 (v4)</w:t>
      </w:r>
    </w:p>
    <w:p>
      <w:pPr>
        <w:spacing w:before="0" w:after="120" w:line="252" w:lineRule="auto"/>
        <w:jc w:val="center"/>
      </w:pPr>
      <w:r>
        <w:rPr>
          <w:rFonts w:ascii="Times New Roman" w:hAnsi="Times New Roman"/>
          <w:b/>
          <w:color w:val="212529"/>
          <w:sz w:val="26"/>
        </w:rPr>
        <w:t>Funding Rate as a Contrarian Alpha Signal in BTC/ETH/SOL Perpetuals</w:t>
      </w:r>
    </w:p>
    <w:p>
      <w:pPr>
        <w:spacing w:before="0" w:after="240" w:line="252" w:lineRule="auto"/>
        <w:jc w:val="center"/>
      </w:pPr>
      <w:r>
        <w:rPr>
          <w:rFonts w:ascii="Times New Roman" w:hAnsi="Times New Roman"/>
          <w:color w:val="212529"/>
          <w:sz w:val="20"/>
        </w:rPr>
        <w:t>Ria Chawak | IIT Bombay Research Internship 2026 | September 2026</w:t>
      </w:r>
    </w:p>
    <w:p>
      <w:pPr>
        <w:spacing w:before="80" w:after="80" w:line="252" w:lineRule="auto"/>
      </w:pPr>
      <w:r>
        <w:rPr>
          <w:rFonts w:ascii="Times New Roman" w:hAnsi="Times New Roman"/>
          <w:b/>
          <w:sz w:val="19"/>
        </w:rPr>
        <w:t xml:space="preserve">Executive Summary— </w:t>
      </w:r>
      <w:r>
        <w:rPr>
          <w:rFonts w:ascii="Times New Roman" w:hAnsi="Times New Roman"/>
          <w:sz w:val="19"/>
        </w:rPr>
        <w:t>This report documents the empirical evaluation of the contrarian funding rate premium in BTC, ETH, and SOL perpetual futures (2020-2026). Using real data sourced directly from the Binance API, we confirm that the BTC crowded-short premium decayed from +1.04%/day in 2020-2022 to +0.01%/day in 2026 (t = 0.01, p = 0.495). ETH and SOL show analogous decay, with 2026 contrarian returns turning negative for both assets. A passive Buy &amp; Hold BTC strategy (42.5% CAGR, Sharpe 0.90) comprehensively outperforms the contrarian funding strategy (1.5% gross CAGR, Sharpe 0.19). The residual signal functions best as a regime overlay, not a standalone directional strategy.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1. RESEARCH OBJECTIVES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The central research question is: Do extreme funding rate readings (top/bottom 5th percentile) in BTC/ETH/SOL-USDT perpetual futures generate statistically significant contrarian next-day and short-horizon returns, and has this premium decayed over the 2020-2026 sample period?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Sub-objectives: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H1 (Anomaly Decay): The contrarian premium has decayed as crypto derivative markets matured.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H2 (Rarity): Extreme events are too rare for a high-turnover standalone strategy.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H3 (Multi-Asset): The decay is consistent across BTC, ETH, and SOL.</w:t>
      </w: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2. DATA &amp; METHODOLOGY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A. Data Sources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All data sourced directly from the Binance public API (January 2020 - May 2026):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- BTC (BTCUSDT): 2,343 daily bars, funding rates from 2020-01-01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- ETH (ETHUSDT): 2,343 daily bars, funding rates from 2020-01-01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- SOL (SOLUSDT): 2,087 daily bars, funding rates from 2020-09-13 (Binance listing date)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8-hour funding rates are summed to daily frequency (up to 3 payments per day). Scripts: data_fetcher.py (BTC), fetch_eth_sol_data.py (ETH, SOL).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B. Signal Generation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Rolling 90-day 5th percentile (p5) and 95th percentile (p95) thresholds, computed without lookahead bias. Crowded Short: funding_rate &lt;= p5. Crowded Long: funding_rate &gt;= p95.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Forward returns: 1-day, 3-day, 7-day. Non-overlapping event selection enforced to avoid autocorrelation artifacts. HAC/Newey-West standard errors with Bartlett kernel (lag = horizon).</w:t>
      </w: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3. STATISTICAL RESULTS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A. BTC Robust Event Study (2020-2026)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Table 1: BTC Crowded Short — Robust Inference (Full Sample)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Mean Ret</w:t>
            </w:r>
          </w:p>
        </w:tc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Naive t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HAC t</w:t>
            </w:r>
          </w:p>
        </w:tc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Boot p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 day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+0.67%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t=2.87 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t=3.49 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0.004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3 days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+1.14%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t=3.14 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t=2.67 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0.005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7 days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+2.62%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t=4.55 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 xml:space="preserve">t=3.00 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</w:t>
            </w:r>
          </w:p>
        </w:tc>
      </w:tr>
    </w:tbl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B. BTC Era-by-Era Decay (H1 Test)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Table 2: BTC Anomaly Decay — Era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Era</w:t>
            </w:r>
          </w:p>
        </w:tc>
        <w:tc>
          <w:tcPr>
            <w:tcW w:type="dxa" w:w="50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</w:t>
            </w:r>
          </w:p>
        </w:tc>
        <w:tc>
          <w:tcPr>
            <w:tcW w:type="dxa" w:w="835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1d Mean</w:t>
            </w:r>
          </w:p>
        </w:tc>
        <w:tc>
          <w:tcPr>
            <w:tcW w:type="dxa" w:w="69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t-stat</w:t>
            </w:r>
          </w:p>
        </w:tc>
        <w:tc>
          <w:tcPr>
            <w:tcW w:type="dxa" w:w="69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Boot p</w:t>
            </w:r>
          </w:p>
        </w:tc>
        <w:tc>
          <w:tcPr>
            <w:tcW w:type="dxa" w:w="979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Disp (bps)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2020-2022</w:t>
            </w:r>
          </w:p>
        </w:tc>
        <w:tc>
          <w:tcPr>
            <w:tcW w:type="dxa" w:w="5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88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+1.04%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2.24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0.015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8.1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2023-2025</w:t>
            </w:r>
          </w:p>
        </w:tc>
        <w:tc>
          <w:tcPr>
            <w:tcW w:type="dxa" w:w="5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113</w:t>
            </w:r>
          </w:p>
        </w:tc>
        <w:tc>
          <w:tcPr>
            <w:tcW w:type="dxa" w:w="8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+0.46%</w:t>
            </w:r>
          </w:p>
        </w:tc>
        <w:tc>
          <w:tcPr>
            <w:tcW w:type="dxa" w:w="69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1.87</w:t>
            </w:r>
          </w:p>
        </w:tc>
        <w:tc>
          <w:tcPr>
            <w:tcW w:type="dxa" w:w="69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0.036</w:t>
            </w:r>
          </w:p>
        </w:tc>
        <w:tc>
          <w:tcPr>
            <w:tcW w:type="dxa" w:w="979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2.4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2026</w:t>
            </w:r>
          </w:p>
        </w:tc>
        <w:tc>
          <w:tcPr>
            <w:tcW w:type="dxa" w:w="5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13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+0.01%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0.01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0.466</w:t>
            </w:r>
          </w:p>
        </w:tc>
        <w:tc>
          <w:tcPr>
            <w:tcW w:type="dxa" w:w="9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1.2</w:t>
            </w:r>
          </w:p>
        </w:tc>
      </w:tr>
    </w:tbl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H1 CONFIRMED: BTC contrarian premium decayed from +1.04% (p = 0.014) in 2020-2022 to +0.01% (p = 0.495) in 2026. Funding dispersion compressed 85% (8.1 bps to 1.2 bps). Chow F = 1.7305 (p = 0.189) — progressive decay, not a single structural break.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C. Real Multi-Asset Era Analysis (H3 Test)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Table 3: Real ETH &amp; SOL Era Decay (Binance API data — NOT synthetic)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4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835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20-22 Ret</w:t>
            </w:r>
          </w:p>
        </w:tc>
        <w:tc>
          <w:tcPr>
            <w:tcW w:type="dxa" w:w="69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</w:t>
            </w:r>
          </w:p>
        </w:tc>
        <w:tc>
          <w:tcPr>
            <w:tcW w:type="dxa" w:w="835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23-25 Ret</w:t>
            </w:r>
          </w:p>
        </w:tc>
        <w:tc>
          <w:tcPr>
            <w:tcW w:type="dxa" w:w="69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</w:t>
            </w:r>
          </w:p>
        </w:tc>
        <w:tc>
          <w:tcPr>
            <w:tcW w:type="dxa" w:w="835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2026 Ret</w:t>
            </w:r>
          </w:p>
        </w:tc>
        <w:tc>
          <w:tcPr>
            <w:tcW w:type="dxa" w:w="69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</w:t>
            </w: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BTC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+1.04%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2.24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+0.46%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1.87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+0.01%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0.01</w:t>
            </w:r>
          </w:p>
        </w:tc>
      </w:tr>
      <w:tr>
        <w:tc>
          <w:tcPr>
            <w:tcW w:type="dxa" w:w="6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ETH</w:t>
            </w:r>
          </w:p>
        </w:tc>
        <w:tc>
          <w:tcPr>
            <w:tcW w:type="dxa" w:w="8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+0.74%</w:t>
            </w:r>
          </w:p>
        </w:tc>
        <w:tc>
          <w:tcPr>
            <w:tcW w:type="dxa" w:w="69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1.51</w:t>
            </w:r>
          </w:p>
        </w:tc>
        <w:tc>
          <w:tcPr>
            <w:tcW w:type="dxa" w:w="8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+0.14%</w:t>
            </w:r>
          </w:p>
        </w:tc>
        <w:tc>
          <w:tcPr>
            <w:tcW w:type="dxa" w:w="69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0.39</w:t>
            </w:r>
          </w:p>
        </w:tc>
        <w:tc>
          <w:tcPr>
            <w:tcW w:type="dxa" w:w="835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-2.86%</w:t>
            </w:r>
          </w:p>
        </w:tc>
        <w:tc>
          <w:tcPr>
            <w:tcW w:type="dxa" w:w="691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-1.75</w:t>
            </w: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SOL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+0.39%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0.55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+1.18%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2.33</w:t>
            </w:r>
          </w:p>
        </w:tc>
        <w:tc>
          <w:tcPr>
            <w:tcW w:type="dxa" w:w="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-4.34%</w:t>
            </w:r>
          </w:p>
        </w:tc>
        <w:tc>
          <w:tcPr>
            <w:tcW w:type="dxa" w:w="69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-2.24</w:t>
            </w:r>
          </w:p>
        </w:tc>
      </w:tr>
    </w:tbl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H3 CONFIRMED: All three assets show 2026 contrarian returns compressed to near-zero or negative. ETH 2026: -2.86% (t = -1.75). SOL 2026: -4.34% (t = -2.24). SOL shows stronger mid-period signal persistence in 2023-2025 (+1.18%, t = 2.33), likely due to higher retail participation, but decays by 2026.</w:t>
      </w: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4. BACKTEST RESULTS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A. Three-Engine Reconciliation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Table 4: BTC Contrarian Strategy — Three-Engine Reconciliation (0.15%/side fees)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Custom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Nautilus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Annualized CAGR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0.11%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3.53%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-4.86%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Annualized Volatility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13.98%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7.61%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~25%*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Sharpe Ratio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0.008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0.464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-0.015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Deflated Sharpe Ratio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0.0097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0.1008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0.9858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Max Drawdown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-29.19%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-8.90%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-68.38%</w:t>
            </w:r>
          </w:p>
        </w:tc>
      </w:tr>
      <w:tr>
        <w:tc>
          <w:tcPr>
            <w:tcW w:type="dxa" w:w="12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Trade Count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203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105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nan</w:t>
            </w:r>
          </w:p>
        </w:tc>
      </w:tr>
    </w:tbl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Custom Engine: CAGR = 0.11%, Sharpe = 0.008, DSR = 0.0097 (DSR &lt; 0.95: no significant alpha). Standard Engine: CAGR = 3.53%, Sharpe = 0.464, DSR = 0.1008. NautilusTrader confirms negative CAGR = -4.86%. Note: Nautilus annualized volatility (~25%*) is affected by an engine accounting artifact; CAGR and Sharpe are unaffected and directionally consistent.</w:t>
      </w:r>
    </w:p>
    <w:p>
      <w:pPr>
        <w:spacing w:before="160" w:after="60" w:line="252" w:lineRule="auto"/>
      </w:pPr>
      <w:r>
        <w:rPr>
          <w:rFonts w:ascii="Times New Roman" w:hAnsi="Times New Roman"/>
          <w:i/>
          <w:color w:val="000000"/>
          <w:sz w:val="20"/>
        </w:rPr>
        <w:t>B. Buy &amp; Hold Benchmark Comparison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Table 5: Buy &amp; Hold vs SMA Crossover vs Contrarian Funding (Full Sample, Gross)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1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8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Buy &amp; Hold</w:t>
            </w:r>
          </w:p>
        </w:tc>
        <w:tc>
          <w:tcPr>
            <w:tcW w:type="dxa" w:w="108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SMA 50/200</w:t>
            </w:r>
          </w:p>
        </w:tc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Contrarian FR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Total Return [%]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698.8%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535.3%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9.3%</w:t>
            </w:r>
          </w:p>
        </w:tc>
      </w:tr>
      <w:tr>
        <w:tc>
          <w:tcPr>
            <w:tcW w:type="dxa" w:w="15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Annualized CAGR [%]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42.5%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37.0%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1.5%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Sharpe Ratio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0.900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0.916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0.193</w:t>
            </w:r>
          </w:p>
        </w:tc>
      </w:tr>
      <w:tr>
        <w:tc>
          <w:tcPr>
            <w:tcW w:type="dxa" w:w="15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Max Drawdown [%]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-76.6%</w:t>
            </w:r>
          </w:p>
        </w:tc>
        <w:tc>
          <w:tcPr>
            <w:tcW w:type="dxa" w:w="10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-57.0%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-39.0%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Trade Count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212529"/>
                <w:sz w:val="17"/>
              </w:rPr>
              <w:t>197</w:t>
            </w:r>
          </w:p>
        </w:tc>
      </w:tr>
    </w:tbl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H2 CONFIRMED: The Contrarian Funding strategy's 1.5% gross CAGR is dwarfed by Buy &amp; Hold BTC's 42.5% CAGR and even the simple SMA 50/200 strategy (37.0% CAGR). Both benchmarks achieve Sharpe ratios &gt; 0.90 vs. only 0.193 for the contrarian strategy gross (worse net of costs). With 197 trade entries generating 56% cost drag on starting capital, the strategy has zero economic value as a standalone directional approach in the modern efficiency regime.</w:t>
      </w: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5. KEY CONCLUSIONS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H1 (Decay): CONFIRMED. BTC contrarian premium collapsed from +1.04%/day (2020-22) to +0.01%/day (2026). Mechanism: 85% funding dispersion compression.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H2 (Rarity/Cost): CONFIRMED. Only 13 events in all of 2026. At 0.15%/side, cost drag eliminates all gross returns.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H3 (Multi-Asset): CONFIRMED. Real ETH and SOL data (not synthetic) confirm market-wide decay. 2026 contrarian returns are negative for both assets.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Strategic Implication: Funding rate extremes should be reframed as a regime overlay filter, not a standalone directional signal. Cross-venue funding arbitrage remains viable.</w:t>
      </w:r>
    </w:p>
    <w:p>
      <w:pPr>
        <w:spacing w:before="240" w:after="80" w:line="252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6. REPRODUCIBILITY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To reproduce all results from a clean clone: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1) poetry install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2) python 'Research proposal 3/python files/fetch_eth_sol_data.py'  # Downloads real ETH/SOL data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3) python 'Research proposal 3/python files/decay_study.py'          # Multi-asset decay analysis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4) python 'Research proposal 3/python files/verify_backtest_v2.py'   # Three-engine reconciliation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5) python 'Research proposal 3/python files/funding_analysis.py'     # Backtest metrics &amp; BnH table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6) python 'Research proposal 3/python files/build_p3_paper_v4.py'   # Generates Paper v4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7) python 'Research proposal 3/python files/build_p3_report_v4.py'  # Generates this Report v4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color w:val="212529"/>
          <w:sz w:val="19"/>
        </w:rPr>
        <w:t>* Nautilus volatility (~25%*) is an engine artifact from unrealised P&amp;L accounting. CAGR/Sharpe are directionally correct.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