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C76DD" w14:textId="77777777" w:rsidR="008A4DBC" w:rsidRDefault="00000000">
      <w:pPr>
        <w:spacing w:after="120" w:line="252" w:lineRule="auto"/>
        <w:jc w:val="center"/>
      </w:pPr>
      <w:r>
        <w:rPr>
          <w:rFonts w:ascii="Times New Roman" w:hAnsi="Times New Roman"/>
          <w:b/>
          <w:color w:val="000000"/>
          <w:sz w:val="40"/>
        </w:rPr>
        <w:t>The Decay of the Funding-Rate Contrarian Premium in Crypto Perpetual Futures, 2020–2026</w:t>
      </w:r>
    </w:p>
    <w:p w14:paraId="05E8B682" w14:textId="75106E6E" w:rsidR="008A4DBC" w:rsidRDefault="00000000">
      <w:pPr>
        <w:spacing w:after="240" w:line="252" w:lineRule="auto"/>
        <w:jc w:val="center"/>
      </w:pPr>
      <w:r>
        <w:rPr>
          <w:rFonts w:ascii="Times New Roman" w:hAnsi="Times New Roman"/>
          <w:color w:val="212529"/>
          <w:sz w:val="20"/>
        </w:rPr>
        <w:t>Ria Chawak</w:t>
      </w:r>
      <w:r>
        <w:rPr>
          <w:rFonts w:ascii="Times New Roman" w:hAnsi="Times New Roman"/>
          <w:color w:val="212529"/>
          <w:sz w:val="20"/>
        </w:rPr>
        <w:br/>
      </w:r>
    </w:p>
    <w:p w14:paraId="4BAE51DF" w14:textId="77777777" w:rsidR="008A4DBC" w:rsidRDefault="00000000">
      <w:pPr>
        <w:spacing w:before="80" w:after="120" w:line="252" w:lineRule="auto"/>
        <w:jc w:val="both"/>
      </w:pPr>
      <w:r>
        <w:rPr>
          <w:rFonts w:ascii="Times New Roman" w:hAnsi="Times New Roman"/>
          <w:b/>
          <w:sz w:val="19"/>
        </w:rPr>
        <w:t xml:space="preserve">Abstract— </w:t>
      </w:r>
      <w:r>
        <w:rPr>
          <w:rFonts w:ascii="Times New Roman" w:hAnsi="Times New Roman"/>
          <w:sz w:val="19"/>
        </w:rPr>
        <w:t>Perpetual futures contracts in cryptocurrency markets feature a periodic funding rate mechanism designed to tether derivative prices to underlying spot indices. Historically, extreme negative funding rates generated a statistically significant positive mean return ('crowded shorts'). This study investigates the temporal stability and decay of this contrarian funding premium across Bitcoin (BTC), Ethereum (ETH), and Solana (SOL) perpetual contracts from 2020 through 2026. Utilizing non-overlapping event sampling, Heteroskedasticity and Autocorrelation Consistent (HAC / Newey-West) standard errors, and stationary block bootstrapping (1,000 resamples), we document severe anomaly erosion: next-day contrarian returns collapsed from +1.04% per day (t = 2.24, p = 0.015) in 2020–2022 to +0.46% (t = 1.87) in 2023–2025, and down to +0.01% (t = 0.01, p = 0.466) in 2026. We identify the primary structural mechanism as funding dispersion compression, where daily funding volatility collapsed from 8.1 bps to 1.2 bps as institutional market-making and arbitrage capital matured. Backtesting a rule-based contrarian strategy out-of-sample yields negative net CAGRs (-24.85% for BTC) under conservative 0.15%/side fees, with Deflated Sharpe Ratios (DSR) confirming no statistically significant outperformance against passive Buy &amp; Hold (+19.0% CAGR, Sharpe 0.50). We conclude that perpetual funding extremes no longer function as a standalone directional alpha source, but retain high utility as a dynamic regime filter for scaling portfolio exposure.</w:t>
      </w:r>
    </w:p>
    <w:p w14:paraId="7987BE23" w14:textId="77777777" w:rsidR="008A4DBC" w:rsidRDefault="00000000">
      <w:pPr>
        <w:spacing w:before="40" w:after="240" w:line="252" w:lineRule="auto"/>
      </w:pPr>
      <w:r>
        <w:rPr>
          <w:rFonts w:ascii="Times New Roman" w:hAnsi="Times New Roman"/>
          <w:b/>
          <w:i/>
          <w:sz w:val="19"/>
        </w:rPr>
        <w:t xml:space="preserve">Index Terms— </w:t>
      </w:r>
      <w:r>
        <w:rPr>
          <w:rFonts w:ascii="Times New Roman" w:hAnsi="Times New Roman"/>
          <w:sz w:val="19"/>
        </w:rPr>
        <w:t>Cryptocurrency Perpetual Futures, Funding Rate, Anomaly Decay, McLean &amp; Pontiff, Block Bootstrap, Deflated Sharpe Ratio, Buy &amp; Hold Benchmark.</w:t>
      </w:r>
    </w:p>
    <w:p w14:paraId="679634A8" w14:textId="77777777" w:rsidR="008A4DBC" w:rsidRDefault="008A4DBC">
      <w:pPr>
        <w:sectPr w:rsidR="008A4DBC">
          <w:pgSz w:w="12240" w:h="15840"/>
          <w:pgMar w:top="1080" w:right="1080" w:bottom="1080" w:left="1080" w:header="720" w:footer="720" w:gutter="0"/>
          <w:cols w:space="720"/>
          <w:docGrid w:linePitch="360"/>
        </w:sectPr>
      </w:pPr>
    </w:p>
    <w:p w14:paraId="086EF943" w14:textId="77777777" w:rsidR="008A4DBC" w:rsidRDefault="00000000">
      <w:pPr>
        <w:spacing w:before="240" w:after="80" w:line="252" w:lineRule="auto"/>
        <w:jc w:val="center"/>
      </w:pPr>
      <w:r>
        <w:rPr>
          <w:rFonts w:ascii="Times New Roman" w:hAnsi="Times New Roman"/>
          <w:b/>
          <w:color w:val="000000"/>
        </w:rPr>
        <w:lastRenderedPageBreak/>
        <w:t>I. INTRODUCTION &amp; THEORETICAL FRAMING</w:t>
      </w:r>
    </w:p>
    <w:p w14:paraId="245D25DB" w14:textId="77777777" w:rsidR="008A4DBC" w:rsidRDefault="00000000">
      <w:pPr>
        <w:spacing w:before="160" w:after="60" w:line="252" w:lineRule="auto"/>
      </w:pPr>
      <w:r>
        <w:rPr>
          <w:rFonts w:ascii="Times New Roman" w:hAnsi="Times New Roman"/>
          <w:i/>
          <w:color w:val="000000"/>
          <w:sz w:val="20"/>
        </w:rPr>
        <w:t>A. Background and Market Context</w:t>
      </w:r>
    </w:p>
    <w:p w14:paraId="248203F9" w14:textId="77777777" w:rsidR="008A4DBC" w:rsidRDefault="00000000">
      <w:pPr>
        <w:spacing w:after="80" w:line="252" w:lineRule="auto"/>
        <w:jc w:val="both"/>
      </w:pPr>
      <w:r>
        <w:rPr>
          <w:rFonts w:ascii="Times New Roman" w:hAnsi="Times New Roman"/>
          <w:color w:val="212529"/>
          <w:sz w:val="19"/>
        </w:rPr>
        <w:t>Cryptocurrency perpetual futures contracts ('perpetual swaps') represent the dominant financial vehicle for digital asset price discovery, accounting for over 75% of global crypto trading volume. Introduced originally by BitMEX in 2016 and expanded across major platforms such as Binance, Bybit, and OKX, perpetual contracts allow traders to acquire leveraged long or short exposure without an explicit calendar expiration date. To prevent the derivative contract price from permanently drifting away from the underlying spot index, exchange matching engines enforce an automatic cash settlement mechanism known as the funding rate.</w:t>
      </w:r>
    </w:p>
    <w:p w14:paraId="2ADF30E3" w14:textId="77777777" w:rsidR="008A4DBC" w:rsidRDefault="00000000">
      <w:pPr>
        <w:spacing w:after="80" w:line="252" w:lineRule="auto"/>
        <w:jc w:val="both"/>
      </w:pPr>
      <w:r>
        <w:rPr>
          <w:rFonts w:ascii="Times New Roman" w:hAnsi="Times New Roman"/>
          <w:color w:val="212529"/>
          <w:sz w:val="19"/>
        </w:rPr>
        <w:t>Funding rates are typically exchanged every eight hours between long and short contract holders. When the perpetual futures price trades at a premium to the spot index, the funding rate is positive, requiring long position holders to pay shorts. Conversely, when the perpetual trades at a discount, the funding rate is negative, requiring shorts to pay longs. Because funding payments are calculated as a percentage of open notional exposure, extreme funding rate levels reflect massive directional leverage imbalance and retail sentiment polarization.</w:t>
      </w:r>
    </w:p>
    <w:p w14:paraId="4F634E9A" w14:textId="77777777" w:rsidR="008A4DBC" w:rsidRDefault="00000000">
      <w:pPr>
        <w:spacing w:before="160" w:after="60" w:line="252" w:lineRule="auto"/>
      </w:pPr>
      <w:r>
        <w:rPr>
          <w:rFonts w:ascii="Times New Roman" w:hAnsi="Times New Roman"/>
          <w:i/>
          <w:color w:val="000000"/>
          <w:sz w:val="20"/>
        </w:rPr>
        <w:t>B. Anomaly Decay Hypothesis (H1)</w:t>
      </w:r>
    </w:p>
    <w:p w14:paraId="2FCB577E" w14:textId="77777777" w:rsidR="008A4DBC" w:rsidRDefault="00000000">
      <w:pPr>
        <w:spacing w:after="80" w:line="252" w:lineRule="auto"/>
        <w:jc w:val="both"/>
      </w:pPr>
      <w:r>
        <w:rPr>
          <w:rFonts w:ascii="Times New Roman" w:hAnsi="Times New Roman"/>
          <w:color w:val="212529"/>
          <w:sz w:val="19"/>
        </w:rPr>
        <w:t>In the early evolution of cryptocurrency markets (2018–2022), extreme negative funding rates frequently heralded severe market dislocations. When retail traders aggressively shorted perpetual contracts during market drawdowns, funding rates plunged to negative extremes (e.g. -0.05% to -0.10% per 8 hours). Quantitative traders observed a strong 'contrarian funding premium': entering long positions during extreme negative funding windows yielded statistically significant excess returns, driven by short liquidations and rapid mean-reversion squeezes.</w:t>
      </w:r>
    </w:p>
    <w:p w14:paraId="26E845AE" w14:textId="77777777" w:rsidR="008A4DBC" w:rsidRDefault="00000000">
      <w:pPr>
        <w:spacing w:after="80" w:line="252" w:lineRule="auto"/>
        <w:jc w:val="both"/>
      </w:pPr>
      <w:r>
        <w:rPr>
          <w:rFonts w:ascii="Times New Roman" w:hAnsi="Times New Roman"/>
          <w:color w:val="212529"/>
          <w:sz w:val="19"/>
        </w:rPr>
        <w:t>However, modern financial economics (McLean &amp; Pontiff, 2016) posits that quantitative market anomalies and predictability rules inevitably erode over time. As academic literature publicizes empirical trading rules, competitive arbitrage capital, high-frequency market makers, and institutional prime brokers enter the market, rapidly consuming mispricings and compressing return spreads.</w:t>
      </w:r>
    </w:p>
    <w:p w14:paraId="37C5F3EF" w14:textId="77777777" w:rsidR="008A4DBC" w:rsidRDefault="00000000">
      <w:pPr>
        <w:spacing w:after="80" w:line="252" w:lineRule="auto"/>
        <w:jc w:val="both"/>
      </w:pPr>
      <w:r>
        <w:rPr>
          <w:rFonts w:ascii="Times New Roman" w:hAnsi="Times New Roman"/>
          <w:color w:val="212529"/>
          <w:sz w:val="19"/>
        </w:rPr>
        <w:t>We formalize this inquiry by stating the central empirical hypothesis of this research:</w:t>
      </w:r>
    </w:p>
    <w:p w14:paraId="402BFBDB" w14:textId="77777777" w:rsidR="008A4DBC" w:rsidRDefault="00000000">
      <w:pPr>
        <w:spacing w:after="80" w:line="252" w:lineRule="auto"/>
        <w:jc w:val="both"/>
      </w:pPr>
      <w:r>
        <w:rPr>
          <w:rFonts w:ascii="Times New Roman" w:hAnsi="Times New Roman"/>
          <w:color w:val="212529"/>
          <w:sz w:val="19"/>
        </w:rPr>
        <w:t>Hypothesis H1 (Anomaly Decay): The contrarian funding rate premium in cryptocurrency perpetual futures has undergone systematic alpha decay between 2020 and 2026 as derivative market liquidity, institutional arbitrage capital, and market-making efficiency matured.</w:t>
      </w:r>
    </w:p>
    <w:p w14:paraId="7269C6D7" w14:textId="77777777" w:rsidR="008A4DBC" w:rsidRDefault="00000000">
      <w:pPr>
        <w:spacing w:before="160" w:after="60" w:line="252" w:lineRule="auto"/>
      </w:pPr>
      <w:r>
        <w:rPr>
          <w:rFonts w:ascii="Times New Roman" w:hAnsi="Times New Roman"/>
          <w:i/>
          <w:color w:val="000000"/>
          <w:sz w:val="20"/>
        </w:rPr>
        <w:t>C. Research Contributions &amp; Benchmarks</w:t>
      </w:r>
    </w:p>
    <w:p w14:paraId="5EFE0E7B" w14:textId="77777777" w:rsidR="008A4DBC" w:rsidRDefault="00000000">
      <w:pPr>
        <w:spacing w:after="80" w:line="252" w:lineRule="auto"/>
        <w:jc w:val="both"/>
      </w:pPr>
      <w:r>
        <w:rPr>
          <w:rFonts w:ascii="Times New Roman" w:hAnsi="Times New Roman"/>
          <w:color w:val="212529"/>
          <w:sz w:val="19"/>
        </w:rPr>
        <w:t>To rigorously test Hypothesis H1, this study delivers four core contributions:</w:t>
      </w:r>
    </w:p>
    <w:p w14:paraId="537E5F92" w14:textId="77777777" w:rsidR="008A4DBC" w:rsidRDefault="00000000">
      <w:pPr>
        <w:spacing w:after="80" w:line="252" w:lineRule="auto"/>
        <w:jc w:val="both"/>
      </w:pPr>
      <w:r>
        <w:rPr>
          <w:rFonts w:ascii="Times New Roman" w:hAnsi="Times New Roman"/>
          <w:color w:val="212529"/>
          <w:sz w:val="19"/>
        </w:rPr>
        <w:t>1) Methodological Inference: We eliminate overlapping return autocorrelation artifacts by implementing non-</w:t>
      </w:r>
      <w:r>
        <w:rPr>
          <w:rFonts w:ascii="Times New Roman" w:hAnsi="Times New Roman"/>
          <w:color w:val="212529"/>
          <w:sz w:val="19"/>
        </w:rPr>
        <w:t>overlapping event sampling, Heteroskedasticity and Autocorrelation Consistent (HAC / Newey-West) standard errors, and stationary block bootstrapping (1,000 resamples).</w:t>
      </w:r>
    </w:p>
    <w:p w14:paraId="32254A8B" w14:textId="77777777" w:rsidR="008A4DBC" w:rsidRDefault="00000000">
      <w:pPr>
        <w:spacing w:after="80" w:line="252" w:lineRule="auto"/>
        <w:jc w:val="both"/>
      </w:pPr>
      <w:r>
        <w:rPr>
          <w:rFonts w:ascii="Times New Roman" w:hAnsi="Times New Roman"/>
          <w:color w:val="212529"/>
          <w:sz w:val="19"/>
        </w:rPr>
        <w:t>2) Empirical Anomaly Decay Quantification: We demonstrate that next-day contrarian returns following crowded short events collapsed from +1.04% per day (t = 2.24, p = 0.015) in 2020–2022 to +0.46% (t = 1.87) in 2023–2025, and down to +0.01% (t = 0.01, p = 0.466) in 2026.</w:t>
      </w:r>
    </w:p>
    <w:p w14:paraId="5BA97C8D" w14:textId="77777777" w:rsidR="008A4DBC" w:rsidRDefault="00000000">
      <w:pPr>
        <w:spacing w:after="80" w:line="252" w:lineRule="auto"/>
        <w:jc w:val="both"/>
      </w:pPr>
      <w:r>
        <w:rPr>
          <w:rFonts w:ascii="Times New Roman" w:hAnsi="Times New Roman"/>
          <w:color w:val="212529"/>
          <w:sz w:val="19"/>
        </w:rPr>
        <w:t>3) Mechanism Identification: We identify funding rate dispersion compression (daily volatility collapsing from 8.1 bps to 1.2 bps) as the primary structural driver of anomaly decay.</w:t>
      </w:r>
    </w:p>
    <w:p w14:paraId="101C270F" w14:textId="77777777" w:rsidR="008A4DBC" w:rsidRDefault="00000000">
      <w:pPr>
        <w:spacing w:after="80" w:line="252" w:lineRule="auto"/>
        <w:jc w:val="both"/>
      </w:pPr>
      <w:r>
        <w:rPr>
          <w:rFonts w:ascii="Times New Roman" w:hAnsi="Times New Roman"/>
          <w:color w:val="212529"/>
          <w:sz w:val="19"/>
        </w:rPr>
        <w:t>4) Cross-Engine Verification &amp; Benchmarking: We verify out-of-sample trading execution across three independent simulation engines (Custom Event-Driven, backtesting.py, and NautilusTrader) net of 0.15% transaction costs. All directional strategies are explicitly evaluated against a passive Buy &amp; Hold baseline (+19.0% CAGR, Sharpe 0.500) and risk-free cash benchmarks to ensure uncompromised evaluation.</w:t>
      </w:r>
    </w:p>
    <w:p w14:paraId="23132B44" w14:textId="77777777" w:rsidR="008A4DBC" w:rsidRDefault="00000000">
      <w:pPr>
        <w:spacing w:before="240" w:after="80" w:line="252" w:lineRule="auto"/>
        <w:jc w:val="center"/>
      </w:pPr>
      <w:r>
        <w:rPr>
          <w:rFonts w:ascii="Times New Roman" w:hAnsi="Times New Roman"/>
          <w:b/>
          <w:color w:val="000000"/>
        </w:rPr>
        <w:t>II. LITERATURE REVIEW &amp; THEORETICAL FRAMEWORK</w:t>
      </w:r>
    </w:p>
    <w:p w14:paraId="316F87C0" w14:textId="77777777" w:rsidR="008A4DBC" w:rsidRDefault="00000000">
      <w:pPr>
        <w:spacing w:before="160" w:after="60" w:line="252" w:lineRule="auto"/>
      </w:pPr>
      <w:r>
        <w:rPr>
          <w:rFonts w:ascii="Times New Roman" w:hAnsi="Times New Roman"/>
          <w:i/>
          <w:color w:val="000000"/>
          <w:sz w:val="20"/>
        </w:rPr>
        <w:t>A. Classical Anomaly Decay Framing (McLean &amp; Pontiff, 2016)</w:t>
      </w:r>
    </w:p>
    <w:p w14:paraId="1EB7A57F" w14:textId="77777777" w:rsidR="008A4DBC" w:rsidRDefault="00000000">
      <w:pPr>
        <w:spacing w:after="80" w:line="252" w:lineRule="auto"/>
        <w:jc w:val="both"/>
      </w:pPr>
      <w:r>
        <w:rPr>
          <w:rFonts w:ascii="Times New Roman" w:hAnsi="Times New Roman"/>
          <w:color w:val="212529"/>
          <w:sz w:val="19"/>
        </w:rPr>
        <w:t>The theoretical backbone of anomaly decay rests on the seminal work of McLean &amp; Pontiff (2016). Analyzing 97 equity market anomalies across decades of US data, McLean &amp; Pontiff demonstrated that portfolio return predictability drops by an average of 58% post-publication. They isolated two distinct causes of return decline: (1) post-publication arbitrage, where sophisticated investors trade on published findings, and (2) in-sample statistical bias (data mining). In crypto markets, where barrier-to-entry for algorithmic trading is low and order execution is fully digitized, anomaly decay occurs at an accelerated pace compared to traditional equities.</w:t>
      </w:r>
    </w:p>
    <w:p w14:paraId="0654BD53" w14:textId="77777777" w:rsidR="008A4DBC" w:rsidRDefault="00000000">
      <w:pPr>
        <w:spacing w:before="160" w:after="60" w:line="252" w:lineRule="auto"/>
      </w:pPr>
      <w:r>
        <w:rPr>
          <w:rFonts w:ascii="Times New Roman" w:hAnsi="Times New Roman"/>
          <w:i/>
          <w:color w:val="000000"/>
          <w:sz w:val="20"/>
        </w:rPr>
        <w:t>B. Perpetual Futures Mechanics &amp; Price Discovery</w:t>
      </w:r>
    </w:p>
    <w:p w14:paraId="7BEFD7DD" w14:textId="77777777" w:rsidR="008A4DBC" w:rsidRDefault="00000000">
      <w:pPr>
        <w:spacing w:after="80" w:line="252" w:lineRule="auto"/>
        <w:jc w:val="both"/>
      </w:pPr>
      <w:r>
        <w:rPr>
          <w:rFonts w:ascii="Times New Roman" w:hAnsi="Times New Roman"/>
          <w:color w:val="212529"/>
          <w:sz w:val="19"/>
        </w:rPr>
        <w:t>Alexander &amp; Heck (2020) conducted comprehensive microstructural analyses of crypto spot and derivative markets, demonstrating that perpetual futures lead spot markets in price discovery. The perpetual funding rate mechanism acts as an implicit interest rate differential and leverage sentiment gauge. When funding rates diverge significantly from zero, it signals structural supply-demand imbalances between leveraged speculators and risk-averse liquidity providers.</w:t>
      </w:r>
    </w:p>
    <w:p w14:paraId="3B393AC3" w14:textId="77777777" w:rsidR="008A4DBC" w:rsidRDefault="00000000">
      <w:pPr>
        <w:spacing w:after="80" w:line="252" w:lineRule="auto"/>
        <w:jc w:val="both"/>
      </w:pPr>
      <w:r>
        <w:rPr>
          <w:rFonts w:ascii="Times New Roman" w:hAnsi="Times New Roman"/>
          <w:color w:val="212529"/>
          <w:sz w:val="19"/>
        </w:rPr>
        <w:t>Fischer &amp; Krauss (2018) highlighted the necessity of rigorous out-of-sample walk-forward validation and realistic transaction cost modeling in quantitative crypto trading. They proved that naive backtesting strategies without transaction costs overestimate performance by orders of magnitude.</w:t>
      </w:r>
    </w:p>
    <w:p w14:paraId="1D901FE3" w14:textId="77777777" w:rsidR="008A4DBC" w:rsidRDefault="00000000">
      <w:pPr>
        <w:spacing w:before="160" w:after="60" w:line="252" w:lineRule="auto"/>
      </w:pPr>
      <w:r>
        <w:rPr>
          <w:rFonts w:ascii="Times New Roman" w:hAnsi="Times New Roman"/>
          <w:i/>
          <w:color w:val="000000"/>
          <w:sz w:val="20"/>
        </w:rPr>
        <w:t>C. Multiple Testing &amp; Deflated Sharpe Ratio</w:t>
      </w:r>
    </w:p>
    <w:p w14:paraId="3D240129" w14:textId="77777777" w:rsidR="008A4DBC" w:rsidRDefault="00000000">
      <w:pPr>
        <w:spacing w:after="80" w:line="252" w:lineRule="auto"/>
        <w:jc w:val="both"/>
      </w:pPr>
      <w:r>
        <w:rPr>
          <w:rFonts w:ascii="Times New Roman" w:hAnsi="Times New Roman"/>
          <w:color w:val="212529"/>
          <w:sz w:val="19"/>
        </w:rPr>
        <w:lastRenderedPageBreak/>
        <w:t>Bailey &amp; López de Prado (2014) formulated the Deflated Sharpe Ratio (DSR) to solve the ubiquitous problem of backtest overfitting and selection bias. In quantitative research, trying multiple indicator windows, percentile cutoffs, or machine learning hyperparameters increases the probability of discovering false positive alpha. DSR computes the probability that an observed Sharpe ratio exceeds a benchmark Sharpe ratio, explicitly adjusting for the variance of trial Sharpe ratios, sample length, skewness, and kurtosis. A DSR threshold of 0.95 (equivalent to a 5% significance level) is required to establish true statistical outperformance.</w:t>
      </w:r>
    </w:p>
    <w:p w14:paraId="294D567E" w14:textId="77777777" w:rsidR="008A4DBC" w:rsidRDefault="00000000">
      <w:pPr>
        <w:spacing w:before="240" w:after="80" w:line="252" w:lineRule="auto"/>
        <w:jc w:val="center"/>
      </w:pPr>
      <w:r>
        <w:rPr>
          <w:rFonts w:ascii="Times New Roman" w:hAnsi="Times New Roman"/>
          <w:b/>
          <w:color w:val="000000"/>
        </w:rPr>
        <w:t>III. DATA &amp; EMPIRICAL METHODOLOGY</w:t>
      </w:r>
    </w:p>
    <w:p w14:paraId="16FBD606" w14:textId="77777777" w:rsidR="008A4DBC" w:rsidRDefault="00000000">
      <w:pPr>
        <w:spacing w:before="160" w:after="60" w:line="252" w:lineRule="auto"/>
      </w:pPr>
      <w:r>
        <w:rPr>
          <w:rFonts w:ascii="Times New Roman" w:hAnsi="Times New Roman"/>
          <w:i/>
          <w:color w:val="000000"/>
          <w:sz w:val="20"/>
        </w:rPr>
        <w:t>A. Dataset Overview &amp; Data Quality</w:t>
      </w:r>
    </w:p>
    <w:p w14:paraId="564E6B23" w14:textId="77777777" w:rsidR="008A4DBC" w:rsidRDefault="00000000">
      <w:pPr>
        <w:spacing w:after="80" w:line="252" w:lineRule="auto"/>
        <w:jc w:val="both"/>
      </w:pPr>
      <w:r>
        <w:rPr>
          <w:rFonts w:ascii="Times New Roman" w:hAnsi="Times New Roman"/>
          <w:color w:val="212529"/>
          <w:sz w:val="19"/>
        </w:rPr>
        <w:t>Our primary dataset comprises daily OHLCV price series and 8-hour funding rate histories for Binance USDT-marginal perpetual futures contracts spanning January 1, 2020 through April 11, 2026 (2,345 daily observations). Binance was selected due to its market dominance, accounting for over 50% of global perpetual futures liquidity. Data integrity checks were conducted to verify timezone-naive UTC timestamp alignment, zero missing bars, and exact funding rate compounding logic.</w:t>
      </w:r>
    </w:p>
    <w:p w14:paraId="1970F815" w14:textId="77777777" w:rsidR="008A4DBC" w:rsidRDefault="00000000">
      <w:pPr>
        <w:spacing w:before="160" w:after="60" w:line="252" w:lineRule="auto"/>
      </w:pPr>
      <w:r>
        <w:rPr>
          <w:rFonts w:ascii="Times New Roman" w:hAnsi="Times New Roman"/>
          <w:i/>
          <w:color w:val="000000"/>
          <w:sz w:val="20"/>
        </w:rPr>
        <w:t>B. Percentile Signal Generation &amp; Volatility Standardization</w:t>
      </w:r>
    </w:p>
    <w:p w14:paraId="1DE9F35B" w14:textId="77777777" w:rsidR="008A4DBC" w:rsidRDefault="00000000">
      <w:pPr>
        <w:spacing w:after="80" w:line="252" w:lineRule="auto"/>
        <w:jc w:val="both"/>
      </w:pPr>
      <w:r>
        <w:rPr>
          <w:rFonts w:ascii="Times New Roman" w:hAnsi="Times New Roman"/>
          <w:color w:val="212529"/>
          <w:sz w:val="19"/>
        </w:rPr>
        <w:t>To capture funding rate extremes without lookahead bias, we compute rolling 90-day 5th percentile (p5) and 95th percentile (p95) thresholds on daily funding rates. A 'Crowded Short' event is triggered at bar t when:</w:t>
      </w:r>
    </w:p>
    <w:p w14:paraId="3329A69A" w14:textId="77777777" w:rsidR="008A4DBC" w:rsidRDefault="00000000">
      <w:pPr>
        <w:spacing w:after="80" w:line="252" w:lineRule="auto"/>
        <w:jc w:val="both"/>
      </w:pPr>
      <w:r>
        <w:rPr>
          <w:rFonts w:ascii="Times New Roman" w:hAnsi="Times New Roman"/>
          <w:color w:val="212529"/>
          <w:sz w:val="19"/>
        </w:rPr>
        <w:t>FundingRate_t &lt;= RollingPercentile_90d(FundingRate, 0.05)</w:t>
      </w:r>
    </w:p>
    <w:p w14:paraId="5FE932CB" w14:textId="77777777" w:rsidR="008A4DBC" w:rsidRDefault="00000000">
      <w:pPr>
        <w:spacing w:after="80" w:line="252" w:lineRule="auto"/>
        <w:jc w:val="both"/>
      </w:pPr>
      <w:r>
        <w:rPr>
          <w:rFonts w:ascii="Times New Roman" w:hAnsi="Times New Roman"/>
          <w:color w:val="212529"/>
          <w:sz w:val="19"/>
        </w:rPr>
        <w:t>A 'Crowded Long' event is triggered at bar t when:</w:t>
      </w:r>
    </w:p>
    <w:p w14:paraId="104E6F37" w14:textId="77777777" w:rsidR="008A4DBC" w:rsidRDefault="00000000">
      <w:pPr>
        <w:spacing w:after="80" w:line="252" w:lineRule="auto"/>
        <w:jc w:val="both"/>
      </w:pPr>
      <w:r>
        <w:rPr>
          <w:rFonts w:ascii="Times New Roman" w:hAnsi="Times New Roman"/>
          <w:color w:val="212529"/>
          <w:sz w:val="19"/>
        </w:rPr>
        <w:t>FundingRate_t &gt;= RollingPercentile_90d(FundingRate, 0.95)</w:t>
      </w:r>
    </w:p>
    <w:p w14:paraId="2C0D3FD0" w14:textId="77777777" w:rsidR="008A4DBC" w:rsidRDefault="00000000">
      <w:pPr>
        <w:spacing w:after="80" w:line="252" w:lineRule="auto"/>
        <w:jc w:val="both"/>
      </w:pPr>
      <w:r>
        <w:rPr>
          <w:rFonts w:ascii="Times New Roman" w:hAnsi="Times New Roman"/>
          <w:color w:val="212529"/>
          <w:sz w:val="19"/>
        </w:rPr>
        <w:t>To evaluate volatility regime shifts, we also compute the standardized funding rate z-score:</w:t>
      </w:r>
    </w:p>
    <w:p w14:paraId="1355D632" w14:textId="77777777" w:rsidR="008A4DBC" w:rsidRDefault="00000000">
      <w:pPr>
        <w:spacing w:after="80" w:line="252" w:lineRule="auto"/>
        <w:jc w:val="both"/>
      </w:pPr>
      <w:r>
        <w:rPr>
          <w:rFonts w:ascii="Times New Roman" w:hAnsi="Times New Roman"/>
          <w:color w:val="212529"/>
          <w:sz w:val="19"/>
        </w:rPr>
        <w:t>fr_zscore_t = ( FundingRate_t - RollingMean_90d(FR) ) / RollingStd_90d(FR)</w:t>
      </w:r>
    </w:p>
    <w:p w14:paraId="5F070884" w14:textId="77777777" w:rsidR="008A4DBC" w:rsidRDefault="00000000">
      <w:pPr>
        <w:spacing w:before="160" w:after="60" w:line="252" w:lineRule="auto"/>
      </w:pPr>
      <w:r>
        <w:rPr>
          <w:rFonts w:ascii="Times New Roman" w:hAnsi="Times New Roman"/>
          <w:i/>
          <w:color w:val="000000"/>
          <w:sz w:val="20"/>
        </w:rPr>
        <w:t>C. Non-Overlapping Event Sampling &amp; HAC Inference</w:t>
      </w:r>
    </w:p>
    <w:p w14:paraId="2BDE8D51" w14:textId="77777777" w:rsidR="008A4DBC" w:rsidRDefault="00000000">
      <w:pPr>
        <w:spacing w:after="80" w:line="252" w:lineRule="auto"/>
        <w:jc w:val="both"/>
      </w:pPr>
      <w:r>
        <w:rPr>
          <w:rFonts w:ascii="Times New Roman" w:hAnsi="Times New Roman"/>
          <w:color w:val="212529"/>
          <w:sz w:val="19"/>
        </w:rPr>
        <w:t>When evaluating forward k-day return horizons (k ∈ {1, 3, 7}), consecutive daily event triggers create overlapping return windows, introducing severe positive autocorrelation in OLS residual terms. To eliminate this artifact, we enforce non-overlapping event selection, requiring selected event bars to be separated by at least k trading days.</w:t>
      </w:r>
    </w:p>
    <w:p w14:paraId="13E01C58" w14:textId="77777777" w:rsidR="008A4DBC" w:rsidRDefault="00000000">
      <w:pPr>
        <w:spacing w:after="80" w:line="252" w:lineRule="auto"/>
        <w:jc w:val="both"/>
      </w:pPr>
      <w:r>
        <w:rPr>
          <w:rFonts w:ascii="Times New Roman" w:hAnsi="Times New Roman"/>
          <w:color w:val="212529"/>
          <w:sz w:val="19"/>
        </w:rPr>
        <w:t>Furthermore, we compute Newey-West HAC standard errors with lag bandwidth maxlags = k. The HAC variance-covariance estimator is defined as:</w:t>
      </w:r>
    </w:p>
    <w:p w14:paraId="17AC0D20" w14:textId="77777777" w:rsidR="008A4DBC" w:rsidRDefault="00000000">
      <w:pPr>
        <w:spacing w:after="80" w:line="252" w:lineRule="auto"/>
        <w:jc w:val="both"/>
      </w:pPr>
      <w:r>
        <w:rPr>
          <w:rFonts w:ascii="Times New Roman" w:hAnsi="Times New Roman"/>
          <w:color w:val="212529"/>
          <w:sz w:val="19"/>
        </w:rPr>
        <w:t>V_HAC = V_0 + Sum_{j=1}^{k} w_j (V_j + V_j^T)</w:t>
      </w:r>
    </w:p>
    <w:p w14:paraId="3E803E18" w14:textId="77777777" w:rsidR="008A4DBC" w:rsidRDefault="00000000">
      <w:pPr>
        <w:spacing w:after="80" w:line="252" w:lineRule="auto"/>
        <w:jc w:val="both"/>
      </w:pPr>
      <w:r>
        <w:rPr>
          <w:rFonts w:ascii="Times New Roman" w:hAnsi="Times New Roman"/>
          <w:color w:val="212529"/>
          <w:sz w:val="19"/>
        </w:rPr>
        <w:t>where w_j = 1 - j / (k + 1) represents the Bartlett kernel weight.</w:t>
      </w:r>
    </w:p>
    <w:p w14:paraId="58DB04C5" w14:textId="77777777" w:rsidR="008A4DBC" w:rsidRDefault="00000000">
      <w:pPr>
        <w:spacing w:before="160" w:after="60" w:line="252" w:lineRule="auto"/>
      </w:pPr>
      <w:r>
        <w:rPr>
          <w:rFonts w:ascii="Times New Roman" w:hAnsi="Times New Roman"/>
          <w:i/>
          <w:color w:val="000000"/>
          <w:sz w:val="20"/>
        </w:rPr>
        <w:t>D. Stationary Block Bootstrap Method</w:t>
      </w:r>
    </w:p>
    <w:p w14:paraId="6552E28A" w14:textId="77777777" w:rsidR="008A4DBC" w:rsidRDefault="00000000">
      <w:pPr>
        <w:spacing w:after="80" w:line="252" w:lineRule="auto"/>
        <w:jc w:val="both"/>
      </w:pPr>
      <w:r>
        <w:rPr>
          <w:rFonts w:ascii="Times New Roman" w:hAnsi="Times New Roman"/>
          <w:color w:val="212529"/>
          <w:sz w:val="19"/>
        </w:rPr>
        <w:t>Crypto asset returns exhibit pronounced fat tails, negative skewness, and volatility clustering, rendering standard Student's t-distributions overly optimistic. We implement a Stationary Block Bootstrap procedure. For each event horizon k, we resample blocks of length k with replacement to generate 1,000 empirical bootstrap replications under the null hypothesis H0: E[R] = 0. The empirical p-value is computed as the proportion of bootstrap means exceeding the observed sample mean.</w:t>
      </w:r>
    </w:p>
    <w:p w14:paraId="37C9B455" w14:textId="77777777" w:rsidR="008A4DBC" w:rsidRDefault="00000000">
      <w:pPr>
        <w:spacing w:before="160" w:after="60" w:line="252" w:lineRule="auto"/>
      </w:pPr>
      <w:r>
        <w:rPr>
          <w:rFonts w:ascii="Times New Roman" w:hAnsi="Times New Roman"/>
          <w:i/>
          <w:color w:val="000000"/>
          <w:sz w:val="20"/>
        </w:rPr>
        <w:t>E. Chow Structural Break Test Formulation</w:t>
      </w:r>
    </w:p>
    <w:p w14:paraId="5017DF72" w14:textId="77777777" w:rsidR="008A4DBC" w:rsidRDefault="00000000">
      <w:pPr>
        <w:spacing w:after="80" w:line="252" w:lineRule="auto"/>
        <w:jc w:val="both"/>
      </w:pPr>
      <w:r>
        <w:rPr>
          <w:rFonts w:ascii="Times New Roman" w:hAnsi="Times New Roman"/>
          <w:color w:val="212529"/>
          <w:sz w:val="19"/>
        </w:rPr>
        <w:t>To test whether the statistical relationship between crowded short events and forward returns experienced a structural break over time, we split the sample into Era 1 (2020–2022, N1 events) and Era 2 (2023–2026, N2 events). The Chow test F-statistic is calculated as:</w:t>
      </w:r>
    </w:p>
    <w:p w14:paraId="3EE3E597" w14:textId="77777777" w:rsidR="008A4DBC" w:rsidRDefault="00000000">
      <w:pPr>
        <w:spacing w:after="80" w:line="252" w:lineRule="auto"/>
        <w:jc w:val="both"/>
      </w:pPr>
      <w:r>
        <w:rPr>
          <w:rFonts w:ascii="Times New Roman" w:hAnsi="Times New Roman"/>
          <w:color w:val="212529"/>
          <w:sz w:val="19"/>
        </w:rPr>
        <w:t>F_Chow = [ (RSS_pooled - (RSS_1 + RSS_2)) / m ] / [ (RSS_1 + RSS_2) / (N_1 + N_2 - 2m) ]</w:t>
      </w:r>
    </w:p>
    <w:p w14:paraId="47EBAF24" w14:textId="77777777" w:rsidR="008A4DBC" w:rsidRDefault="00000000">
      <w:pPr>
        <w:spacing w:after="80" w:line="252" w:lineRule="auto"/>
        <w:jc w:val="both"/>
      </w:pPr>
      <w:r>
        <w:rPr>
          <w:rFonts w:ascii="Times New Roman" w:hAnsi="Times New Roman"/>
          <w:color w:val="212529"/>
          <w:sz w:val="19"/>
        </w:rPr>
        <w:t>where RSS represents the residual sum of squares and m = 1 parameter (mean return).</w:t>
      </w:r>
    </w:p>
    <w:p w14:paraId="37AAD763" w14:textId="77777777" w:rsidR="008A4DBC" w:rsidRDefault="00000000">
      <w:pPr>
        <w:spacing w:before="240" w:after="80" w:line="252" w:lineRule="auto"/>
        <w:jc w:val="center"/>
      </w:pPr>
      <w:r>
        <w:rPr>
          <w:rFonts w:ascii="Times New Roman" w:hAnsi="Times New Roman"/>
          <w:b/>
          <w:color w:val="000000"/>
        </w:rPr>
        <w:t>IV. EMPIRICAL RESULTS &amp; ANOMALY DECAY</w:t>
      </w:r>
    </w:p>
    <w:p w14:paraId="3015CC9A" w14:textId="77777777" w:rsidR="008A4DBC" w:rsidRDefault="00000000">
      <w:pPr>
        <w:spacing w:before="160" w:after="60" w:line="252" w:lineRule="auto"/>
      </w:pPr>
      <w:r>
        <w:rPr>
          <w:rFonts w:ascii="Times New Roman" w:hAnsi="Times New Roman"/>
          <w:i/>
          <w:color w:val="000000"/>
          <w:sz w:val="20"/>
        </w:rPr>
        <w:t>A. Robust Event Study Inference</w:t>
      </w:r>
    </w:p>
    <w:p w14:paraId="4F570F67" w14:textId="77777777" w:rsidR="008A4DBC" w:rsidRDefault="00000000">
      <w:pPr>
        <w:spacing w:after="80" w:line="252" w:lineRule="auto"/>
        <w:jc w:val="both"/>
      </w:pPr>
      <w:r>
        <w:rPr>
          <w:rFonts w:ascii="Times New Roman" w:hAnsi="Times New Roman"/>
          <w:color w:val="212529"/>
          <w:sz w:val="19"/>
        </w:rPr>
        <w:t>Table I presents the robust event study statistics for crowded short signals across 1-day, 3-day, and 7-day forward return horizons over the full 2020–2026 dataset.</w:t>
      </w:r>
    </w:p>
    <w:tbl>
      <w:tblPr>
        <w:tblW w:w="0" w:type="auto"/>
        <w:jc w:val="center"/>
        <w:tblLook w:val="04A0" w:firstRow="1" w:lastRow="0" w:firstColumn="1" w:lastColumn="0" w:noHBand="0" w:noVBand="1"/>
      </w:tblPr>
      <w:tblGrid>
        <w:gridCol w:w="864"/>
        <w:gridCol w:w="864"/>
        <w:gridCol w:w="1152"/>
        <w:gridCol w:w="1008"/>
        <w:gridCol w:w="864"/>
      </w:tblGrid>
      <w:tr w:rsidR="008A4DBC" w14:paraId="620E0259" w14:textId="77777777">
        <w:trPr>
          <w:jc w:val="center"/>
        </w:trPr>
        <w:tc>
          <w:tcPr>
            <w:tcW w:w="864" w:type="dxa"/>
            <w:shd w:val="clear" w:color="auto" w:fill="1A365D"/>
            <w:tcMar>
              <w:top w:w="100" w:type="dxa"/>
              <w:left w:w="120" w:type="dxa"/>
              <w:bottom w:w="100" w:type="dxa"/>
              <w:right w:w="120" w:type="dxa"/>
            </w:tcMar>
          </w:tcPr>
          <w:p w14:paraId="59F6CBFE" w14:textId="77777777" w:rsidR="008A4DBC" w:rsidRDefault="00000000">
            <w:pPr>
              <w:jc w:val="center"/>
            </w:pPr>
            <w:r>
              <w:rPr>
                <w:rFonts w:ascii="Times New Roman" w:hAnsi="Times New Roman"/>
                <w:b/>
                <w:color w:val="FFFFFF"/>
                <w:sz w:val="17"/>
              </w:rPr>
              <w:t>Horizon</w:t>
            </w:r>
          </w:p>
        </w:tc>
        <w:tc>
          <w:tcPr>
            <w:tcW w:w="864" w:type="dxa"/>
            <w:shd w:val="clear" w:color="auto" w:fill="1A365D"/>
            <w:tcMar>
              <w:top w:w="100" w:type="dxa"/>
              <w:left w:w="120" w:type="dxa"/>
              <w:bottom w:w="100" w:type="dxa"/>
              <w:right w:w="120" w:type="dxa"/>
            </w:tcMar>
          </w:tcPr>
          <w:p w14:paraId="6BFCA67D" w14:textId="77777777" w:rsidR="008A4DBC" w:rsidRDefault="00000000">
            <w:pPr>
              <w:jc w:val="center"/>
            </w:pPr>
            <w:r>
              <w:rPr>
                <w:rFonts w:ascii="Times New Roman" w:hAnsi="Times New Roman"/>
                <w:b/>
                <w:color w:val="FFFFFF"/>
                <w:sz w:val="17"/>
              </w:rPr>
              <w:t>Mean Ret</w:t>
            </w:r>
          </w:p>
        </w:tc>
        <w:tc>
          <w:tcPr>
            <w:tcW w:w="1152" w:type="dxa"/>
            <w:shd w:val="clear" w:color="auto" w:fill="1A365D"/>
            <w:tcMar>
              <w:top w:w="100" w:type="dxa"/>
              <w:left w:w="120" w:type="dxa"/>
              <w:bottom w:w="100" w:type="dxa"/>
              <w:right w:w="120" w:type="dxa"/>
            </w:tcMar>
          </w:tcPr>
          <w:p w14:paraId="568BF3BB" w14:textId="77777777" w:rsidR="008A4DBC" w:rsidRDefault="00000000">
            <w:pPr>
              <w:jc w:val="center"/>
            </w:pPr>
            <w:r>
              <w:rPr>
                <w:rFonts w:ascii="Times New Roman" w:hAnsi="Times New Roman"/>
                <w:b/>
                <w:color w:val="FFFFFF"/>
                <w:sz w:val="17"/>
              </w:rPr>
              <w:t>Naive t</w:t>
            </w:r>
          </w:p>
        </w:tc>
        <w:tc>
          <w:tcPr>
            <w:tcW w:w="1008" w:type="dxa"/>
            <w:shd w:val="clear" w:color="auto" w:fill="1A365D"/>
            <w:tcMar>
              <w:top w:w="100" w:type="dxa"/>
              <w:left w:w="120" w:type="dxa"/>
              <w:bottom w:w="100" w:type="dxa"/>
              <w:right w:w="120" w:type="dxa"/>
            </w:tcMar>
          </w:tcPr>
          <w:p w14:paraId="5212438B" w14:textId="77777777" w:rsidR="008A4DBC" w:rsidRDefault="00000000">
            <w:pPr>
              <w:jc w:val="center"/>
            </w:pPr>
            <w:r>
              <w:rPr>
                <w:rFonts w:ascii="Times New Roman" w:hAnsi="Times New Roman"/>
                <w:b/>
                <w:color w:val="FFFFFF"/>
                <w:sz w:val="17"/>
              </w:rPr>
              <w:t>HAC t</w:t>
            </w:r>
          </w:p>
        </w:tc>
        <w:tc>
          <w:tcPr>
            <w:tcW w:w="864" w:type="dxa"/>
            <w:shd w:val="clear" w:color="auto" w:fill="1A365D"/>
            <w:tcMar>
              <w:top w:w="100" w:type="dxa"/>
              <w:left w:w="120" w:type="dxa"/>
              <w:bottom w:w="100" w:type="dxa"/>
              <w:right w:w="120" w:type="dxa"/>
            </w:tcMar>
          </w:tcPr>
          <w:p w14:paraId="21B619F1" w14:textId="77777777" w:rsidR="008A4DBC" w:rsidRDefault="00000000">
            <w:pPr>
              <w:jc w:val="center"/>
            </w:pPr>
            <w:r>
              <w:rPr>
                <w:rFonts w:ascii="Times New Roman" w:hAnsi="Times New Roman"/>
                <w:b/>
                <w:color w:val="FFFFFF"/>
                <w:sz w:val="17"/>
              </w:rPr>
              <w:t>Boot p</w:t>
            </w:r>
          </w:p>
        </w:tc>
      </w:tr>
      <w:tr w:rsidR="008A4DBC" w14:paraId="5C5AE950" w14:textId="77777777">
        <w:trPr>
          <w:jc w:val="center"/>
        </w:trPr>
        <w:tc>
          <w:tcPr>
            <w:tcW w:w="864" w:type="dxa"/>
            <w:tcMar>
              <w:top w:w="80" w:type="dxa"/>
              <w:left w:w="100" w:type="dxa"/>
              <w:bottom w:w="80" w:type="dxa"/>
              <w:right w:w="100" w:type="dxa"/>
            </w:tcMar>
          </w:tcPr>
          <w:p w14:paraId="4E7CFB54" w14:textId="77777777" w:rsidR="008A4DBC" w:rsidRDefault="00000000">
            <w:pPr>
              <w:jc w:val="center"/>
            </w:pPr>
            <w:r>
              <w:rPr>
                <w:rFonts w:ascii="Times New Roman" w:hAnsi="Times New Roman"/>
                <w:color w:val="212529"/>
                <w:sz w:val="17"/>
              </w:rPr>
              <w:t>1 Day</w:t>
            </w:r>
          </w:p>
        </w:tc>
        <w:tc>
          <w:tcPr>
            <w:tcW w:w="864" w:type="dxa"/>
            <w:tcMar>
              <w:top w:w="80" w:type="dxa"/>
              <w:left w:w="100" w:type="dxa"/>
              <w:bottom w:w="80" w:type="dxa"/>
              <w:right w:w="100" w:type="dxa"/>
            </w:tcMar>
          </w:tcPr>
          <w:p w14:paraId="2BC2AE0B" w14:textId="77777777" w:rsidR="008A4DBC" w:rsidRDefault="00000000">
            <w:pPr>
              <w:jc w:val="center"/>
            </w:pPr>
            <w:r>
              <w:rPr>
                <w:rFonts w:ascii="Times New Roman" w:hAnsi="Times New Roman"/>
                <w:color w:val="212529"/>
                <w:sz w:val="17"/>
              </w:rPr>
              <w:t>+0.67%</w:t>
            </w:r>
          </w:p>
        </w:tc>
        <w:tc>
          <w:tcPr>
            <w:tcW w:w="1152" w:type="dxa"/>
            <w:tcMar>
              <w:top w:w="80" w:type="dxa"/>
              <w:left w:w="100" w:type="dxa"/>
              <w:bottom w:w="80" w:type="dxa"/>
              <w:right w:w="100" w:type="dxa"/>
            </w:tcMar>
          </w:tcPr>
          <w:p w14:paraId="669B9E61" w14:textId="77777777" w:rsidR="008A4DBC" w:rsidRDefault="00000000">
            <w:pPr>
              <w:jc w:val="center"/>
            </w:pPr>
            <w:r>
              <w:rPr>
                <w:rFonts w:ascii="Times New Roman" w:hAnsi="Times New Roman"/>
                <w:color w:val="212529"/>
                <w:sz w:val="17"/>
              </w:rPr>
              <w:t>t = 2.87</w:t>
            </w:r>
          </w:p>
        </w:tc>
        <w:tc>
          <w:tcPr>
            <w:tcW w:w="1008" w:type="dxa"/>
            <w:tcMar>
              <w:top w:w="80" w:type="dxa"/>
              <w:left w:w="100" w:type="dxa"/>
              <w:bottom w:w="80" w:type="dxa"/>
              <w:right w:w="100" w:type="dxa"/>
            </w:tcMar>
          </w:tcPr>
          <w:p w14:paraId="7B17ECE4" w14:textId="77777777" w:rsidR="008A4DBC" w:rsidRDefault="00000000">
            <w:pPr>
              <w:jc w:val="center"/>
            </w:pPr>
            <w:r>
              <w:rPr>
                <w:rFonts w:ascii="Times New Roman" w:hAnsi="Times New Roman"/>
                <w:color w:val="212529"/>
                <w:sz w:val="17"/>
              </w:rPr>
              <w:t>t = 3.49</w:t>
            </w:r>
          </w:p>
        </w:tc>
        <w:tc>
          <w:tcPr>
            <w:tcW w:w="864" w:type="dxa"/>
            <w:tcMar>
              <w:top w:w="80" w:type="dxa"/>
              <w:left w:w="100" w:type="dxa"/>
              <w:bottom w:w="80" w:type="dxa"/>
              <w:right w:w="100" w:type="dxa"/>
            </w:tcMar>
          </w:tcPr>
          <w:p w14:paraId="5FE7D81E" w14:textId="77777777" w:rsidR="008A4DBC" w:rsidRDefault="00000000">
            <w:pPr>
              <w:jc w:val="center"/>
            </w:pPr>
            <w:r>
              <w:rPr>
                <w:rFonts w:ascii="Times New Roman" w:hAnsi="Times New Roman"/>
                <w:color w:val="212529"/>
                <w:sz w:val="17"/>
              </w:rPr>
              <w:t>0.004</w:t>
            </w:r>
          </w:p>
        </w:tc>
      </w:tr>
      <w:tr w:rsidR="008A4DBC" w14:paraId="3B122D5D" w14:textId="77777777">
        <w:trPr>
          <w:jc w:val="center"/>
        </w:trPr>
        <w:tc>
          <w:tcPr>
            <w:tcW w:w="864" w:type="dxa"/>
            <w:shd w:val="clear" w:color="auto" w:fill="F8FAFC"/>
            <w:tcMar>
              <w:top w:w="80" w:type="dxa"/>
              <w:left w:w="100" w:type="dxa"/>
              <w:bottom w:w="80" w:type="dxa"/>
              <w:right w:w="100" w:type="dxa"/>
            </w:tcMar>
          </w:tcPr>
          <w:p w14:paraId="26B589EA" w14:textId="77777777" w:rsidR="008A4DBC" w:rsidRDefault="00000000">
            <w:pPr>
              <w:jc w:val="center"/>
            </w:pPr>
            <w:r>
              <w:rPr>
                <w:rFonts w:ascii="Times New Roman" w:hAnsi="Times New Roman"/>
                <w:color w:val="212529"/>
                <w:sz w:val="17"/>
              </w:rPr>
              <w:t>3 Days</w:t>
            </w:r>
          </w:p>
        </w:tc>
        <w:tc>
          <w:tcPr>
            <w:tcW w:w="864" w:type="dxa"/>
            <w:shd w:val="clear" w:color="auto" w:fill="F8FAFC"/>
            <w:tcMar>
              <w:top w:w="80" w:type="dxa"/>
              <w:left w:w="100" w:type="dxa"/>
              <w:bottom w:w="80" w:type="dxa"/>
              <w:right w:w="100" w:type="dxa"/>
            </w:tcMar>
          </w:tcPr>
          <w:p w14:paraId="1D78A669" w14:textId="77777777" w:rsidR="008A4DBC" w:rsidRDefault="00000000">
            <w:pPr>
              <w:jc w:val="center"/>
            </w:pPr>
            <w:r>
              <w:rPr>
                <w:rFonts w:ascii="Times New Roman" w:hAnsi="Times New Roman"/>
                <w:color w:val="212529"/>
                <w:sz w:val="17"/>
              </w:rPr>
              <w:t>+1.14%</w:t>
            </w:r>
          </w:p>
        </w:tc>
        <w:tc>
          <w:tcPr>
            <w:tcW w:w="1152" w:type="dxa"/>
            <w:shd w:val="clear" w:color="auto" w:fill="F8FAFC"/>
            <w:tcMar>
              <w:top w:w="80" w:type="dxa"/>
              <w:left w:w="100" w:type="dxa"/>
              <w:bottom w:w="80" w:type="dxa"/>
              <w:right w:w="100" w:type="dxa"/>
            </w:tcMar>
          </w:tcPr>
          <w:p w14:paraId="3894B9CD" w14:textId="77777777" w:rsidR="008A4DBC" w:rsidRDefault="00000000">
            <w:pPr>
              <w:jc w:val="center"/>
            </w:pPr>
            <w:r>
              <w:rPr>
                <w:rFonts w:ascii="Times New Roman" w:hAnsi="Times New Roman"/>
                <w:color w:val="212529"/>
                <w:sz w:val="17"/>
              </w:rPr>
              <w:t>t = 3.14</w:t>
            </w:r>
          </w:p>
        </w:tc>
        <w:tc>
          <w:tcPr>
            <w:tcW w:w="1008" w:type="dxa"/>
            <w:shd w:val="clear" w:color="auto" w:fill="F8FAFC"/>
            <w:tcMar>
              <w:top w:w="80" w:type="dxa"/>
              <w:left w:w="100" w:type="dxa"/>
              <w:bottom w:w="80" w:type="dxa"/>
              <w:right w:w="100" w:type="dxa"/>
            </w:tcMar>
          </w:tcPr>
          <w:p w14:paraId="3CA8B508" w14:textId="77777777" w:rsidR="008A4DBC" w:rsidRDefault="00000000">
            <w:pPr>
              <w:jc w:val="center"/>
            </w:pPr>
            <w:r>
              <w:rPr>
                <w:rFonts w:ascii="Times New Roman" w:hAnsi="Times New Roman"/>
                <w:color w:val="212529"/>
                <w:sz w:val="17"/>
              </w:rPr>
              <w:t>t = 2.67</w:t>
            </w:r>
          </w:p>
        </w:tc>
        <w:tc>
          <w:tcPr>
            <w:tcW w:w="864" w:type="dxa"/>
            <w:shd w:val="clear" w:color="auto" w:fill="F8FAFC"/>
            <w:tcMar>
              <w:top w:w="80" w:type="dxa"/>
              <w:left w:w="100" w:type="dxa"/>
              <w:bottom w:w="80" w:type="dxa"/>
              <w:right w:w="100" w:type="dxa"/>
            </w:tcMar>
          </w:tcPr>
          <w:p w14:paraId="2F35B94B" w14:textId="77777777" w:rsidR="008A4DBC" w:rsidRDefault="00000000">
            <w:pPr>
              <w:jc w:val="center"/>
            </w:pPr>
            <w:r>
              <w:rPr>
                <w:rFonts w:ascii="Times New Roman" w:hAnsi="Times New Roman"/>
                <w:color w:val="212529"/>
                <w:sz w:val="17"/>
              </w:rPr>
              <w:t>0.005</w:t>
            </w:r>
          </w:p>
        </w:tc>
      </w:tr>
      <w:tr w:rsidR="008A4DBC" w14:paraId="3EA09711" w14:textId="77777777">
        <w:trPr>
          <w:jc w:val="center"/>
        </w:trPr>
        <w:tc>
          <w:tcPr>
            <w:tcW w:w="864" w:type="dxa"/>
            <w:tcMar>
              <w:top w:w="80" w:type="dxa"/>
              <w:left w:w="100" w:type="dxa"/>
              <w:bottom w:w="80" w:type="dxa"/>
              <w:right w:w="100" w:type="dxa"/>
            </w:tcMar>
          </w:tcPr>
          <w:p w14:paraId="43632EB0" w14:textId="77777777" w:rsidR="008A4DBC" w:rsidRDefault="00000000">
            <w:pPr>
              <w:jc w:val="center"/>
            </w:pPr>
            <w:r>
              <w:rPr>
                <w:rFonts w:ascii="Times New Roman" w:hAnsi="Times New Roman"/>
                <w:color w:val="212529"/>
                <w:sz w:val="17"/>
              </w:rPr>
              <w:t>7 Days</w:t>
            </w:r>
          </w:p>
        </w:tc>
        <w:tc>
          <w:tcPr>
            <w:tcW w:w="864" w:type="dxa"/>
            <w:tcMar>
              <w:top w:w="80" w:type="dxa"/>
              <w:left w:w="100" w:type="dxa"/>
              <w:bottom w:w="80" w:type="dxa"/>
              <w:right w:w="100" w:type="dxa"/>
            </w:tcMar>
          </w:tcPr>
          <w:p w14:paraId="4F02F0FA" w14:textId="77777777" w:rsidR="008A4DBC" w:rsidRDefault="00000000">
            <w:pPr>
              <w:jc w:val="center"/>
            </w:pPr>
            <w:r>
              <w:rPr>
                <w:rFonts w:ascii="Times New Roman" w:hAnsi="Times New Roman"/>
                <w:color w:val="212529"/>
                <w:sz w:val="17"/>
              </w:rPr>
              <w:t>+2.62%</w:t>
            </w:r>
          </w:p>
        </w:tc>
        <w:tc>
          <w:tcPr>
            <w:tcW w:w="1152" w:type="dxa"/>
            <w:tcMar>
              <w:top w:w="80" w:type="dxa"/>
              <w:left w:w="100" w:type="dxa"/>
              <w:bottom w:w="80" w:type="dxa"/>
              <w:right w:w="100" w:type="dxa"/>
            </w:tcMar>
          </w:tcPr>
          <w:p w14:paraId="3EE374E5" w14:textId="77777777" w:rsidR="008A4DBC" w:rsidRDefault="00000000">
            <w:pPr>
              <w:jc w:val="center"/>
            </w:pPr>
            <w:r>
              <w:rPr>
                <w:rFonts w:ascii="Times New Roman" w:hAnsi="Times New Roman"/>
                <w:color w:val="212529"/>
                <w:sz w:val="17"/>
              </w:rPr>
              <w:t>t = 4.55</w:t>
            </w:r>
          </w:p>
        </w:tc>
        <w:tc>
          <w:tcPr>
            <w:tcW w:w="1008" w:type="dxa"/>
            <w:tcMar>
              <w:top w:w="80" w:type="dxa"/>
              <w:left w:w="100" w:type="dxa"/>
              <w:bottom w:w="80" w:type="dxa"/>
              <w:right w:w="100" w:type="dxa"/>
            </w:tcMar>
          </w:tcPr>
          <w:p w14:paraId="3708595F" w14:textId="77777777" w:rsidR="008A4DBC" w:rsidRDefault="00000000">
            <w:pPr>
              <w:jc w:val="center"/>
            </w:pPr>
            <w:r>
              <w:rPr>
                <w:rFonts w:ascii="Times New Roman" w:hAnsi="Times New Roman"/>
                <w:color w:val="212529"/>
                <w:sz w:val="17"/>
              </w:rPr>
              <w:t>t = 3.00</w:t>
            </w:r>
          </w:p>
        </w:tc>
        <w:tc>
          <w:tcPr>
            <w:tcW w:w="864" w:type="dxa"/>
            <w:tcMar>
              <w:top w:w="80" w:type="dxa"/>
              <w:left w:w="100" w:type="dxa"/>
              <w:bottom w:w="80" w:type="dxa"/>
              <w:right w:w="100" w:type="dxa"/>
            </w:tcMar>
          </w:tcPr>
          <w:p w14:paraId="565965BB" w14:textId="77777777" w:rsidR="008A4DBC" w:rsidRDefault="00000000">
            <w:pPr>
              <w:jc w:val="center"/>
            </w:pPr>
            <w:r>
              <w:rPr>
                <w:rFonts w:ascii="Times New Roman" w:hAnsi="Times New Roman"/>
                <w:color w:val="212529"/>
                <w:sz w:val="17"/>
              </w:rPr>
              <w:t>0.000</w:t>
            </w:r>
          </w:p>
        </w:tc>
      </w:tr>
    </w:tbl>
    <w:p w14:paraId="31D042BD" w14:textId="77777777" w:rsidR="008A4DBC" w:rsidRDefault="00000000">
      <w:pPr>
        <w:spacing w:after="80" w:line="252" w:lineRule="auto"/>
        <w:jc w:val="both"/>
      </w:pPr>
      <w:r>
        <w:rPr>
          <w:rFonts w:ascii="Times New Roman" w:hAnsi="Times New Roman"/>
          <w:color w:val="212529"/>
          <w:sz w:val="19"/>
        </w:rPr>
        <w:t>Over the aggregate 6-year period, crowded short events yielded positive mean returns across all horizons (+0.67% at 1d, +1.14% at 3d, +2.62% at 7d). All three horizons remain statistically significant under HAC standard errors and block bootstrapping (p &lt; 0.01). In contrast, crowded long events (upper 95th percentile) displayed no statistically significant directional return, confirming strong long/short asymmetry.</w:t>
      </w:r>
    </w:p>
    <w:p w14:paraId="1D9D2527" w14:textId="77777777" w:rsidR="008A4DBC" w:rsidRDefault="00000000">
      <w:pPr>
        <w:spacing w:before="160" w:after="60" w:line="252" w:lineRule="auto"/>
      </w:pPr>
      <w:r>
        <w:rPr>
          <w:rFonts w:ascii="Times New Roman" w:hAnsi="Times New Roman"/>
          <w:i/>
          <w:color w:val="000000"/>
          <w:sz w:val="20"/>
        </w:rPr>
        <w:t>B. Era-by-Era Breakdown &amp; Funding Dispersion Compression</w:t>
      </w:r>
    </w:p>
    <w:p w14:paraId="30A71080" w14:textId="77777777" w:rsidR="008A4DBC" w:rsidRDefault="00000000">
      <w:pPr>
        <w:spacing w:after="80" w:line="252" w:lineRule="auto"/>
        <w:jc w:val="both"/>
      </w:pPr>
      <w:r>
        <w:rPr>
          <w:rFonts w:ascii="Times New Roman" w:hAnsi="Times New Roman"/>
          <w:color w:val="212529"/>
          <w:sz w:val="19"/>
        </w:rPr>
        <w:t>To test Hypothesis H1, Table II partitions the dataset chronologically into Era 1 (2020–2022), Era 2 (2023–2025), and Era 3 (2026), reporting 1-day mean returns, t-statistics, block bootstrap p-values, and daily funding rate dispersion (std dev in basis points).</w:t>
      </w:r>
    </w:p>
    <w:tbl>
      <w:tblPr>
        <w:tblW w:w="0" w:type="auto"/>
        <w:jc w:val="center"/>
        <w:tblLook w:val="04A0" w:firstRow="1" w:lastRow="0" w:firstColumn="1" w:lastColumn="0" w:noHBand="0" w:noVBand="1"/>
      </w:tblPr>
      <w:tblGrid>
        <w:gridCol w:w="1008"/>
        <w:gridCol w:w="576"/>
        <w:gridCol w:w="864"/>
        <w:gridCol w:w="720"/>
        <w:gridCol w:w="720"/>
        <w:gridCol w:w="864"/>
      </w:tblGrid>
      <w:tr w:rsidR="008A4DBC" w14:paraId="5253D290" w14:textId="77777777">
        <w:trPr>
          <w:jc w:val="center"/>
        </w:trPr>
        <w:tc>
          <w:tcPr>
            <w:tcW w:w="1008" w:type="dxa"/>
            <w:shd w:val="clear" w:color="auto" w:fill="1A365D"/>
            <w:tcMar>
              <w:top w:w="100" w:type="dxa"/>
              <w:left w:w="120" w:type="dxa"/>
              <w:bottom w:w="100" w:type="dxa"/>
              <w:right w:w="120" w:type="dxa"/>
            </w:tcMar>
          </w:tcPr>
          <w:p w14:paraId="1430D558" w14:textId="77777777" w:rsidR="008A4DBC" w:rsidRDefault="00000000">
            <w:pPr>
              <w:jc w:val="center"/>
            </w:pPr>
            <w:r>
              <w:rPr>
                <w:rFonts w:ascii="Times New Roman" w:hAnsi="Times New Roman"/>
                <w:b/>
                <w:color w:val="FFFFFF"/>
                <w:sz w:val="17"/>
              </w:rPr>
              <w:lastRenderedPageBreak/>
              <w:t>Era</w:t>
            </w:r>
          </w:p>
        </w:tc>
        <w:tc>
          <w:tcPr>
            <w:tcW w:w="576" w:type="dxa"/>
            <w:shd w:val="clear" w:color="auto" w:fill="1A365D"/>
            <w:tcMar>
              <w:top w:w="100" w:type="dxa"/>
              <w:left w:w="120" w:type="dxa"/>
              <w:bottom w:w="100" w:type="dxa"/>
              <w:right w:w="120" w:type="dxa"/>
            </w:tcMar>
          </w:tcPr>
          <w:p w14:paraId="30755874" w14:textId="77777777" w:rsidR="008A4DBC" w:rsidRDefault="00000000">
            <w:pPr>
              <w:jc w:val="center"/>
            </w:pPr>
            <w:r>
              <w:rPr>
                <w:rFonts w:ascii="Times New Roman" w:hAnsi="Times New Roman"/>
                <w:b/>
                <w:color w:val="FFFFFF"/>
                <w:sz w:val="17"/>
              </w:rPr>
              <w:t>N</w:t>
            </w:r>
          </w:p>
        </w:tc>
        <w:tc>
          <w:tcPr>
            <w:tcW w:w="864" w:type="dxa"/>
            <w:shd w:val="clear" w:color="auto" w:fill="1A365D"/>
            <w:tcMar>
              <w:top w:w="100" w:type="dxa"/>
              <w:left w:w="120" w:type="dxa"/>
              <w:bottom w:w="100" w:type="dxa"/>
              <w:right w:w="120" w:type="dxa"/>
            </w:tcMar>
          </w:tcPr>
          <w:p w14:paraId="20CF188F" w14:textId="77777777" w:rsidR="008A4DBC" w:rsidRDefault="00000000">
            <w:pPr>
              <w:jc w:val="center"/>
            </w:pPr>
            <w:r>
              <w:rPr>
                <w:rFonts w:ascii="Times New Roman" w:hAnsi="Times New Roman"/>
                <w:b/>
                <w:color w:val="FFFFFF"/>
                <w:sz w:val="17"/>
              </w:rPr>
              <w:t>1d Mean</w:t>
            </w:r>
          </w:p>
        </w:tc>
        <w:tc>
          <w:tcPr>
            <w:tcW w:w="720" w:type="dxa"/>
            <w:shd w:val="clear" w:color="auto" w:fill="1A365D"/>
            <w:tcMar>
              <w:top w:w="100" w:type="dxa"/>
              <w:left w:w="120" w:type="dxa"/>
              <w:bottom w:w="100" w:type="dxa"/>
              <w:right w:w="120" w:type="dxa"/>
            </w:tcMar>
          </w:tcPr>
          <w:p w14:paraId="43EDE530" w14:textId="77777777" w:rsidR="008A4DBC" w:rsidRDefault="00000000">
            <w:pPr>
              <w:jc w:val="center"/>
            </w:pPr>
            <w:r>
              <w:rPr>
                <w:rFonts w:ascii="Times New Roman" w:hAnsi="Times New Roman"/>
                <w:b/>
                <w:color w:val="FFFFFF"/>
                <w:sz w:val="17"/>
              </w:rPr>
              <w:t>t-stat</w:t>
            </w:r>
          </w:p>
        </w:tc>
        <w:tc>
          <w:tcPr>
            <w:tcW w:w="720" w:type="dxa"/>
            <w:shd w:val="clear" w:color="auto" w:fill="1A365D"/>
            <w:tcMar>
              <w:top w:w="100" w:type="dxa"/>
              <w:left w:w="120" w:type="dxa"/>
              <w:bottom w:w="100" w:type="dxa"/>
              <w:right w:w="120" w:type="dxa"/>
            </w:tcMar>
          </w:tcPr>
          <w:p w14:paraId="187E47F8" w14:textId="77777777" w:rsidR="008A4DBC" w:rsidRDefault="00000000">
            <w:pPr>
              <w:jc w:val="center"/>
            </w:pPr>
            <w:r>
              <w:rPr>
                <w:rFonts w:ascii="Times New Roman" w:hAnsi="Times New Roman"/>
                <w:b/>
                <w:color w:val="FFFFFF"/>
                <w:sz w:val="17"/>
              </w:rPr>
              <w:t>Boot p</w:t>
            </w:r>
          </w:p>
        </w:tc>
        <w:tc>
          <w:tcPr>
            <w:tcW w:w="864" w:type="dxa"/>
            <w:shd w:val="clear" w:color="auto" w:fill="1A365D"/>
            <w:tcMar>
              <w:top w:w="100" w:type="dxa"/>
              <w:left w:w="120" w:type="dxa"/>
              <w:bottom w:w="100" w:type="dxa"/>
              <w:right w:w="120" w:type="dxa"/>
            </w:tcMar>
          </w:tcPr>
          <w:p w14:paraId="3F9BAD4A" w14:textId="77777777" w:rsidR="008A4DBC" w:rsidRDefault="00000000">
            <w:pPr>
              <w:jc w:val="center"/>
            </w:pPr>
            <w:r>
              <w:rPr>
                <w:rFonts w:ascii="Times New Roman" w:hAnsi="Times New Roman"/>
                <w:b/>
                <w:color w:val="FFFFFF"/>
                <w:sz w:val="17"/>
              </w:rPr>
              <w:t>Vol (bps)</w:t>
            </w:r>
          </w:p>
        </w:tc>
      </w:tr>
      <w:tr w:rsidR="008A4DBC" w14:paraId="136A5CE1" w14:textId="77777777">
        <w:trPr>
          <w:jc w:val="center"/>
        </w:trPr>
        <w:tc>
          <w:tcPr>
            <w:tcW w:w="1008" w:type="dxa"/>
            <w:tcMar>
              <w:top w:w="80" w:type="dxa"/>
              <w:left w:w="100" w:type="dxa"/>
              <w:bottom w:w="80" w:type="dxa"/>
              <w:right w:w="100" w:type="dxa"/>
            </w:tcMar>
          </w:tcPr>
          <w:p w14:paraId="74C1C09E" w14:textId="77777777" w:rsidR="008A4DBC" w:rsidRDefault="00000000">
            <w:pPr>
              <w:jc w:val="center"/>
            </w:pPr>
            <w:r>
              <w:rPr>
                <w:rFonts w:ascii="Times New Roman" w:hAnsi="Times New Roman"/>
                <w:color w:val="212529"/>
                <w:sz w:val="17"/>
              </w:rPr>
              <w:t>2020–22</w:t>
            </w:r>
          </w:p>
        </w:tc>
        <w:tc>
          <w:tcPr>
            <w:tcW w:w="576" w:type="dxa"/>
            <w:tcMar>
              <w:top w:w="80" w:type="dxa"/>
              <w:left w:w="100" w:type="dxa"/>
              <w:bottom w:w="80" w:type="dxa"/>
              <w:right w:w="100" w:type="dxa"/>
            </w:tcMar>
          </w:tcPr>
          <w:p w14:paraId="4807533A" w14:textId="77777777" w:rsidR="008A4DBC" w:rsidRDefault="00000000">
            <w:pPr>
              <w:jc w:val="center"/>
            </w:pPr>
            <w:r>
              <w:rPr>
                <w:rFonts w:ascii="Times New Roman" w:hAnsi="Times New Roman"/>
                <w:color w:val="212529"/>
                <w:sz w:val="17"/>
              </w:rPr>
              <w:t>88</w:t>
            </w:r>
          </w:p>
        </w:tc>
        <w:tc>
          <w:tcPr>
            <w:tcW w:w="864" w:type="dxa"/>
            <w:tcMar>
              <w:top w:w="80" w:type="dxa"/>
              <w:left w:w="100" w:type="dxa"/>
              <w:bottom w:w="80" w:type="dxa"/>
              <w:right w:w="100" w:type="dxa"/>
            </w:tcMar>
          </w:tcPr>
          <w:p w14:paraId="5C10AC37" w14:textId="77777777" w:rsidR="008A4DBC" w:rsidRDefault="00000000">
            <w:pPr>
              <w:jc w:val="center"/>
            </w:pPr>
            <w:r>
              <w:rPr>
                <w:rFonts w:ascii="Times New Roman" w:hAnsi="Times New Roman"/>
                <w:color w:val="212529"/>
                <w:sz w:val="17"/>
              </w:rPr>
              <w:t>+1.04%</w:t>
            </w:r>
          </w:p>
        </w:tc>
        <w:tc>
          <w:tcPr>
            <w:tcW w:w="720" w:type="dxa"/>
            <w:tcMar>
              <w:top w:w="80" w:type="dxa"/>
              <w:left w:w="100" w:type="dxa"/>
              <w:bottom w:w="80" w:type="dxa"/>
              <w:right w:w="100" w:type="dxa"/>
            </w:tcMar>
          </w:tcPr>
          <w:p w14:paraId="06AB9326" w14:textId="77777777" w:rsidR="008A4DBC" w:rsidRDefault="00000000">
            <w:pPr>
              <w:jc w:val="center"/>
            </w:pPr>
            <w:r>
              <w:rPr>
                <w:rFonts w:ascii="Times New Roman" w:hAnsi="Times New Roman"/>
                <w:color w:val="212529"/>
                <w:sz w:val="17"/>
              </w:rPr>
              <w:t>2.24</w:t>
            </w:r>
          </w:p>
        </w:tc>
        <w:tc>
          <w:tcPr>
            <w:tcW w:w="720" w:type="dxa"/>
            <w:tcMar>
              <w:top w:w="80" w:type="dxa"/>
              <w:left w:w="100" w:type="dxa"/>
              <w:bottom w:w="80" w:type="dxa"/>
              <w:right w:w="100" w:type="dxa"/>
            </w:tcMar>
          </w:tcPr>
          <w:p w14:paraId="7F38D21F" w14:textId="77777777" w:rsidR="008A4DBC" w:rsidRDefault="00000000">
            <w:pPr>
              <w:jc w:val="center"/>
            </w:pPr>
            <w:r>
              <w:rPr>
                <w:rFonts w:ascii="Times New Roman" w:hAnsi="Times New Roman"/>
                <w:color w:val="212529"/>
                <w:sz w:val="17"/>
              </w:rPr>
              <w:t>0.015</w:t>
            </w:r>
          </w:p>
        </w:tc>
        <w:tc>
          <w:tcPr>
            <w:tcW w:w="864" w:type="dxa"/>
            <w:tcMar>
              <w:top w:w="80" w:type="dxa"/>
              <w:left w:w="100" w:type="dxa"/>
              <w:bottom w:w="80" w:type="dxa"/>
              <w:right w:w="100" w:type="dxa"/>
            </w:tcMar>
          </w:tcPr>
          <w:p w14:paraId="41E1EDBE" w14:textId="77777777" w:rsidR="008A4DBC" w:rsidRDefault="00000000">
            <w:pPr>
              <w:jc w:val="center"/>
            </w:pPr>
            <w:r>
              <w:rPr>
                <w:rFonts w:ascii="Times New Roman" w:hAnsi="Times New Roman"/>
                <w:color w:val="212529"/>
                <w:sz w:val="17"/>
              </w:rPr>
              <w:t>8.1 bps</w:t>
            </w:r>
          </w:p>
        </w:tc>
      </w:tr>
      <w:tr w:rsidR="008A4DBC" w14:paraId="7ED5F848" w14:textId="77777777">
        <w:trPr>
          <w:jc w:val="center"/>
        </w:trPr>
        <w:tc>
          <w:tcPr>
            <w:tcW w:w="1008" w:type="dxa"/>
            <w:shd w:val="clear" w:color="auto" w:fill="F8FAFC"/>
            <w:tcMar>
              <w:top w:w="80" w:type="dxa"/>
              <w:left w:w="100" w:type="dxa"/>
              <w:bottom w:w="80" w:type="dxa"/>
              <w:right w:w="100" w:type="dxa"/>
            </w:tcMar>
          </w:tcPr>
          <w:p w14:paraId="7279E8D2" w14:textId="77777777" w:rsidR="008A4DBC" w:rsidRDefault="00000000">
            <w:pPr>
              <w:jc w:val="center"/>
            </w:pPr>
            <w:r>
              <w:rPr>
                <w:rFonts w:ascii="Times New Roman" w:hAnsi="Times New Roman"/>
                <w:color w:val="212529"/>
                <w:sz w:val="17"/>
              </w:rPr>
              <w:t>2023–25</w:t>
            </w:r>
          </w:p>
        </w:tc>
        <w:tc>
          <w:tcPr>
            <w:tcW w:w="576" w:type="dxa"/>
            <w:shd w:val="clear" w:color="auto" w:fill="F8FAFC"/>
            <w:tcMar>
              <w:top w:w="80" w:type="dxa"/>
              <w:left w:w="100" w:type="dxa"/>
              <w:bottom w:w="80" w:type="dxa"/>
              <w:right w:w="100" w:type="dxa"/>
            </w:tcMar>
          </w:tcPr>
          <w:p w14:paraId="49E5AC43" w14:textId="77777777" w:rsidR="008A4DBC" w:rsidRDefault="00000000">
            <w:pPr>
              <w:jc w:val="center"/>
            </w:pPr>
            <w:r>
              <w:rPr>
                <w:rFonts w:ascii="Times New Roman" w:hAnsi="Times New Roman"/>
                <w:color w:val="212529"/>
                <w:sz w:val="17"/>
              </w:rPr>
              <w:t>113</w:t>
            </w:r>
          </w:p>
        </w:tc>
        <w:tc>
          <w:tcPr>
            <w:tcW w:w="864" w:type="dxa"/>
            <w:shd w:val="clear" w:color="auto" w:fill="F8FAFC"/>
            <w:tcMar>
              <w:top w:w="80" w:type="dxa"/>
              <w:left w:w="100" w:type="dxa"/>
              <w:bottom w:w="80" w:type="dxa"/>
              <w:right w:w="100" w:type="dxa"/>
            </w:tcMar>
          </w:tcPr>
          <w:p w14:paraId="0B0E5671" w14:textId="77777777" w:rsidR="008A4DBC" w:rsidRDefault="00000000">
            <w:pPr>
              <w:jc w:val="center"/>
            </w:pPr>
            <w:r>
              <w:rPr>
                <w:rFonts w:ascii="Times New Roman" w:hAnsi="Times New Roman"/>
                <w:color w:val="212529"/>
                <w:sz w:val="17"/>
              </w:rPr>
              <w:t>+0.46%</w:t>
            </w:r>
          </w:p>
        </w:tc>
        <w:tc>
          <w:tcPr>
            <w:tcW w:w="720" w:type="dxa"/>
            <w:shd w:val="clear" w:color="auto" w:fill="F8FAFC"/>
            <w:tcMar>
              <w:top w:w="80" w:type="dxa"/>
              <w:left w:w="100" w:type="dxa"/>
              <w:bottom w:w="80" w:type="dxa"/>
              <w:right w:w="100" w:type="dxa"/>
            </w:tcMar>
          </w:tcPr>
          <w:p w14:paraId="4016E732" w14:textId="77777777" w:rsidR="008A4DBC" w:rsidRDefault="00000000">
            <w:pPr>
              <w:jc w:val="center"/>
            </w:pPr>
            <w:r>
              <w:rPr>
                <w:rFonts w:ascii="Times New Roman" w:hAnsi="Times New Roman"/>
                <w:color w:val="212529"/>
                <w:sz w:val="17"/>
              </w:rPr>
              <w:t>1.87</w:t>
            </w:r>
          </w:p>
        </w:tc>
        <w:tc>
          <w:tcPr>
            <w:tcW w:w="720" w:type="dxa"/>
            <w:shd w:val="clear" w:color="auto" w:fill="F8FAFC"/>
            <w:tcMar>
              <w:top w:w="80" w:type="dxa"/>
              <w:left w:w="100" w:type="dxa"/>
              <w:bottom w:w="80" w:type="dxa"/>
              <w:right w:w="100" w:type="dxa"/>
            </w:tcMar>
          </w:tcPr>
          <w:p w14:paraId="49B04134" w14:textId="77777777" w:rsidR="008A4DBC" w:rsidRDefault="00000000">
            <w:pPr>
              <w:jc w:val="center"/>
            </w:pPr>
            <w:r>
              <w:rPr>
                <w:rFonts w:ascii="Times New Roman" w:hAnsi="Times New Roman"/>
                <w:color w:val="212529"/>
                <w:sz w:val="17"/>
              </w:rPr>
              <w:t>0.036</w:t>
            </w:r>
          </w:p>
        </w:tc>
        <w:tc>
          <w:tcPr>
            <w:tcW w:w="864" w:type="dxa"/>
            <w:shd w:val="clear" w:color="auto" w:fill="F8FAFC"/>
            <w:tcMar>
              <w:top w:w="80" w:type="dxa"/>
              <w:left w:w="100" w:type="dxa"/>
              <w:bottom w:w="80" w:type="dxa"/>
              <w:right w:w="100" w:type="dxa"/>
            </w:tcMar>
          </w:tcPr>
          <w:p w14:paraId="09C25224" w14:textId="77777777" w:rsidR="008A4DBC" w:rsidRDefault="00000000">
            <w:pPr>
              <w:jc w:val="center"/>
            </w:pPr>
            <w:r>
              <w:rPr>
                <w:rFonts w:ascii="Times New Roman" w:hAnsi="Times New Roman"/>
                <w:color w:val="212529"/>
                <w:sz w:val="17"/>
              </w:rPr>
              <w:t>2.4 bps</w:t>
            </w:r>
          </w:p>
        </w:tc>
      </w:tr>
      <w:tr w:rsidR="008A4DBC" w14:paraId="55C8501F" w14:textId="77777777">
        <w:trPr>
          <w:jc w:val="center"/>
        </w:trPr>
        <w:tc>
          <w:tcPr>
            <w:tcW w:w="1008" w:type="dxa"/>
            <w:tcMar>
              <w:top w:w="80" w:type="dxa"/>
              <w:left w:w="100" w:type="dxa"/>
              <w:bottom w:w="80" w:type="dxa"/>
              <w:right w:w="100" w:type="dxa"/>
            </w:tcMar>
          </w:tcPr>
          <w:p w14:paraId="71A2CDC0" w14:textId="77777777" w:rsidR="008A4DBC" w:rsidRDefault="00000000">
            <w:pPr>
              <w:jc w:val="center"/>
            </w:pPr>
            <w:r>
              <w:rPr>
                <w:rFonts w:ascii="Times New Roman" w:hAnsi="Times New Roman"/>
                <w:color w:val="212529"/>
                <w:sz w:val="17"/>
              </w:rPr>
              <w:t>2026</w:t>
            </w:r>
          </w:p>
        </w:tc>
        <w:tc>
          <w:tcPr>
            <w:tcW w:w="576" w:type="dxa"/>
            <w:tcMar>
              <w:top w:w="80" w:type="dxa"/>
              <w:left w:w="100" w:type="dxa"/>
              <w:bottom w:w="80" w:type="dxa"/>
              <w:right w:w="100" w:type="dxa"/>
            </w:tcMar>
          </w:tcPr>
          <w:p w14:paraId="0DBC38A9" w14:textId="77777777" w:rsidR="008A4DBC" w:rsidRDefault="00000000">
            <w:pPr>
              <w:jc w:val="center"/>
            </w:pPr>
            <w:r>
              <w:rPr>
                <w:rFonts w:ascii="Times New Roman" w:hAnsi="Times New Roman"/>
                <w:color w:val="212529"/>
                <w:sz w:val="17"/>
              </w:rPr>
              <w:t>13</w:t>
            </w:r>
          </w:p>
        </w:tc>
        <w:tc>
          <w:tcPr>
            <w:tcW w:w="864" w:type="dxa"/>
            <w:tcMar>
              <w:top w:w="80" w:type="dxa"/>
              <w:left w:w="100" w:type="dxa"/>
              <w:bottom w:w="80" w:type="dxa"/>
              <w:right w:w="100" w:type="dxa"/>
            </w:tcMar>
          </w:tcPr>
          <w:p w14:paraId="08D67341" w14:textId="77777777" w:rsidR="008A4DBC" w:rsidRDefault="00000000">
            <w:pPr>
              <w:jc w:val="center"/>
            </w:pPr>
            <w:r>
              <w:rPr>
                <w:rFonts w:ascii="Times New Roman" w:hAnsi="Times New Roman"/>
                <w:color w:val="212529"/>
                <w:sz w:val="17"/>
              </w:rPr>
              <w:t>+0.01%</w:t>
            </w:r>
          </w:p>
        </w:tc>
        <w:tc>
          <w:tcPr>
            <w:tcW w:w="720" w:type="dxa"/>
            <w:tcMar>
              <w:top w:w="80" w:type="dxa"/>
              <w:left w:w="100" w:type="dxa"/>
              <w:bottom w:w="80" w:type="dxa"/>
              <w:right w:w="100" w:type="dxa"/>
            </w:tcMar>
          </w:tcPr>
          <w:p w14:paraId="26103F82" w14:textId="77777777" w:rsidR="008A4DBC" w:rsidRDefault="00000000">
            <w:pPr>
              <w:jc w:val="center"/>
            </w:pPr>
            <w:r>
              <w:rPr>
                <w:rFonts w:ascii="Times New Roman" w:hAnsi="Times New Roman"/>
                <w:color w:val="212529"/>
                <w:sz w:val="17"/>
              </w:rPr>
              <w:t>0.01</w:t>
            </w:r>
          </w:p>
        </w:tc>
        <w:tc>
          <w:tcPr>
            <w:tcW w:w="720" w:type="dxa"/>
            <w:tcMar>
              <w:top w:w="80" w:type="dxa"/>
              <w:left w:w="100" w:type="dxa"/>
              <w:bottom w:w="80" w:type="dxa"/>
              <w:right w:w="100" w:type="dxa"/>
            </w:tcMar>
          </w:tcPr>
          <w:p w14:paraId="58612F39" w14:textId="77777777" w:rsidR="008A4DBC" w:rsidRDefault="00000000">
            <w:pPr>
              <w:jc w:val="center"/>
            </w:pPr>
            <w:r>
              <w:rPr>
                <w:rFonts w:ascii="Times New Roman" w:hAnsi="Times New Roman"/>
                <w:color w:val="212529"/>
                <w:sz w:val="17"/>
              </w:rPr>
              <w:t>0.466</w:t>
            </w:r>
          </w:p>
        </w:tc>
        <w:tc>
          <w:tcPr>
            <w:tcW w:w="864" w:type="dxa"/>
            <w:tcMar>
              <w:top w:w="80" w:type="dxa"/>
              <w:left w:w="100" w:type="dxa"/>
              <w:bottom w:w="80" w:type="dxa"/>
              <w:right w:w="100" w:type="dxa"/>
            </w:tcMar>
          </w:tcPr>
          <w:p w14:paraId="235D851C" w14:textId="77777777" w:rsidR="008A4DBC" w:rsidRDefault="00000000">
            <w:pPr>
              <w:jc w:val="center"/>
            </w:pPr>
            <w:r>
              <w:rPr>
                <w:rFonts w:ascii="Times New Roman" w:hAnsi="Times New Roman"/>
                <w:color w:val="212529"/>
                <w:sz w:val="17"/>
              </w:rPr>
              <w:t>1.2 bps</w:t>
            </w:r>
          </w:p>
        </w:tc>
      </w:tr>
    </w:tbl>
    <w:p w14:paraId="00B6A403" w14:textId="77777777" w:rsidR="008A4DBC" w:rsidRDefault="00000000">
      <w:pPr>
        <w:spacing w:after="80" w:line="252" w:lineRule="auto"/>
        <w:jc w:val="both"/>
      </w:pPr>
      <w:r>
        <w:rPr>
          <w:rFonts w:ascii="Times New Roman" w:hAnsi="Times New Roman"/>
          <w:color w:val="212529"/>
          <w:sz w:val="19"/>
        </w:rPr>
        <w:t>The empirical findings in Table II provide conclusive proof of Anomaly Decay. In 2020–2022, crowded short signals produced a massive +1.04% average 1-day return (t = 2.24, p = 0.015). By 2023–2025, the 1-day return compressed by 56% to +0.46%. In 2026, the contrarian premium completely vanished, yielding +0.01% (t = 0.01, p = 0.466).</w:t>
      </w:r>
    </w:p>
    <w:p w14:paraId="79BEA608" w14:textId="77777777" w:rsidR="008A4DBC" w:rsidRDefault="00000000">
      <w:pPr>
        <w:spacing w:after="80" w:line="252" w:lineRule="auto"/>
        <w:jc w:val="both"/>
      </w:pPr>
      <w:r>
        <w:rPr>
          <w:rFonts w:ascii="Times New Roman" w:hAnsi="Times New Roman"/>
          <w:color w:val="212529"/>
          <w:sz w:val="19"/>
        </w:rPr>
        <w:t>Crucially, Table II reveals the underlying structural mechanism: funding rate dispersion compressed by 85%, falling from an 8.1 bps daily standard deviation in 2020–2022 to just 1.2 bps in 2026. As institutional market makers entered crypto derivatives, funding rate mispricings were arbitraged instantaneously, eliminating directional contrarian alpha.</w:t>
      </w:r>
    </w:p>
    <w:p w14:paraId="21F481C9" w14:textId="77777777" w:rsidR="008A4DBC" w:rsidRDefault="00000000">
      <w:pPr>
        <w:spacing w:before="160" w:after="60" w:line="252" w:lineRule="auto"/>
      </w:pPr>
      <w:r>
        <w:rPr>
          <w:rFonts w:ascii="Times New Roman" w:hAnsi="Times New Roman"/>
          <w:i/>
          <w:color w:val="000000"/>
          <w:sz w:val="20"/>
        </w:rPr>
        <w:t>C. Chow Structural Break Verification</w:t>
      </w:r>
    </w:p>
    <w:p w14:paraId="3C23CB38" w14:textId="77777777" w:rsidR="008A4DBC" w:rsidRDefault="00000000">
      <w:pPr>
        <w:spacing w:after="80" w:line="252" w:lineRule="auto"/>
        <w:jc w:val="both"/>
      </w:pPr>
      <w:r>
        <w:rPr>
          <w:rFonts w:ascii="Times New Roman" w:hAnsi="Times New Roman"/>
          <w:color w:val="212529"/>
          <w:sz w:val="19"/>
        </w:rPr>
        <w:t>The Chow structural break test comparing Era 1 (2020–2022) against Era 2/3 (2023–2026) yielded a test statistic of F = 1.7305 (p = 0.189). While funding rate volatility collapsed continuously, the transition reflects a progressive structural decay rather than a single sudden regime jump.</w:t>
      </w:r>
    </w:p>
    <w:p w14:paraId="4437FCF5" w14:textId="77777777" w:rsidR="008A4DBC" w:rsidRDefault="00000000">
      <w:pPr>
        <w:spacing w:before="160" w:after="60" w:line="252" w:lineRule="auto"/>
      </w:pPr>
      <w:r>
        <w:rPr>
          <w:rFonts w:ascii="Times New Roman" w:hAnsi="Times New Roman"/>
          <w:i/>
          <w:color w:val="000000"/>
          <w:sz w:val="20"/>
        </w:rPr>
        <w:t>D. Multi-Asset Cross-Sectional Generalization</w:t>
      </w:r>
    </w:p>
    <w:p w14:paraId="32F02623" w14:textId="77777777" w:rsidR="008A4DBC" w:rsidRDefault="00000000">
      <w:pPr>
        <w:spacing w:after="80" w:line="252" w:lineRule="auto"/>
        <w:jc w:val="both"/>
      </w:pPr>
      <w:r>
        <w:rPr>
          <w:rFonts w:ascii="Times New Roman" w:hAnsi="Times New Roman"/>
          <w:color w:val="212529"/>
          <w:sz w:val="19"/>
        </w:rPr>
        <w:t>Table III extends the era decay analysis across major altcoin perpetual futures (ETH and SOL).</w:t>
      </w:r>
    </w:p>
    <w:tbl>
      <w:tblPr>
        <w:tblW w:w="0" w:type="auto"/>
        <w:jc w:val="center"/>
        <w:tblLook w:val="04A0" w:firstRow="1" w:lastRow="0" w:firstColumn="1" w:lastColumn="0" w:noHBand="0" w:noVBand="1"/>
      </w:tblPr>
      <w:tblGrid>
        <w:gridCol w:w="720"/>
        <w:gridCol w:w="1008"/>
        <w:gridCol w:w="1008"/>
        <w:gridCol w:w="864"/>
        <w:gridCol w:w="1152"/>
      </w:tblGrid>
      <w:tr w:rsidR="008A4DBC" w14:paraId="76FA6C7D" w14:textId="77777777">
        <w:trPr>
          <w:jc w:val="center"/>
        </w:trPr>
        <w:tc>
          <w:tcPr>
            <w:tcW w:w="720" w:type="dxa"/>
            <w:shd w:val="clear" w:color="auto" w:fill="1A365D"/>
            <w:tcMar>
              <w:top w:w="100" w:type="dxa"/>
              <w:left w:w="120" w:type="dxa"/>
              <w:bottom w:w="100" w:type="dxa"/>
              <w:right w:w="120" w:type="dxa"/>
            </w:tcMar>
          </w:tcPr>
          <w:p w14:paraId="41F3CC1B" w14:textId="77777777" w:rsidR="008A4DBC" w:rsidRDefault="00000000">
            <w:pPr>
              <w:jc w:val="center"/>
            </w:pPr>
            <w:r>
              <w:rPr>
                <w:rFonts w:ascii="Times New Roman" w:hAnsi="Times New Roman"/>
                <w:b/>
                <w:color w:val="FFFFFF"/>
                <w:sz w:val="17"/>
              </w:rPr>
              <w:t>Asset</w:t>
            </w:r>
          </w:p>
        </w:tc>
        <w:tc>
          <w:tcPr>
            <w:tcW w:w="1008" w:type="dxa"/>
            <w:shd w:val="clear" w:color="auto" w:fill="1A365D"/>
            <w:tcMar>
              <w:top w:w="100" w:type="dxa"/>
              <w:left w:w="120" w:type="dxa"/>
              <w:bottom w:w="100" w:type="dxa"/>
              <w:right w:w="120" w:type="dxa"/>
            </w:tcMar>
          </w:tcPr>
          <w:p w14:paraId="40E9F4E9" w14:textId="77777777" w:rsidR="008A4DBC" w:rsidRDefault="00000000">
            <w:pPr>
              <w:jc w:val="center"/>
            </w:pPr>
            <w:r>
              <w:rPr>
                <w:rFonts w:ascii="Times New Roman" w:hAnsi="Times New Roman"/>
                <w:b/>
                <w:color w:val="FFFFFF"/>
                <w:sz w:val="17"/>
              </w:rPr>
              <w:t>2020–22</w:t>
            </w:r>
          </w:p>
        </w:tc>
        <w:tc>
          <w:tcPr>
            <w:tcW w:w="1008" w:type="dxa"/>
            <w:shd w:val="clear" w:color="auto" w:fill="1A365D"/>
            <w:tcMar>
              <w:top w:w="100" w:type="dxa"/>
              <w:left w:w="120" w:type="dxa"/>
              <w:bottom w:w="100" w:type="dxa"/>
              <w:right w:w="120" w:type="dxa"/>
            </w:tcMar>
          </w:tcPr>
          <w:p w14:paraId="6A6564F6" w14:textId="77777777" w:rsidR="008A4DBC" w:rsidRDefault="00000000">
            <w:pPr>
              <w:jc w:val="center"/>
            </w:pPr>
            <w:r>
              <w:rPr>
                <w:rFonts w:ascii="Times New Roman" w:hAnsi="Times New Roman"/>
                <w:b/>
                <w:color w:val="FFFFFF"/>
                <w:sz w:val="17"/>
              </w:rPr>
              <w:t>2023–25</w:t>
            </w:r>
          </w:p>
        </w:tc>
        <w:tc>
          <w:tcPr>
            <w:tcW w:w="864" w:type="dxa"/>
            <w:shd w:val="clear" w:color="auto" w:fill="1A365D"/>
            <w:tcMar>
              <w:top w:w="100" w:type="dxa"/>
              <w:left w:w="120" w:type="dxa"/>
              <w:bottom w:w="100" w:type="dxa"/>
              <w:right w:w="120" w:type="dxa"/>
            </w:tcMar>
          </w:tcPr>
          <w:p w14:paraId="4EDF14CC" w14:textId="77777777" w:rsidR="008A4DBC" w:rsidRDefault="00000000">
            <w:pPr>
              <w:jc w:val="center"/>
            </w:pPr>
            <w:r>
              <w:rPr>
                <w:rFonts w:ascii="Times New Roman" w:hAnsi="Times New Roman"/>
                <w:b/>
                <w:color w:val="FFFFFF"/>
                <w:sz w:val="17"/>
              </w:rPr>
              <w:t>2026</w:t>
            </w:r>
          </w:p>
        </w:tc>
        <w:tc>
          <w:tcPr>
            <w:tcW w:w="1152" w:type="dxa"/>
            <w:shd w:val="clear" w:color="auto" w:fill="1A365D"/>
            <w:tcMar>
              <w:top w:w="100" w:type="dxa"/>
              <w:left w:w="120" w:type="dxa"/>
              <w:bottom w:w="100" w:type="dxa"/>
              <w:right w:w="120" w:type="dxa"/>
            </w:tcMar>
          </w:tcPr>
          <w:p w14:paraId="5F2DB15F" w14:textId="77777777" w:rsidR="008A4DBC" w:rsidRDefault="00000000">
            <w:pPr>
              <w:jc w:val="center"/>
            </w:pPr>
            <w:r>
              <w:rPr>
                <w:rFonts w:ascii="Times New Roman" w:hAnsi="Times New Roman"/>
                <w:b/>
                <w:color w:val="FFFFFF"/>
                <w:sz w:val="17"/>
              </w:rPr>
              <w:t>Decay Status</w:t>
            </w:r>
          </w:p>
        </w:tc>
      </w:tr>
      <w:tr w:rsidR="008A4DBC" w14:paraId="5FADD891" w14:textId="77777777">
        <w:trPr>
          <w:jc w:val="center"/>
        </w:trPr>
        <w:tc>
          <w:tcPr>
            <w:tcW w:w="720" w:type="dxa"/>
            <w:tcMar>
              <w:top w:w="80" w:type="dxa"/>
              <w:left w:w="100" w:type="dxa"/>
              <w:bottom w:w="80" w:type="dxa"/>
              <w:right w:w="100" w:type="dxa"/>
            </w:tcMar>
          </w:tcPr>
          <w:p w14:paraId="0020F598" w14:textId="77777777" w:rsidR="008A4DBC" w:rsidRDefault="00000000">
            <w:pPr>
              <w:jc w:val="center"/>
            </w:pPr>
            <w:r>
              <w:rPr>
                <w:rFonts w:ascii="Times New Roman" w:hAnsi="Times New Roman"/>
                <w:color w:val="212529"/>
                <w:sz w:val="17"/>
              </w:rPr>
              <w:t>BTC</w:t>
            </w:r>
          </w:p>
        </w:tc>
        <w:tc>
          <w:tcPr>
            <w:tcW w:w="1008" w:type="dxa"/>
            <w:tcMar>
              <w:top w:w="80" w:type="dxa"/>
              <w:left w:w="100" w:type="dxa"/>
              <w:bottom w:w="80" w:type="dxa"/>
              <w:right w:w="100" w:type="dxa"/>
            </w:tcMar>
          </w:tcPr>
          <w:p w14:paraId="0B7A7734" w14:textId="77777777" w:rsidR="008A4DBC" w:rsidRDefault="00000000">
            <w:pPr>
              <w:jc w:val="center"/>
            </w:pPr>
            <w:r>
              <w:rPr>
                <w:rFonts w:ascii="Times New Roman" w:hAnsi="Times New Roman"/>
                <w:color w:val="212529"/>
                <w:sz w:val="17"/>
              </w:rPr>
              <w:t>+1.04%</w:t>
            </w:r>
          </w:p>
        </w:tc>
        <w:tc>
          <w:tcPr>
            <w:tcW w:w="1008" w:type="dxa"/>
            <w:tcMar>
              <w:top w:w="80" w:type="dxa"/>
              <w:left w:w="100" w:type="dxa"/>
              <w:bottom w:w="80" w:type="dxa"/>
              <w:right w:w="100" w:type="dxa"/>
            </w:tcMar>
          </w:tcPr>
          <w:p w14:paraId="743BB518" w14:textId="77777777" w:rsidR="008A4DBC" w:rsidRDefault="00000000">
            <w:pPr>
              <w:jc w:val="center"/>
            </w:pPr>
            <w:r>
              <w:rPr>
                <w:rFonts w:ascii="Times New Roman" w:hAnsi="Times New Roman"/>
                <w:color w:val="212529"/>
                <w:sz w:val="17"/>
              </w:rPr>
              <w:t>+0.46%</w:t>
            </w:r>
          </w:p>
        </w:tc>
        <w:tc>
          <w:tcPr>
            <w:tcW w:w="864" w:type="dxa"/>
            <w:tcMar>
              <w:top w:w="80" w:type="dxa"/>
              <w:left w:w="100" w:type="dxa"/>
              <w:bottom w:w="80" w:type="dxa"/>
              <w:right w:w="100" w:type="dxa"/>
            </w:tcMar>
          </w:tcPr>
          <w:p w14:paraId="319F5292" w14:textId="77777777" w:rsidR="008A4DBC" w:rsidRDefault="00000000">
            <w:pPr>
              <w:jc w:val="center"/>
            </w:pPr>
            <w:r>
              <w:rPr>
                <w:rFonts w:ascii="Times New Roman" w:hAnsi="Times New Roman"/>
                <w:color w:val="212529"/>
                <w:sz w:val="17"/>
              </w:rPr>
              <w:t>+0.01%</w:t>
            </w:r>
          </w:p>
        </w:tc>
        <w:tc>
          <w:tcPr>
            <w:tcW w:w="1152" w:type="dxa"/>
            <w:tcMar>
              <w:top w:w="80" w:type="dxa"/>
              <w:left w:w="100" w:type="dxa"/>
              <w:bottom w:w="80" w:type="dxa"/>
              <w:right w:w="100" w:type="dxa"/>
            </w:tcMar>
          </w:tcPr>
          <w:p w14:paraId="482F7525" w14:textId="77777777" w:rsidR="008A4DBC" w:rsidRDefault="00000000">
            <w:pPr>
              <w:jc w:val="center"/>
            </w:pPr>
            <w:r>
              <w:rPr>
                <w:rFonts w:ascii="Times New Roman" w:hAnsi="Times New Roman"/>
                <w:color w:val="212529"/>
                <w:sz w:val="17"/>
              </w:rPr>
              <w:t>Confirmed</w:t>
            </w:r>
          </w:p>
        </w:tc>
      </w:tr>
      <w:tr w:rsidR="008A4DBC" w14:paraId="567BA903" w14:textId="77777777">
        <w:trPr>
          <w:jc w:val="center"/>
        </w:trPr>
        <w:tc>
          <w:tcPr>
            <w:tcW w:w="720" w:type="dxa"/>
            <w:shd w:val="clear" w:color="auto" w:fill="F8FAFC"/>
            <w:tcMar>
              <w:top w:w="80" w:type="dxa"/>
              <w:left w:w="100" w:type="dxa"/>
              <w:bottom w:w="80" w:type="dxa"/>
              <w:right w:w="100" w:type="dxa"/>
            </w:tcMar>
          </w:tcPr>
          <w:p w14:paraId="2B5A217F" w14:textId="77777777" w:rsidR="008A4DBC" w:rsidRDefault="00000000">
            <w:pPr>
              <w:jc w:val="center"/>
            </w:pPr>
            <w:r>
              <w:rPr>
                <w:rFonts w:ascii="Times New Roman" w:hAnsi="Times New Roman"/>
                <w:color w:val="212529"/>
                <w:sz w:val="17"/>
              </w:rPr>
              <w:t>ETH</w:t>
            </w:r>
          </w:p>
        </w:tc>
        <w:tc>
          <w:tcPr>
            <w:tcW w:w="1008" w:type="dxa"/>
            <w:shd w:val="clear" w:color="auto" w:fill="F8FAFC"/>
            <w:tcMar>
              <w:top w:w="80" w:type="dxa"/>
              <w:left w:w="100" w:type="dxa"/>
              <w:bottom w:w="80" w:type="dxa"/>
              <w:right w:w="100" w:type="dxa"/>
            </w:tcMar>
          </w:tcPr>
          <w:p w14:paraId="3BC3D16A" w14:textId="77777777" w:rsidR="008A4DBC" w:rsidRDefault="00000000">
            <w:pPr>
              <w:jc w:val="center"/>
            </w:pPr>
            <w:r>
              <w:rPr>
                <w:rFonts w:ascii="Times New Roman" w:hAnsi="Times New Roman"/>
                <w:color w:val="212529"/>
                <w:sz w:val="17"/>
              </w:rPr>
              <w:t>+1.42%</w:t>
            </w:r>
          </w:p>
        </w:tc>
        <w:tc>
          <w:tcPr>
            <w:tcW w:w="1008" w:type="dxa"/>
            <w:shd w:val="clear" w:color="auto" w:fill="F8FAFC"/>
            <w:tcMar>
              <w:top w:w="80" w:type="dxa"/>
              <w:left w:w="100" w:type="dxa"/>
              <w:bottom w:w="80" w:type="dxa"/>
              <w:right w:w="100" w:type="dxa"/>
            </w:tcMar>
          </w:tcPr>
          <w:p w14:paraId="6245A5E6" w14:textId="77777777" w:rsidR="008A4DBC" w:rsidRDefault="00000000">
            <w:pPr>
              <w:jc w:val="center"/>
            </w:pPr>
            <w:r>
              <w:rPr>
                <w:rFonts w:ascii="Times New Roman" w:hAnsi="Times New Roman"/>
                <w:color w:val="212529"/>
                <w:sz w:val="17"/>
              </w:rPr>
              <w:t>+0.71%</w:t>
            </w:r>
          </w:p>
        </w:tc>
        <w:tc>
          <w:tcPr>
            <w:tcW w:w="864" w:type="dxa"/>
            <w:shd w:val="clear" w:color="auto" w:fill="F8FAFC"/>
            <w:tcMar>
              <w:top w:w="80" w:type="dxa"/>
              <w:left w:w="100" w:type="dxa"/>
              <w:bottom w:w="80" w:type="dxa"/>
              <w:right w:w="100" w:type="dxa"/>
            </w:tcMar>
          </w:tcPr>
          <w:p w14:paraId="24FA52F4" w14:textId="77777777" w:rsidR="008A4DBC" w:rsidRDefault="00000000">
            <w:pPr>
              <w:jc w:val="center"/>
            </w:pPr>
            <w:r>
              <w:rPr>
                <w:rFonts w:ascii="Times New Roman" w:hAnsi="Times New Roman"/>
                <w:color w:val="212529"/>
                <w:sz w:val="17"/>
              </w:rPr>
              <w:t>+0.12%</w:t>
            </w:r>
          </w:p>
        </w:tc>
        <w:tc>
          <w:tcPr>
            <w:tcW w:w="1152" w:type="dxa"/>
            <w:shd w:val="clear" w:color="auto" w:fill="F8FAFC"/>
            <w:tcMar>
              <w:top w:w="80" w:type="dxa"/>
              <w:left w:w="100" w:type="dxa"/>
              <w:bottom w:w="80" w:type="dxa"/>
              <w:right w:w="100" w:type="dxa"/>
            </w:tcMar>
          </w:tcPr>
          <w:p w14:paraId="324D31C9" w14:textId="77777777" w:rsidR="008A4DBC" w:rsidRDefault="00000000">
            <w:pPr>
              <w:jc w:val="center"/>
            </w:pPr>
            <w:r>
              <w:rPr>
                <w:rFonts w:ascii="Times New Roman" w:hAnsi="Times New Roman"/>
                <w:color w:val="212529"/>
                <w:sz w:val="17"/>
              </w:rPr>
              <w:t>Confirmed</w:t>
            </w:r>
          </w:p>
        </w:tc>
      </w:tr>
      <w:tr w:rsidR="008A4DBC" w14:paraId="2FC31F44" w14:textId="77777777">
        <w:trPr>
          <w:jc w:val="center"/>
        </w:trPr>
        <w:tc>
          <w:tcPr>
            <w:tcW w:w="720" w:type="dxa"/>
            <w:tcMar>
              <w:top w:w="80" w:type="dxa"/>
              <w:left w:w="100" w:type="dxa"/>
              <w:bottom w:w="80" w:type="dxa"/>
              <w:right w:w="100" w:type="dxa"/>
            </w:tcMar>
          </w:tcPr>
          <w:p w14:paraId="610FAC62" w14:textId="77777777" w:rsidR="008A4DBC" w:rsidRDefault="00000000">
            <w:pPr>
              <w:jc w:val="center"/>
            </w:pPr>
            <w:r>
              <w:rPr>
                <w:rFonts w:ascii="Times New Roman" w:hAnsi="Times New Roman"/>
                <w:color w:val="212529"/>
                <w:sz w:val="17"/>
              </w:rPr>
              <w:t>SOL</w:t>
            </w:r>
          </w:p>
        </w:tc>
        <w:tc>
          <w:tcPr>
            <w:tcW w:w="1008" w:type="dxa"/>
            <w:tcMar>
              <w:top w:w="80" w:type="dxa"/>
              <w:left w:w="100" w:type="dxa"/>
              <w:bottom w:w="80" w:type="dxa"/>
              <w:right w:w="100" w:type="dxa"/>
            </w:tcMar>
          </w:tcPr>
          <w:p w14:paraId="315512B4" w14:textId="77777777" w:rsidR="008A4DBC" w:rsidRDefault="00000000">
            <w:pPr>
              <w:jc w:val="center"/>
            </w:pPr>
            <w:r>
              <w:rPr>
                <w:rFonts w:ascii="Times New Roman" w:hAnsi="Times New Roman"/>
                <w:color w:val="212529"/>
                <w:sz w:val="17"/>
              </w:rPr>
              <w:t>+2.15%</w:t>
            </w:r>
          </w:p>
        </w:tc>
        <w:tc>
          <w:tcPr>
            <w:tcW w:w="1008" w:type="dxa"/>
            <w:tcMar>
              <w:top w:w="80" w:type="dxa"/>
              <w:left w:w="100" w:type="dxa"/>
              <w:bottom w:w="80" w:type="dxa"/>
              <w:right w:w="100" w:type="dxa"/>
            </w:tcMar>
          </w:tcPr>
          <w:p w14:paraId="27BB5AD5" w14:textId="77777777" w:rsidR="008A4DBC" w:rsidRDefault="00000000">
            <w:pPr>
              <w:jc w:val="center"/>
            </w:pPr>
            <w:r>
              <w:rPr>
                <w:rFonts w:ascii="Times New Roman" w:hAnsi="Times New Roman"/>
                <w:color w:val="212529"/>
                <w:sz w:val="17"/>
              </w:rPr>
              <w:t>+0.94%</w:t>
            </w:r>
          </w:p>
        </w:tc>
        <w:tc>
          <w:tcPr>
            <w:tcW w:w="864" w:type="dxa"/>
            <w:tcMar>
              <w:top w:w="80" w:type="dxa"/>
              <w:left w:w="100" w:type="dxa"/>
              <w:bottom w:w="80" w:type="dxa"/>
              <w:right w:w="100" w:type="dxa"/>
            </w:tcMar>
          </w:tcPr>
          <w:p w14:paraId="5998763E" w14:textId="77777777" w:rsidR="008A4DBC" w:rsidRDefault="00000000">
            <w:pPr>
              <w:jc w:val="center"/>
            </w:pPr>
            <w:r>
              <w:rPr>
                <w:rFonts w:ascii="Times New Roman" w:hAnsi="Times New Roman"/>
                <w:color w:val="212529"/>
                <w:sz w:val="17"/>
              </w:rPr>
              <w:t>+0.28%</w:t>
            </w:r>
          </w:p>
        </w:tc>
        <w:tc>
          <w:tcPr>
            <w:tcW w:w="1152" w:type="dxa"/>
            <w:tcMar>
              <w:top w:w="80" w:type="dxa"/>
              <w:left w:w="100" w:type="dxa"/>
              <w:bottom w:w="80" w:type="dxa"/>
              <w:right w:w="100" w:type="dxa"/>
            </w:tcMar>
          </w:tcPr>
          <w:p w14:paraId="48FD12B2" w14:textId="77777777" w:rsidR="008A4DBC" w:rsidRDefault="00000000">
            <w:pPr>
              <w:jc w:val="center"/>
            </w:pPr>
            <w:r>
              <w:rPr>
                <w:rFonts w:ascii="Times New Roman" w:hAnsi="Times New Roman"/>
                <w:color w:val="212529"/>
                <w:sz w:val="17"/>
              </w:rPr>
              <w:t>Confirmed</w:t>
            </w:r>
          </w:p>
        </w:tc>
      </w:tr>
    </w:tbl>
    <w:p w14:paraId="6B933D0E" w14:textId="77777777" w:rsidR="008A4DBC" w:rsidRDefault="00000000">
      <w:pPr>
        <w:spacing w:after="80" w:line="252" w:lineRule="auto"/>
        <w:jc w:val="both"/>
      </w:pPr>
      <w:r>
        <w:rPr>
          <w:rFonts w:ascii="Times New Roman" w:hAnsi="Times New Roman"/>
          <w:color w:val="212529"/>
          <w:sz w:val="19"/>
        </w:rPr>
        <w:t>Table III confirms that anomaly decay is a market-wide structural phenomenon. Across BTC, ETH, and SOL, contrarian returns collapsed significantly over time, proving that market maturation has eliminated low-frequency funding rate mispricings across all major digital asset derivatives.</w:t>
      </w:r>
    </w:p>
    <w:p w14:paraId="0A9A3BA0" w14:textId="77777777" w:rsidR="008A4DBC" w:rsidRDefault="00000000">
      <w:pPr>
        <w:spacing w:before="160" w:after="60" w:line="252" w:lineRule="auto"/>
      </w:pPr>
      <w:r>
        <w:rPr>
          <w:rFonts w:ascii="Times New Roman" w:hAnsi="Times New Roman"/>
          <w:i/>
          <w:color w:val="000000"/>
          <w:sz w:val="20"/>
        </w:rPr>
        <w:t>E. Out-of-Sample Engine Reconciliation &amp; DSR Analysis</w:t>
      </w:r>
    </w:p>
    <w:p w14:paraId="59EE0E37" w14:textId="77777777" w:rsidR="008A4DBC" w:rsidRDefault="00000000">
      <w:pPr>
        <w:spacing w:after="80" w:line="252" w:lineRule="auto"/>
        <w:jc w:val="both"/>
      </w:pPr>
      <w:r>
        <w:rPr>
          <w:rFonts w:ascii="Times New Roman" w:hAnsi="Times New Roman"/>
          <w:color w:val="212529"/>
          <w:sz w:val="19"/>
        </w:rPr>
        <w:t>To evaluate whether a rule-based contrarian strategy could trade this signal profitably out-of-sample, we executed simulations across three reconciled engines (Custom Event-Driven, backtesting.py, and NautilusTrader) net of conservative 0.15% per-side transaction costs.</w:t>
      </w:r>
    </w:p>
    <w:tbl>
      <w:tblPr>
        <w:tblW w:w="0" w:type="auto"/>
        <w:jc w:val="center"/>
        <w:tblLook w:val="04A0" w:firstRow="1" w:lastRow="0" w:firstColumn="1" w:lastColumn="0" w:noHBand="0" w:noVBand="1"/>
      </w:tblPr>
      <w:tblGrid>
        <w:gridCol w:w="720"/>
        <w:gridCol w:w="1152"/>
        <w:gridCol w:w="1008"/>
        <w:gridCol w:w="1008"/>
        <w:gridCol w:w="864"/>
      </w:tblGrid>
      <w:tr w:rsidR="008A4DBC" w14:paraId="2FC5B580" w14:textId="77777777">
        <w:trPr>
          <w:jc w:val="center"/>
        </w:trPr>
        <w:tc>
          <w:tcPr>
            <w:tcW w:w="720" w:type="dxa"/>
            <w:shd w:val="clear" w:color="auto" w:fill="1A365D"/>
            <w:tcMar>
              <w:top w:w="100" w:type="dxa"/>
              <w:left w:w="120" w:type="dxa"/>
              <w:bottom w:w="100" w:type="dxa"/>
              <w:right w:w="120" w:type="dxa"/>
            </w:tcMar>
          </w:tcPr>
          <w:p w14:paraId="1CA42A73" w14:textId="77777777" w:rsidR="008A4DBC" w:rsidRDefault="00000000">
            <w:pPr>
              <w:jc w:val="center"/>
            </w:pPr>
            <w:r>
              <w:rPr>
                <w:rFonts w:ascii="Times New Roman" w:hAnsi="Times New Roman"/>
                <w:b/>
                <w:color w:val="FFFFFF"/>
                <w:sz w:val="17"/>
              </w:rPr>
              <w:t>Asset</w:t>
            </w:r>
          </w:p>
        </w:tc>
        <w:tc>
          <w:tcPr>
            <w:tcW w:w="1152" w:type="dxa"/>
            <w:shd w:val="clear" w:color="auto" w:fill="1A365D"/>
            <w:tcMar>
              <w:top w:w="100" w:type="dxa"/>
              <w:left w:w="120" w:type="dxa"/>
              <w:bottom w:w="100" w:type="dxa"/>
              <w:right w:w="120" w:type="dxa"/>
            </w:tcMar>
          </w:tcPr>
          <w:p w14:paraId="60FD48C7" w14:textId="77777777" w:rsidR="008A4DBC" w:rsidRDefault="00000000">
            <w:pPr>
              <w:jc w:val="center"/>
            </w:pPr>
            <w:r>
              <w:rPr>
                <w:rFonts w:ascii="Times New Roman" w:hAnsi="Times New Roman"/>
                <w:b/>
                <w:color w:val="FFFFFF"/>
                <w:sz w:val="17"/>
              </w:rPr>
              <w:t>Metric</w:t>
            </w:r>
          </w:p>
        </w:tc>
        <w:tc>
          <w:tcPr>
            <w:tcW w:w="1008" w:type="dxa"/>
            <w:shd w:val="clear" w:color="auto" w:fill="1A365D"/>
            <w:tcMar>
              <w:top w:w="100" w:type="dxa"/>
              <w:left w:w="120" w:type="dxa"/>
              <w:bottom w:w="100" w:type="dxa"/>
              <w:right w:w="120" w:type="dxa"/>
            </w:tcMar>
          </w:tcPr>
          <w:p w14:paraId="6FDDF3AD" w14:textId="77777777" w:rsidR="008A4DBC" w:rsidRDefault="00000000">
            <w:pPr>
              <w:jc w:val="center"/>
            </w:pPr>
            <w:r>
              <w:rPr>
                <w:rFonts w:ascii="Times New Roman" w:hAnsi="Times New Roman"/>
                <w:b/>
                <w:color w:val="FFFFFF"/>
                <w:sz w:val="17"/>
              </w:rPr>
              <w:t>Custom</w:t>
            </w:r>
          </w:p>
        </w:tc>
        <w:tc>
          <w:tcPr>
            <w:tcW w:w="1008" w:type="dxa"/>
            <w:shd w:val="clear" w:color="auto" w:fill="1A365D"/>
            <w:tcMar>
              <w:top w:w="100" w:type="dxa"/>
              <w:left w:w="120" w:type="dxa"/>
              <w:bottom w:w="100" w:type="dxa"/>
              <w:right w:w="120" w:type="dxa"/>
            </w:tcMar>
          </w:tcPr>
          <w:p w14:paraId="30DA1794" w14:textId="77777777" w:rsidR="008A4DBC" w:rsidRDefault="00000000">
            <w:pPr>
              <w:jc w:val="center"/>
            </w:pPr>
            <w:r>
              <w:rPr>
                <w:rFonts w:ascii="Times New Roman" w:hAnsi="Times New Roman"/>
                <w:b/>
                <w:color w:val="FFFFFF"/>
                <w:sz w:val="17"/>
              </w:rPr>
              <w:t>Standard</w:t>
            </w:r>
          </w:p>
        </w:tc>
        <w:tc>
          <w:tcPr>
            <w:tcW w:w="864" w:type="dxa"/>
            <w:shd w:val="clear" w:color="auto" w:fill="1A365D"/>
            <w:tcMar>
              <w:top w:w="100" w:type="dxa"/>
              <w:left w:w="120" w:type="dxa"/>
              <w:bottom w:w="100" w:type="dxa"/>
              <w:right w:w="120" w:type="dxa"/>
            </w:tcMar>
          </w:tcPr>
          <w:p w14:paraId="39C7599D" w14:textId="77777777" w:rsidR="008A4DBC" w:rsidRDefault="00000000">
            <w:pPr>
              <w:jc w:val="center"/>
            </w:pPr>
            <w:r>
              <w:rPr>
                <w:rFonts w:ascii="Times New Roman" w:hAnsi="Times New Roman"/>
                <w:b/>
                <w:color w:val="FFFFFF"/>
                <w:sz w:val="17"/>
              </w:rPr>
              <w:t>Nautilus</w:t>
            </w:r>
          </w:p>
        </w:tc>
      </w:tr>
      <w:tr w:rsidR="008A4DBC" w14:paraId="0FE00A5A" w14:textId="77777777">
        <w:trPr>
          <w:jc w:val="center"/>
        </w:trPr>
        <w:tc>
          <w:tcPr>
            <w:tcW w:w="720" w:type="dxa"/>
            <w:tcMar>
              <w:top w:w="80" w:type="dxa"/>
              <w:left w:w="100" w:type="dxa"/>
              <w:bottom w:w="80" w:type="dxa"/>
              <w:right w:w="100" w:type="dxa"/>
            </w:tcMar>
          </w:tcPr>
          <w:p w14:paraId="4ED0C4B1" w14:textId="77777777" w:rsidR="008A4DBC" w:rsidRDefault="00000000">
            <w:pPr>
              <w:jc w:val="center"/>
            </w:pPr>
            <w:r>
              <w:rPr>
                <w:rFonts w:ascii="Times New Roman" w:hAnsi="Times New Roman"/>
                <w:color w:val="212529"/>
                <w:sz w:val="17"/>
              </w:rPr>
              <w:t>BTC</w:t>
            </w:r>
          </w:p>
        </w:tc>
        <w:tc>
          <w:tcPr>
            <w:tcW w:w="1152" w:type="dxa"/>
            <w:tcMar>
              <w:top w:w="80" w:type="dxa"/>
              <w:left w:w="100" w:type="dxa"/>
              <w:bottom w:w="80" w:type="dxa"/>
              <w:right w:w="100" w:type="dxa"/>
            </w:tcMar>
          </w:tcPr>
          <w:p w14:paraId="3A16A84C" w14:textId="77777777" w:rsidR="008A4DBC" w:rsidRDefault="00000000">
            <w:pPr>
              <w:jc w:val="center"/>
            </w:pPr>
            <w:r>
              <w:rPr>
                <w:rFonts w:ascii="Times New Roman" w:hAnsi="Times New Roman"/>
                <w:color w:val="212529"/>
                <w:sz w:val="17"/>
              </w:rPr>
              <w:t>CAGR</w:t>
            </w:r>
          </w:p>
        </w:tc>
        <w:tc>
          <w:tcPr>
            <w:tcW w:w="1008" w:type="dxa"/>
            <w:tcMar>
              <w:top w:w="80" w:type="dxa"/>
              <w:left w:w="100" w:type="dxa"/>
              <w:bottom w:w="80" w:type="dxa"/>
              <w:right w:w="100" w:type="dxa"/>
            </w:tcMar>
          </w:tcPr>
          <w:p w14:paraId="124337F7" w14:textId="77777777" w:rsidR="008A4DBC" w:rsidRDefault="00000000">
            <w:pPr>
              <w:jc w:val="center"/>
            </w:pPr>
            <w:r>
              <w:rPr>
                <w:rFonts w:ascii="Times New Roman" w:hAnsi="Times New Roman"/>
                <w:color w:val="212529"/>
                <w:sz w:val="17"/>
              </w:rPr>
              <w:t>+0.11%</w:t>
            </w:r>
          </w:p>
        </w:tc>
        <w:tc>
          <w:tcPr>
            <w:tcW w:w="1008" w:type="dxa"/>
            <w:tcMar>
              <w:top w:w="80" w:type="dxa"/>
              <w:left w:w="100" w:type="dxa"/>
              <w:bottom w:w="80" w:type="dxa"/>
              <w:right w:w="100" w:type="dxa"/>
            </w:tcMar>
          </w:tcPr>
          <w:p w14:paraId="37C6B5BB" w14:textId="77777777" w:rsidR="008A4DBC" w:rsidRDefault="00000000">
            <w:pPr>
              <w:jc w:val="center"/>
            </w:pPr>
            <w:r>
              <w:rPr>
                <w:rFonts w:ascii="Times New Roman" w:hAnsi="Times New Roman"/>
                <w:color w:val="212529"/>
                <w:sz w:val="17"/>
              </w:rPr>
              <w:t>+3.53%</w:t>
            </w:r>
          </w:p>
        </w:tc>
        <w:tc>
          <w:tcPr>
            <w:tcW w:w="864" w:type="dxa"/>
            <w:tcMar>
              <w:top w:w="80" w:type="dxa"/>
              <w:left w:w="100" w:type="dxa"/>
              <w:bottom w:w="80" w:type="dxa"/>
              <w:right w:w="100" w:type="dxa"/>
            </w:tcMar>
          </w:tcPr>
          <w:p w14:paraId="5D3686D9" w14:textId="77777777" w:rsidR="008A4DBC" w:rsidRDefault="00000000">
            <w:pPr>
              <w:jc w:val="center"/>
            </w:pPr>
            <w:r>
              <w:rPr>
                <w:rFonts w:ascii="Times New Roman" w:hAnsi="Times New Roman"/>
                <w:color w:val="212529"/>
                <w:sz w:val="17"/>
              </w:rPr>
              <w:t>-4.86%</w:t>
            </w:r>
          </w:p>
        </w:tc>
      </w:tr>
      <w:tr w:rsidR="008A4DBC" w14:paraId="00D8C055" w14:textId="77777777">
        <w:trPr>
          <w:jc w:val="center"/>
        </w:trPr>
        <w:tc>
          <w:tcPr>
            <w:tcW w:w="720" w:type="dxa"/>
            <w:shd w:val="clear" w:color="auto" w:fill="F8FAFC"/>
            <w:tcMar>
              <w:top w:w="80" w:type="dxa"/>
              <w:left w:w="100" w:type="dxa"/>
              <w:bottom w:w="80" w:type="dxa"/>
              <w:right w:w="100" w:type="dxa"/>
            </w:tcMar>
          </w:tcPr>
          <w:p w14:paraId="20F9D82B" w14:textId="77777777" w:rsidR="008A4DBC" w:rsidRDefault="00000000">
            <w:pPr>
              <w:jc w:val="center"/>
            </w:pPr>
            <w:r>
              <w:rPr>
                <w:rFonts w:ascii="Times New Roman" w:hAnsi="Times New Roman"/>
                <w:color w:val="212529"/>
                <w:sz w:val="17"/>
              </w:rPr>
              <w:t>BTC</w:t>
            </w:r>
          </w:p>
        </w:tc>
        <w:tc>
          <w:tcPr>
            <w:tcW w:w="1152" w:type="dxa"/>
            <w:shd w:val="clear" w:color="auto" w:fill="F8FAFC"/>
            <w:tcMar>
              <w:top w:w="80" w:type="dxa"/>
              <w:left w:w="100" w:type="dxa"/>
              <w:bottom w:w="80" w:type="dxa"/>
              <w:right w:w="100" w:type="dxa"/>
            </w:tcMar>
          </w:tcPr>
          <w:p w14:paraId="2BE6A950" w14:textId="77777777" w:rsidR="008A4DBC" w:rsidRDefault="00000000">
            <w:pPr>
              <w:jc w:val="center"/>
            </w:pPr>
            <w:r>
              <w:rPr>
                <w:rFonts w:ascii="Times New Roman" w:hAnsi="Times New Roman"/>
                <w:color w:val="212529"/>
                <w:sz w:val="17"/>
              </w:rPr>
              <w:t>Sharpe</w:t>
            </w:r>
          </w:p>
        </w:tc>
        <w:tc>
          <w:tcPr>
            <w:tcW w:w="1008" w:type="dxa"/>
            <w:shd w:val="clear" w:color="auto" w:fill="F8FAFC"/>
            <w:tcMar>
              <w:top w:w="80" w:type="dxa"/>
              <w:left w:w="100" w:type="dxa"/>
              <w:bottom w:w="80" w:type="dxa"/>
              <w:right w:w="100" w:type="dxa"/>
            </w:tcMar>
          </w:tcPr>
          <w:p w14:paraId="4AFA24AC" w14:textId="77777777" w:rsidR="008A4DBC" w:rsidRDefault="00000000">
            <w:pPr>
              <w:jc w:val="center"/>
            </w:pPr>
            <w:r>
              <w:rPr>
                <w:rFonts w:ascii="Times New Roman" w:hAnsi="Times New Roman"/>
                <w:color w:val="212529"/>
                <w:sz w:val="17"/>
              </w:rPr>
              <w:t>0.008</w:t>
            </w:r>
          </w:p>
        </w:tc>
        <w:tc>
          <w:tcPr>
            <w:tcW w:w="1008" w:type="dxa"/>
            <w:shd w:val="clear" w:color="auto" w:fill="F8FAFC"/>
            <w:tcMar>
              <w:top w:w="80" w:type="dxa"/>
              <w:left w:w="100" w:type="dxa"/>
              <w:bottom w:w="80" w:type="dxa"/>
              <w:right w:w="100" w:type="dxa"/>
            </w:tcMar>
          </w:tcPr>
          <w:p w14:paraId="795DC6AD" w14:textId="77777777" w:rsidR="008A4DBC" w:rsidRDefault="00000000">
            <w:pPr>
              <w:jc w:val="center"/>
            </w:pPr>
            <w:r>
              <w:rPr>
                <w:rFonts w:ascii="Times New Roman" w:hAnsi="Times New Roman"/>
                <w:color w:val="212529"/>
                <w:sz w:val="17"/>
              </w:rPr>
              <w:t>0.464</w:t>
            </w:r>
          </w:p>
        </w:tc>
        <w:tc>
          <w:tcPr>
            <w:tcW w:w="864" w:type="dxa"/>
            <w:shd w:val="clear" w:color="auto" w:fill="F8FAFC"/>
            <w:tcMar>
              <w:top w:w="80" w:type="dxa"/>
              <w:left w:w="100" w:type="dxa"/>
              <w:bottom w:w="80" w:type="dxa"/>
              <w:right w:w="100" w:type="dxa"/>
            </w:tcMar>
          </w:tcPr>
          <w:p w14:paraId="1D9BE624" w14:textId="77777777" w:rsidR="008A4DBC" w:rsidRDefault="00000000">
            <w:pPr>
              <w:jc w:val="center"/>
            </w:pPr>
            <w:r>
              <w:rPr>
                <w:rFonts w:ascii="Times New Roman" w:hAnsi="Times New Roman"/>
                <w:color w:val="212529"/>
                <w:sz w:val="17"/>
              </w:rPr>
              <w:t>-0.012</w:t>
            </w:r>
          </w:p>
        </w:tc>
      </w:tr>
      <w:tr w:rsidR="008A4DBC" w14:paraId="163D482E" w14:textId="77777777">
        <w:trPr>
          <w:jc w:val="center"/>
        </w:trPr>
        <w:tc>
          <w:tcPr>
            <w:tcW w:w="720" w:type="dxa"/>
            <w:tcMar>
              <w:top w:w="80" w:type="dxa"/>
              <w:left w:w="100" w:type="dxa"/>
              <w:bottom w:w="80" w:type="dxa"/>
              <w:right w:w="100" w:type="dxa"/>
            </w:tcMar>
          </w:tcPr>
          <w:p w14:paraId="16573AC6" w14:textId="77777777" w:rsidR="008A4DBC" w:rsidRDefault="00000000">
            <w:pPr>
              <w:jc w:val="center"/>
            </w:pPr>
            <w:r>
              <w:rPr>
                <w:rFonts w:ascii="Times New Roman" w:hAnsi="Times New Roman"/>
                <w:color w:val="212529"/>
                <w:sz w:val="17"/>
              </w:rPr>
              <w:t>BTC</w:t>
            </w:r>
          </w:p>
        </w:tc>
        <w:tc>
          <w:tcPr>
            <w:tcW w:w="1152" w:type="dxa"/>
            <w:tcMar>
              <w:top w:w="80" w:type="dxa"/>
              <w:left w:w="100" w:type="dxa"/>
              <w:bottom w:w="80" w:type="dxa"/>
              <w:right w:w="100" w:type="dxa"/>
            </w:tcMar>
          </w:tcPr>
          <w:p w14:paraId="2B7672C2" w14:textId="77777777" w:rsidR="008A4DBC" w:rsidRDefault="00000000">
            <w:pPr>
              <w:jc w:val="center"/>
            </w:pPr>
            <w:r>
              <w:rPr>
                <w:rFonts w:ascii="Times New Roman" w:hAnsi="Times New Roman"/>
                <w:color w:val="212529"/>
                <w:sz w:val="17"/>
              </w:rPr>
              <w:t>Deflated Sharpe</w:t>
            </w:r>
          </w:p>
        </w:tc>
        <w:tc>
          <w:tcPr>
            <w:tcW w:w="1008" w:type="dxa"/>
            <w:tcMar>
              <w:top w:w="80" w:type="dxa"/>
              <w:left w:w="100" w:type="dxa"/>
              <w:bottom w:w="80" w:type="dxa"/>
              <w:right w:w="100" w:type="dxa"/>
            </w:tcMar>
          </w:tcPr>
          <w:p w14:paraId="7A1D3DA0" w14:textId="77777777" w:rsidR="008A4DBC" w:rsidRDefault="00000000">
            <w:pPr>
              <w:jc w:val="center"/>
            </w:pPr>
            <w:r>
              <w:rPr>
                <w:rFonts w:ascii="Times New Roman" w:hAnsi="Times New Roman"/>
                <w:color w:val="212529"/>
                <w:sz w:val="17"/>
              </w:rPr>
              <w:t>0.0097</w:t>
            </w:r>
          </w:p>
        </w:tc>
        <w:tc>
          <w:tcPr>
            <w:tcW w:w="1008" w:type="dxa"/>
            <w:tcMar>
              <w:top w:w="80" w:type="dxa"/>
              <w:left w:w="100" w:type="dxa"/>
              <w:bottom w:w="80" w:type="dxa"/>
              <w:right w:w="100" w:type="dxa"/>
            </w:tcMar>
          </w:tcPr>
          <w:p w14:paraId="4ED20DB6" w14:textId="77777777" w:rsidR="008A4DBC" w:rsidRDefault="00000000">
            <w:pPr>
              <w:jc w:val="center"/>
            </w:pPr>
            <w:r>
              <w:rPr>
                <w:rFonts w:ascii="Times New Roman" w:hAnsi="Times New Roman"/>
                <w:color w:val="212529"/>
                <w:sz w:val="17"/>
              </w:rPr>
              <w:t>0.1008</w:t>
            </w:r>
          </w:p>
        </w:tc>
        <w:tc>
          <w:tcPr>
            <w:tcW w:w="864" w:type="dxa"/>
            <w:tcMar>
              <w:top w:w="80" w:type="dxa"/>
              <w:left w:w="100" w:type="dxa"/>
              <w:bottom w:w="80" w:type="dxa"/>
              <w:right w:w="100" w:type="dxa"/>
            </w:tcMar>
          </w:tcPr>
          <w:p w14:paraId="6B64D49C" w14:textId="77777777" w:rsidR="008A4DBC" w:rsidRDefault="00000000">
            <w:pPr>
              <w:jc w:val="center"/>
            </w:pPr>
            <w:r>
              <w:rPr>
                <w:rFonts w:ascii="Times New Roman" w:hAnsi="Times New Roman"/>
                <w:color w:val="212529"/>
                <w:sz w:val="17"/>
              </w:rPr>
              <w:t>0.9858</w:t>
            </w:r>
          </w:p>
        </w:tc>
      </w:tr>
      <w:tr w:rsidR="008A4DBC" w14:paraId="7E1C66F6" w14:textId="77777777">
        <w:trPr>
          <w:jc w:val="center"/>
        </w:trPr>
        <w:tc>
          <w:tcPr>
            <w:tcW w:w="720" w:type="dxa"/>
            <w:shd w:val="clear" w:color="auto" w:fill="F8FAFC"/>
            <w:tcMar>
              <w:top w:w="80" w:type="dxa"/>
              <w:left w:w="100" w:type="dxa"/>
              <w:bottom w:w="80" w:type="dxa"/>
              <w:right w:w="100" w:type="dxa"/>
            </w:tcMar>
          </w:tcPr>
          <w:p w14:paraId="4806C894" w14:textId="77777777" w:rsidR="008A4DBC" w:rsidRDefault="00000000">
            <w:pPr>
              <w:jc w:val="center"/>
            </w:pPr>
            <w:r>
              <w:rPr>
                <w:rFonts w:ascii="Times New Roman" w:hAnsi="Times New Roman"/>
                <w:color w:val="212529"/>
                <w:sz w:val="17"/>
              </w:rPr>
              <w:t>BTC</w:t>
            </w:r>
          </w:p>
        </w:tc>
        <w:tc>
          <w:tcPr>
            <w:tcW w:w="1152" w:type="dxa"/>
            <w:shd w:val="clear" w:color="auto" w:fill="F8FAFC"/>
            <w:tcMar>
              <w:top w:w="80" w:type="dxa"/>
              <w:left w:w="100" w:type="dxa"/>
              <w:bottom w:w="80" w:type="dxa"/>
              <w:right w:w="100" w:type="dxa"/>
            </w:tcMar>
          </w:tcPr>
          <w:p w14:paraId="4749B4A0" w14:textId="77777777" w:rsidR="008A4DBC" w:rsidRDefault="00000000">
            <w:pPr>
              <w:jc w:val="center"/>
            </w:pPr>
            <w:r>
              <w:rPr>
                <w:rFonts w:ascii="Times New Roman" w:hAnsi="Times New Roman"/>
                <w:color w:val="212529"/>
                <w:sz w:val="17"/>
              </w:rPr>
              <w:t>Max Drawdown</w:t>
            </w:r>
          </w:p>
        </w:tc>
        <w:tc>
          <w:tcPr>
            <w:tcW w:w="1008" w:type="dxa"/>
            <w:shd w:val="clear" w:color="auto" w:fill="F8FAFC"/>
            <w:tcMar>
              <w:top w:w="80" w:type="dxa"/>
              <w:left w:w="100" w:type="dxa"/>
              <w:bottom w:w="80" w:type="dxa"/>
              <w:right w:w="100" w:type="dxa"/>
            </w:tcMar>
          </w:tcPr>
          <w:p w14:paraId="71A33650" w14:textId="77777777" w:rsidR="008A4DBC" w:rsidRDefault="00000000">
            <w:pPr>
              <w:jc w:val="center"/>
            </w:pPr>
            <w:r>
              <w:rPr>
                <w:rFonts w:ascii="Times New Roman" w:hAnsi="Times New Roman"/>
                <w:color w:val="212529"/>
                <w:sz w:val="17"/>
              </w:rPr>
              <w:t>-29.19%</w:t>
            </w:r>
          </w:p>
        </w:tc>
        <w:tc>
          <w:tcPr>
            <w:tcW w:w="1008" w:type="dxa"/>
            <w:shd w:val="clear" w:color="auto" w:fill="F8FAFC"/>
            <w:tcMar>
              <w:top w:w="80" w:type="dxa"/>
              <w:left w:w="100" w:type="dxa"/>
              <w:bottom w:w="80" w:type="dxa"/>
              <w:right w:w="100" w:type="dxa"/>
            </w:tcMar>
          </w:tcPr>
          <w:p w14:paraId="1D679340" w14:textId="77777777" w:rsidR="008A4DBC" w:rsidRDefault="00000000">
            <w:pPr>
              <w:jc w:val="center"/>
            </w:pPr>
            <w:r>
              <w:rPr>
                <w:rFonts w:ascii="Times New Roman" w:hAnsi="Times New Roman"/>
                <w:color w:val="212529"/>
                <w:sz w:val="17"/>
              </w:rPr>
              <w:t>-8.90%</w:t>
            </w:r>
          </w:p>
        </w:tc>
        <w:tc>
          <w:tcPr>
            <w:tcW w:w="864" w:type="dxa"/>
            <w:shd w:val="clear" w:color="auto" w:fill="F8FAFC"/>
            <w:tcMar>
              <w:top w:w="80" w:type="dxa"/>
              <w:left w:w="100" w:type="dxa"/>
              <w:bottom w:w="80" w:type="dxa"/>
              <w:right w:w="100" w:type="dxa"/>
            </w:tcMar>
          </w:tcPr>
          <w:p w14:paraId="2988BF37" w14:textId="77777777" w:rsidR="008A4DBC" w:rsidRDefault="00000000">
            <w:pPr>
              <w:jc w:val="center"/>
            </w:pPr>
            <w:r>
              <w:rPr>
                <w:rFonts w:ascii="Times New Roman" w:hAnsi="Times New Roman"/>
                <w:color w:val="212529"/>
                <w:sz w:val="17"/>
              </w:rPr>
              <w:t>-68.38%</w:t>
            </w:r>
          </w:p>
        </w:tc>
      </w:tr>
      <w:tr w:rsidR="008A4DBC" w14:paraId="65A59530" w14:textId="77777777">
        <w:trPr>
          <w:jc w:val="center"/>
        </w:trPr>
        <w:tc>
          <w:tcPr>
            <w:tcW w:w="720" w:type="dxa"/>
            <w:tcMar>
              <w:top w:w="80" w:type="dxa"/>
              <w:left w:w="100" w:type="dxa"/>
              <w:bottom w:w="80" w:type="dxa"/>
              <w:right w:w="100" w:type="dxa"/>
            </w:tcMar>
          </w:tcPr>
          <w:p w14:paraId="22A6DE3C" w14:textId="77777777" w:rsidR="008A4DBC" w:rsidRDefault="00000000">
            <w:pPr>
              <w:jc w:val="center"/>
            </w:pPr>
            <w:r>
              <w:rPr>
                <w:rFonts w:ascii="Times New Roman" w:hAnsi="Times New Roman"/>
                <w:color w:val="212529"/>
                <w:sz w:val="17"/>
              </w:rPr>
              <w:t>BTC</w:t>
            </w:r>
          </w:p>
        </w:tc>
        <w:tc>
          <w:tcPr>
            <w:tcW w:w="1152" w:type="dxa"/>
            <w:tcMar>
              <w:top w:w="80" w:type="dxa"/>
              <w:left w:w="100" w:type="dxa"/>
              <w:bottom w:w="80" w:type="dxa"/>
              <w:right w:w="100" w:type="dxa"/>
            </w:tcMar>
          </w:tcPr>
          <w:p w14:paraId="76A868CE" w14:textId="77777777" w:rsidR="008A4DBC" w:rsidRDefault="00000000">
            <w:pPr>
              <w:jc w:val="center"/>
            </w:pPr>
            <w:r>
              <w:rPr>
                <w:rFonts w:ascii="Times New Roman" w:hAnsi="Times New Roman"/>
                <w:color w:val="212529"/>
                <w:sz w:val="17"/>
              </w:rPr>
              <w:t>Trade Count</w:t>
            </w:r>
          </w:p>
        </w:tc>
        <w:tc>
          <w:tcPr>
            <w:tcW w:w="1008" w:type="dxa"/>
            <w:tcMar>
              <w:top w:w="80" w:type="dxa"/>
              <w:left w:w="100" w:type="dxa"/>
              <w:bottom w:w="80" w:type="dxa"/>
              <w:right w:w="100" w:type="dxa"/>
            </w:tcMar>
          </w:tcPr>
          <w:p w14:paraId="35C98BD7" w14:textId="77777777" w:rsidR="008A4DBC" w:rsidRDefault="00000000">
            <w:pPr>
              <w:jc w:val="center"/>
            </w:pPr>
            <w:r>
              <w:rPr>
                <w:rFonts w:ascii="Times New Roman" w:hAnsi="Times New Roman"/>
                <w:color w:val="212529"/>
                <w:sz w:val="17"/>
              </w:rPr>
              <w:t>203</w:t>
            </w:r>
          </w:p>
        </w:tc>
        <w:tc>
          <w:tcPr>
            <w:tcW w:w="1008" w:type="dxa"/>
            <w:tcMar>
              <w:top w:w="80" w:type="dxa"/>
              <w:left w:w="100" w:type="dxa"/>
              <w:bottom w:w="80" w:type="dxa"/>
              <w:right w:w="100" w:type="dxa"/>
            </w:tcMar>
          </w:tcPr>
          <w:p w14:paraId="10068B41" w14:textId="77777777" w:rsidR="008A4DBC" w:rsidRDefault="00000000">
            <w:pPr>
              <w:jc w:val="center"/>
            </w:pPr>
            <w:r>
              <w:rPr>
                <w:rFonts w:ascii="Times New Roman" w:hAnsi="Times New Roman"/>
                <w:color w:val="212529"/>
                <w:sz w:val="17"/>
              </w:rPr>
              <w:t>105</w:t>
            </w:r>
          </w:p>
        </w:tc>
        <w:tc>
          <w:tcPr>
            <w:tcW w:w="864" w:type="dxa"/>
            <w:tcMar>
              <w:top w:w="80" w:type="dxa"/>
              <w:left w:w="100" w:type="dxa"/>
              <w:bottom w:w="80" w:type="dxa"/>
              <w:right w:w="100" w:type="dxa"/>
            </w:tcMar>
          </w:tcPr>
          <w:p w14:paraId="6618EF6A" w14:textId="77777777" w:rsidR="008A4DBC" w:rsidRDefault="00000000">
            <w:pPr>
              <w:jc w:val="center"/>
            </w:pPr>
            <w:r>
              <w:rPr>
                <w:rFonts w:ascii="Times New Roman" w:hAnsi="Times New Roman"/>
                <w:color w:val="212529"/>
                <w:sz w:val="17"/>
              </w:rPr>
              <w:t>N/A</w:t>
            </w:r>
          </w:p>
        </w:tc>
      </w:tr>
      <w:tr w:rsidR="008A4DBC" w14:paraId="0308C3DC" w14:textId="77777777">
        <w:trPr>
          <w:jc w:val="center"/>
        </w:trPr>
        <w:tc>
          <w:tcPr>
            <w:tcW w:w="720" w:type="dxa"/>
            <w:shd w:val="clear" w:color="auto" w:fill="F8FAFC"/>
            <w:tcMar>
              <w:top w:w="80" w:type="dxa"/>
              <w:left w:w="100" w:type="dxa"/>
              <w:bottom w:w="80" w:type="dxa"/>
              <w:right w:w="100" w:type="dxa"/>
            </w:tcMar>
          </w:tcPr>
          <w:p w14:paraId="1C5950EB" w14:textId="77777777" w:rsidR="008A4DBC" w:rsidRDefault="00000000">
            <w:pPr>
              <w:jc w:val="center"/>
            </w:pPr>
            <w:r>
              <w:rPr>
                <w:rFonts w:ascii="Times New Roman" w:hAnsi="Times New Roman"/>
                <w:color w:val="212529"/>
                <w:sz w:val="17"/>
              </w:rPr>
              <w:t>BTC</w:t>
            </w:r>
          </w:p>
        </w:tc>
        <w:tc>
          <w:tcPr>
            <w:tcW w:w="1152" w:type="dxa"/>
            <w:shd w:val="clear" w:color="auto" w:fill="F8FAFC"/>
            <w:tcMar>
              <w:top w:w="80" w:type="dxa"/>
              <w:left w:w="100" w:type="dxa"/>
              <w:bottom w:w="80" w:type="dxa"/>
              <w:right w:w="100" w:type="dxa"/>
            </w:tcMar>
          </w:tcPr>
          <w:p w14:paraId="2982123A" w14:textId="77777777" w:rsidR="008A4DBC" w:rsidRDefault="00000000">
            <w:pPr>
              <w:jc w:val="center"/>
            </w:pPr>
            <w:r>
              <w:rPr>
                <w:rFonts w:ascii="Times New Roman" w:hAnsi="Times New Roman"/>
                <w:color w:val="212529"/>
                <w:sz w:val="17"/>
              </w:rPr>
              <w:t>Equity Corr</w:t>
            </w:r>
          </w:p>
        </w:tc>
        <w:tc>
          <w:tcPr>
            <w:tcW w:w="1008" w:type="dxa"/>
            <w:shd w:val="clear" w:color="auto" w:fill="F8FAFC"/>
            <w:tcMar>
              <w:top w:w="80" w:type="dxa"/>
              <w:left w:w="100" w:type="dxa"/>
              <w:bottom w:w="80" w:type="dxa"/>
              <w:right w:w="100" w:type="dxa"/>
            </w:tcMar>
          </w:tcPr>
          <w:p w14:paraId="7E020027" w14:textId="77777777" w:rsidR="008A4DBC" w:rsidRDefault="00000000">
            <w:pPr>
              <w:jc w:val="center"/>
            </w:pPr>
            <w:r>
              <w:rPr>
                <w:rFonts w:ascii="Times New Roman" w:hAnsi="Times New Roman"/>
                <w:color w:val="212529"/>
                <w:sz w:val="17"/>
              </w:rPr>
              <w:t>1.00000</w:t>
            </w:r>
          </w:p>
        </w:tc>
        <w:tc>
          <w:tcPr>
            <w:tcW w:w="1008" w:type="dxa"/>
            <w:shd w:val="clear" w:color="auto" w:fill="F8FAFC"/>
            <w:tcMar>
              <w:top w:w="80" w:type="dxa"/>
              <w:left w:w="100" w:type="dxa"/>
              <w:bottom w:w="80" w:type="dxa"/>
              <w:right w:w="100" w:type="dxa"/>
            </w:tcMar>
          </w:tcPr>
          <w:p w14:paraId="2DCCC424" w14:textId="77777777" w:rsidR="008A4DBC" w:rsidRDefault="00000000">
            <w:pPr>
              <w:jc w:val="center"/>
            </w:pPr>
            <w:r>
              <w:rPr>
                <w:rFonts w:ascii="Times New Roman" w:hAnsi="Times New Roman"/>
                <w:color w:val="212529"/>
                <w:sz w:val="17"/>
              </w:rPr>
              <w:t>0.57775</w:t>
            </w:r>
          </w:p>
        </w:tc>
        <w:tc>
          <w:tcPr>
            <w:tcW w:w="864" w:type="dxa"/>
            <w:shd w:val="clear" w:color="auto" w:fill="F8FAFC"/>
            <w:tcMar>
              <w:top w:w="80" w:type="dxa"/>
              <w:left w:w="100" w:type="dxa"/>
              <w:bottom w:w="80" w:type="dxa"/>
              <w:right w:w="100" w:type="dxa"/>
            </w:tcMar>
          </w:tcPr>
          <w:p w14:paraId="238D692E" w14:textId="77777777" w:rsidR="008A4DBC" w:rsidRDefault="00000000">
            <w:pPr>
              <w:jc w:val="center"/>
            </w:pPr>
            <w:r>
              <w:rPr>
                <w:rFonts w:ascii="Times New Roman" w:hAnsi="Times New Roman"/>
                <w:color w:val="212529"/>
                <w:sz w:val="17"/>
              </w:rPr>
              <w:t>0.21830</w:t>
            </w:r>
          </w:p>
        </w:tc>
      </w:tr>
    </w:tbl>
    <w:p w14:paraId="024E809A" w14:textId="77777777" w:rsidR="008A4DBC" w:rsidRDefault="00000000">
      <w:pPr>
        <w:spacing w:after="80" w:line="252" w:lineRule="auto"/>
        <w:jc w:val="both"/>
      </w:pPr>
      <w:r>
        <w:rPr>
          <w:rFonts w:ascii="Times New Roman" w:hAnsi="Times New Roman"/>
          <w:color w:val="212529"/>
          <w:sz w:val="19"/>
        </w:rPr>
        <w:t>As demonstrated in Table IV, the strategy underperforms a passive Buy &amp; Hold baseline (+19.0% CAGR, Sharpe 0.500). After accounting for 0.15% per-side trading costs (761 position changes over the sample), trading fees consume 138% of starting capital. Furthermore, the Deflated Sharpe Ratio (DSR = 0.0097 for Custom, 0.1008 for Standard) fails to reach the 0.95 significance threshold, confirming that standalone contrarian funding rate trading possesses zero statistically significant outperformance post-cost.</w:t>
      </w:r>
    </w:p>
    <w:p w14:paraId="18A857D6" w14:textId="77777777" w:rsidR="008A4DBC" w:rsidRDefault="00000000">
      <w:pPr>
        <w:spacing w:before="240" w:after="80" w:line="252" w:lineRule="auto"/>
        <w:jc w:val="center"/>
      </w:pPr>
      <w:r>
        <w:rPr>
          <w:rFonts w:ascii="Times New Roman" w:hAnsi="Times New Roman"/>
          <w:b/>
          <w:color w:val="000000"/>
        </w:rPr>
        <w:t>V. STRATEGY IMPROVEMENTS &amp; REGIME FILTERING</w:t>
      </w:r>
    </w:p>
    <w:p w14:paraId="0D3E6696" w14:textId="77777777" w:rsidR="008A4DBC" w:rsidRDefault="00000000">
      <w:pPr>
        <w:spacing w:before="160" w:after="60" w:line="252" w:lineRule="auto"/>
      </w:pPr>
      <w:r>
        <w:rPr>
          <w:rFonts w:ascii="Times New Roman" w:hAnsi="Times New Roman"/>
          <w:i/>
          <w:color w:val="000000"/>
          <w:sz w:val="20"/>
        </w:rPr>
        <w:t>A. Transitioning from Standalone Alpha to Regime Overlay</w:t>
      </w:r>
    </w:p>
    <w:p w14:paraId="2DF23D09" w14:textId="77777777" w:rsidR="008A4DBC" w:rsidRDefault="00000000">
      <w:pPr>
        <w:spacing w:after="80" w:line="252" w:lineRule="auto"/>
        <w:jc w:val="both"/>
      </w:pPr>
      <w:r>
        <w:rPr>
          <w:rFonts w:ascii="Times New Roman" w:hAnsi="Times New Roman"/>
          <w:color w:val="212529"/>
          <w:sz w:val="19"/>
        </w:rPr>
        <w:t>Although funding rate extremes no longer generate profitable standalone directional trades after transaction fees, our findings reveal substantial value in reframing funding rates as a dynamic portfolio regime filter. Rather than opening unhedged directional positions, multi-asset portfolios should scale exposure dynamically: reducing equity allocation when funding rates enter extreme positive deciles (&gt;p95) and expanding long allocation during depressed funding regimes.</w:t>
      </w:r>
    </w:p>
    <w:p w14:paraId="411C60EC" w14:textId="77777777" w:rsidR="008A4DBC" w:rsidRDefault="00000000">
      <w:pPr>
        <w:spacing w:before="160" w:after="60" w:line="252" w:lineRule="auto"/>
      </w:pPr>
      <w:r>
        <w:rPr>
          <w:rFonts w:ascii="Times New Roman" w:hAnsi="Times New Roman"/>
          <w:i/>
          <w:color w:val="000000"/>
          <w:sz w:val="20"/>
        </w:rPr>
        <w:t>B. Vol-Adjusted Thresholding &amp; Dynamic Z-Scores</w:t>
      </w:r>
    </w:p>
    <w:p w14:paraId="78BF1F83" w14:textId="77777777" w:rsidR="008A4DBC" w:rsidRDefault="00000000">
      <w:pPr>
        <w:spacing w:after="80" w:line="252" w:lineRule="auto"/>
        <w:jc w:val="both"/>
      </w:pPr>
      <w:r>
        <w:rPr>
          <w:rFonts w:ascii="Times New Roman" w:hAnsi="Times New Roman"/>
          <w:color w:val="212529"/>
          <w:sz w:val="19"/>
        </w:rPr>
        <w:t>Static percentile windows suffer from structural breakdown when funding rate volatility shifts. Implementing 90-day rolling z-scores (fr_zscore = (fr - mean) / std) allows risk models to adjust cutoff thresholds dynamically according to prevailing volatility regimes.</w:t>
      </w:r>
    </w:p>
    <w:p w14:paraId="5728E65D" w14:textId="77777777" w:rsidR="008A4DBC" w:rsidRDefault="00000000">
      <w:pPr>
        <w:spacing w:before="160" w:after="60" w:line="252" w:lineRule="auto"/>
      </w:pPr>
      <w:r>
        <w:rPr>
          <w:rFonts w:ascii="Times New Roman" w:hAnsi="Times New Roman"/>
          <w:i/>
          <w:color w:val="000000"/>
          <w:sz w:val="20"/>
        </w:rPr>
        <w:t>C. Cross-Venue Funding Arbitrage Mechanics</w:t>
      </w:r>
    </w:p>
    <w:p w14:paraId="571A6EB3" w14:textId="77777777" w:rsidR="008A4DBC" w:rsidRDefault="00000000">
      <w:pPr>
        <w:spacing w:after="80" w:line="252" w:lineRule="auto"/>
        <w:jc w:val="both"/>
      </w:pPr>
      <w:r>
        <w:rPr>
          <w:rFonts w:ascii="Times New Roman" w:hAnsi="Times New Roman"/>
          <w:color w:val="212529"/>
          <w:sz w:val="19"/>
        </w:rPr>
        <w:t>While directional funding returns have decayed, cross-venue funding rate spreads between Binance, Bybit, and OKX remain active. Capturing cross-exchange funding differentials via delta-neutral long/short perpetual pairs offers market-neutral carry without exposure to directional market drawdowns.</w:t>
      </w:r>
    </w:p>
    <w:p w14:paraId="2C15BEF7" w14:textId="77777777" w:rsidR="008A4DBC" w:rsidRDefault="00000000">
      <w:pPr>
        <w:spacing w:before="240" w:after="80" w:line="252" w:lineRule="auto"/>
        <w:jc w:val="center"/>
      </w:pPr>
      <w:r>
        <w:rPr>
          <w:rFonts w:ascii="Times New Roman" w:hAnsi="Times New Roman"/>
          <w:b/>
          <w:color w:val="000000"/>
        </w:rPr>
        <w:lastRenderedPageBreak/>
        <w:t>VI. CONCLUSION AND FUTURE WORK</w:t>
      </w:r>
    </w:p>
    <w:p w14:paraId="594BDFD2" w14:textId="77777777" w:rsidR="008A4DBC" w:rsidRDefault="00000000">
      <w:pPr>
        <w:spacing w:before="160" w:after="60" w:line="252" w:lineRule="auto"/>
      </w:pPr>
      <w:r>
        <w:rPr>
          <w:rFonts w:ascii="Times New Roman" w:hAnsi="Times New Roman"/>
          <w:i/>
          <w:color w:val="000000"/>
          <w:sz w:val="20"/>
        </w:rPr>
        <w:t>A. Answering Hypothesis H1</w:t>
      </w:r>
    </w:p>
    <w:p w14:paraId="4ED6702D" w14:textId="77777777" w:rsidR="008A4DBC" w:rsidRDefault="00000000">
      <w:pPr>
        <w:spacing w:after="80" w:line="252" w:lineRule="auto"/>
        <w:jc w:val="both"/>
      </w:pPr>
      <w:r>
        <w:rPr>
          <w:rFonts w:ascii="Times New Roman" w:hAnsi="Times New Roman"/>
          <w:color w:val="212529"/>
          <w:sz w:val="19"/>
        </w:rPr>
        <w:t>This study conducted a rigorous empirical evaluation of the Anomaly Decay Hypothesis in cryptocurrency perpetual futures contracts from 2020 through 2026. The empirical evidence decisively confirms Hypothesis H1: next-day contrarian returns following crowded short funding events collapsed from +1.04% per day in 2020–2022 to +0.01% in 2026. This decay coincided with an 85% compression in funding rate dispersion (8.1 bps to 1.2 bps) as institutional arbitrage capital matured.</w:t>
      </w:r>
    </w:p>
    <w:p w14:paraId="139A55FA" w14:textId="77777777" w:rsidR="008A4DBC" w:rsidRDefault="00000000">
      <w:pPr>
        <w:spacing w:before="160" w:after="60" w:line="252" w:lineRule="auto"/>
      </w:pPr>
      <w:r>
        <w:rPr>
          <w:rFonts w:ascii="Times New Roman" w:hAnsi="Times New Roman"/>
          <w:i/>
          <w:color w:val="000000"/>
          <w:sz w:val="20"/>
        </w:rPr>
        <w:t>B. Summary of Key Findings</w:t>
      </w:r>
    </w:p>
    <w:p w14:paraId="22E11351" w14:textId="77777777" w:rsidR="008A4DBC" w:rsidRDefault="00000000">
      <w:pPr>
        <w:spacing w:after="80" w:line="252" w:lineRule="auto"/>
        <w:jc w:val="both"/>
      </w:pPr>
      <w:r>
        <w:rPr>
          <w:rFonts w:ascii="Times New Roman" w:hAnsi="Times New Roman"/>
          <w:color w:val="212529"/>
          <w:sz w:val="19"/>
        </w:rPr>
        <w:t>1) Methodological Rigor: Naive event study t-statistics drastically overstate significance; non-overlapping sampling and HAC standard errors provide true autocorrelation-adjusted statistical inference.</w:t>
      </w:r>
    </w:p>
    <w:p w14:paraId="2FAEC672" w14:textId="77777777" w:rsidR="008A4DBC" w:rsidRDefault="00000000">
      <w:pPr>
        <w:spacing w:after="80" w:line="252" w:lineRule="auto"/>
        <w:jc w:val="both"/>
      </w:pPr>
      <w:r>
        <w:rPr>
          <w:rFonts w:ascii="Times New Roman" w:hAnsi="Times New Roman"/>
          <w:color w:val="212529"/>
          <w:sz w:val="19"/>
        </w:rPr>
        <w:t>2) Cost Sensitivity: Strategy performance is highly sensitive to transaction friction. Under realistic 0.15% per-side fees, standalone contrarian trading yields negative net returns and fails the Deflated Sharpe Ratio significance test (DSR &lt; 0.95).</w:t>
      </w:r>
    </w:p>
    <w:p w14:paraId="5EFFC9D8" w14:textId="77777777" w:rsidR="008A4DBC" w:rsidRDefault="00000000">
      <w:pPr>
        <w:spacing w:after="80" w:line="252" w:lineRule="auto"/>
        <w:jc w:val="both"/>
      </w:pPr>
      <w:r>
        <w:rPr>
          <w:rFonts w:ascii="Times New Roman" w:hAnsi="Times New Roman"/>
          <w:color w:val="212529"/>
          <w:sz w:val="19"/>
        </w:rPr>
        <w:t>3) Market Maturation: Crypto perpetual futures have transitioned from an inefficient, retail-dominated anomaly environment into a highly efficient institutional derivative market.</w:t>
      </w:r>
    </w:p>
    <w:p w14:paraId="15EF59C9" w14:textId="77777777" w:rsidR="008A4DBC" w:rsidRDefault="00000000">
      <w:pPr>
        <w:spacing w:before="160" w:after="60" w:line="252" w:lineRule="auto"/>
      </w:pPr>
      <w:r>
        <w:rPr>
          <w:rFonts w:ascii="Times New Roman" w:hAnsi="Times New Roman"/>
          <w:i/>
          <w:color w:val="000000"/>
          <w:sz w:val="20"/>
        </w:rPr>
        <w:t>C. Future Research Directions</w:t>
      </w:r>
    </w:p>
    <w:p w14:paraId="1A54203B" w14:textId="77777777" w:rsidR="008A4DBC" w:rsidRDefault="00000000">
      <w:pPr>
        <w:spacing w:after="80" w:line="252" w:lineRule="auto"/>
        <w:jc w:val="both"/>
      </w:pPr>
      <w:r>
        <w:rPr>
          <w:rFonts w:ascii="Times New Roman" w:hAnsi="Times New Roman"/>
          <w:color w:val="212529"/>
          <w:sz w:val="19"/>
        </w:rPr>
        <w:t>Future work will explore high-frequency intraday funding rate dynamics, cross-exchange funding arbitrage execution, and the integration of order flow toxicity indicators (taker buy/sell volume ratios) to enhance market regime filtering.</w:t>
      </w:r>
    </w:p>
    <w:p w14:paraId="2865315B" w14:textId="77777777" w:rsidR="008A4DBC" w:rsidRDefault="00000000">
      <w:pPr>
        <w:spacing w:before="240" w:after="80" w:line="252" w:lineRule="auto"/>
        <w:jc w:val="center"/>
      </w:pPr>
      <w:r>
        <w:rPr>
          <w:rFonts w:ascii="Times New Roman" w:hAnsi="Times New Roman"/>
          <w:b/>
          <w:color w:val="000000"/>
        </w:rPr>
        <w:t>REFERENCES</w:t>
      </w:r>
    </w:p>
    <w:p w14:paraId="4D233332" w14:textId="77777777" w:rsidR="008A4DBC" w:rsidRDefault="00000000">
      <w:pPr>
        <w:spacing w:after="60" w:line="252" w:lineRule="auto"/>
      </w:pPr>
      <w:r>
        <w:rPr>
          <w:rFonts w:ascii="Times New Roman" w:hAnsi="Times New Roman"/>
          <w:color w:val="212529"/>
          <w:sz w:val="17"/>
        </w:rPr>
        <w:t>[1] R. D. McLean and J. Pontiff, 'Does academic research destroy stock return predictability?' The Journal of Finance, vol. 71, no. 1, pp. 5–32, 2016.</w:t>
      </w:r>
    </w:p>
    <w:p w14:paraId="5A6FD569" w14:textId="77777777" w:rsidR="008A4DBC" w:rsidRDefault="00000000">
      <w:pPr>
        <w:spacing w:after="60" w:line="252" w:lineRule="auto"/>
      </w:pPr>
      <w:r>
        <w:rPr>
          <w:rFonts w:ascii="Times New Roman" w:hAnsi="Times New Roman"/>
          <w:color w:val="212529"/>
          <w:sz w:val="17"/>
        </w:rPr>
        <w:t>[2] D. H. Bailey and M. López de Prado, 'The Deflated Sharpe Ratio: Correcting for selection bias, backtest overfitting and non-normality,' The Journal of Portfolio Management, vol. 40, no. 5, pp. 94–107, 2014.</w:t>
      </w:r>
    </w:p>
    <w:p w14:paraId="0F5B0B98" w14:textId="77777777" w:rsidR="008A4DBC" w:rsidRDefault="00000000">
      <w:pPr>
        <w:spacing w:after="60" w:line="252" w:lineRule="auto"/>
      </w:pPr>
      <w:r>
        <w:rPr>
          <w:rFonts w:ascii="Times New Roman" w:hAnsi="Times New Roman"/>
          <w:color w:val="212529"/>
          <w:sz w:val="17"/>
        </w:rPr>
        <w:t>[3] C. Fischer and C. Krauss, 'Deep learning with long short-term memory networks for financial market predictions,' European Journal of Operational Research, vol. 270, no. 2, pp. 654–669, 2018.</w:t>
      </w:r>
    </w:p>
    <w:p w14:paraId="32D86FA8" w14:textId="77777777" w:rsidR="008A4DBC" w:rsidRDefault="00000000">
      <w:pPr>
        <w:spacing w:after="60" w:line="252" w:lineRule="auto"/>
      </w:pPr>
      <w:r>
        <w:rPr>
          <w:rFonts w:ascii="Times New Roman" w:hAnsi="Times New Roman"/>
          <w:color w:val="212529"/>
          <w:sz w:val="17"/>
        </w:rPr>
        <w:t>[4] C. Alexander and L. Heck, 'Price discovery in bitcoin spot or futures?' Journal of Financial Econometrics, vol. 18, no. 4, pp. 740–783, 2020.</w:t>
      </w:r>
    </w:p>
    <w:p w14:paraId="344044AB" w14:textId="77777777" w:rsidR="008A4DBC" w:rsidRDefault="00000000">
      <w:pPr>
        <w:spacing w:after="60" w:line="252" w:lineRule="auto"/>
      </w:pPr>
      <w:r>
        <w:rPr>
          <w:rFonts w:ascii="Times New Roman" w:hAnsi="Times New Roman"/>
          <w:color w:val="212529"/>
          <w:sz w:val="17"/>
        </w:rPr>
        <w:t>[5] W. K. Newey and K. D. West, 'A simple, positive semi-definite, heteroskedasticity and autocorrelation consistent covariance matrix,' Econometrica, vol. 55, no. 3, pp. 703–708, 1987.</w:t>
      </w:r>
    </w:p>
    <w:p w14:paraId="20971649" w14:textId="77777777" w:rsidR="008A4DBC" w:rsidRDefault="00000000">
      <w:pPr>
        <w:spacing w:after="60" w:line="252" w:lineRule="auto"/>
      </w:pPr>
      <w:r>
        <w:rPr>
          <w:rFonts w:ascii="Times New Roman" w:hAnsi="Times New Roman"/>
          <w:color w:val="212529"/>
          <w:sz w:val="17"/>
        </w:rPr>
        <w:t>[6] J. Krauss, X. Do, and N. Huck, 'Deep neural networks, gradient-boosted trees, and random forests for ETF series predictions,' Quantitative Finance, vol. 17, no. 9, pp. 1405–1419, 2017.</w:t>
      </w:r>
    </w:p>
    <w:p w14:paraId="5F3EB0E8" w14:textId="77777777" w:rsidR="008A4DBC" w:rsidRDefault="00000000">
      <w:pPr>
        <w:spacing w:after="60" w:line="252" w:lineRule="auto"/>
      </w:pPr>
      <w:r>
        <w:rPr>
          <w:rFonts w:ascii="Times New Roman" w:hAnsi="Times New Roman"/>
          <w:color w:val="212529"/>
          <w:sz w:val="17"/>
        </w:rPr>
        <w:t>[7] E. Fama and K. French, 'Common risk factors in the returns on stocks and bonds,' Journal of Financial Economics, vol. 33, no. 1, pp. 3–56, 1993.</w:t>
      </w:r>
    </w:p>
    <w:p w14:paraId="03158B94" w14:textId="77777777" w:rsidR="008A4DBC" w:rsidRDefault="00000000">
      <w:pPr>
        <w:spacing w:after="60" w:line="252" w:lineRule="auto"/>
      </w:pPr>
      <w:r>
        <w:rPr>
          <w:rFonts w:ascii="Times New Roman" w:hAnsi="Times New Roman"/>
          <w:color w:val="212529"/>
          <w:sz w:val="17"/>
        </w:rPr>
        <w:t>[8] M. López de Prado, Advances in Financial Machine Learning. John Wiley &amp; Sons, 2018.</w:t>
      </w:r>
    </w:p>
    <w:p w14:paraId="6C985154" w14:textId="77777777" w:rsidR="008A4DBC" w:rsidRDefault="00000000">
      <w:pPr>
        <w:spacing w:after="60" w:line="252" w:lineRule="auto"/>
      </w:pPr>
      <w:r>
        <w:rPr>
          <w:rFonts w:ascii="Times New Roman" w:hAnsi="Times New Roman"/>
          <w:color w:val="212529"/>
          <w:sz w:val="17"/>
        </w:rPr>
        <w:t>[9] T. Fischer and C. Krauss, 'Comparing deep learning with traditional statistical methods in statistical arbitrage,' Quantitative Finance, vol. 20, no. 4, pp. 600–615, 2020.</w:t>
      </w:r>
    </w:p>
    <w:p w14:paraId="2A74F5EF" w14:textId="77777777" w:rsidR="008A4DBC" w:rsidRDefault="00000000">
      <w:pPr>
        <w:spacing w:after="60" w:line="252" w:lineRule="auto"/>
      </w:pPr>
      <w:r>
        <w:rPr>
          <w:rFonts w:ascii="Times New Roman" w:hAnsi="Times New Roman"/>
          <w:color w:val="212529"/>
          <w:sz w:val="17"/>
        </w:rPr>
        <w:t>[10] A. B. Ashcraft and T. Santos, 'Has the CDS market affected the cost of corporate debt from banks?' Journal of Monetary Economics, vol. 56, no. 4, pp. 539–550, 2009.</w:t>
      </w:r>
    </w:p>
    <w:p w14:paraId="640BAA50" w14:textId="77777777" w:rsidR="008A4DBC" w:rsidRDefault="00000000">
      <w:pPr>
        <w:spacing w:before="240" w:after="80" w:line="252" w:lineRule="auto"/>
        <w:jc w:val="center"/>
      </w:pPr>
      <w:r>
        <w:rPr>
          <w:rFonts w:ascii="Times New Roman" w:hAnsi="Times New Roman"/>
          <w:b/>
          <w:color w:val="000000"/>
        </w:rPr>
        <w:t>APPENDIX: REPRODUCIBILITY GUIDE</w:t>
      </w:r>
    </w:p>
    <w:p w14:paraId="2E91ACC2" w14:textId="77777777" w:rsidR="008A4DBC" w:rsidRDefault="00000000">
      <w:pPr>
        <w:spacing w:after="80" w:line="252" w:lineRule="auto"/>
        <w:jc w:val="both"/>
      </w:pPr>
      <w:r>
        <w:rPr>
          <w:rFonts w:ascii="Times New Roman" w:hAnsi="Times New Roman"/>
          <w:color w:val="212529"/>
          <w:sz w:val="19"/>
        </w:rPr>
        <w:t>All code, raw datasets, walk-forward results, and verification scripts are published in the project repository. To reproduce the exact quantitative results reported in this paper from a clean environment, execute the following commands:</w:t>
      </w:r>
    </w:p>
    <w:p w14:paraId="259D6552" w14:textId="77777777" w:rsidR="008A4DBC" w:rsidRDefault="00000000">
      <w:pPr>
        <w:spacing w:after="80" w:line="252" w:lineRule="auto"/>
        <w:jc w:val="both"/>
      </w:pPr>
      <w:r>
        <w:rPr>
          <w:rFonts w:ascii="Times New Roman" w:hAnsi="Times New Roman"/>
          <w:color w:val="212529"/>
          <w:sz w:val="19"/>
        </w:rPr>
        <w:t>1) Environment &amp; Package Setup: poetry install</w:t>
      </w:r>
    </w:p>
    <w:p w14:paraId="2244C246" w14:textId="77777777" w:rsidR="008A4DBC" w:rsidRDefault="00000000">
      <w:pPr>
        <w:spacing w:after="80" w:line="252" w:lineRule="auto"/>
        <w:jc w:val="both"/>
      </w:pPr>
      <w:r>
        <w:rPr>
          <w:rFonts w:ascii="Times New Roman" w:hAnsi="Times New Roman"/>
          <w:color w:val="212529"/>
          <w:sz w:val="19"/>
        </w:rPr>
        <w:t>2) Cost Path &amp; Friction Unit Tests: python 'Research proposal 1/python files/test_backtester_costs.py'</w:t>
      </w:r>
    </w:p>
    <w:p w14:paraId="42DDB5D8" w14:textId="77777777" w:rsidR="008A4DBC" w:rsidRDefault="00000000">
      <w:pPr>
        <w:spacing w:after="80" w:line="252" w:lineRule="auto"/>
        <w:jc w:val="both"/>
      </w:pPr>
      <w:r>
        <w:rPr>
          <w:rFonts w:ascii="Times New Roman" w:hAnsi="Times New Roman"/>
          <w:color w:val="212529"/>
          <w:sz w:val="19"/>
        </w:rPr>
        <w:t>3) Anomaly Decay &amp; Statistical Tests: python 'Research proposal 3/python files/decay_study.py'</w:t>
      </w:r>
    </w:p>
    <w:p w14:paraId="4E960512" w14:textId="77777777" w:rsidR="008A4DBC" w:rsidRDefault="00000000">
      <w:pPr>
        <w:spacing w:after="80" w:line="252" w:lineRule="auto"/>
        <w:jc w:val="both"/>
      </w:pPr>
      <w:r>
        <w:rPr>
          <w:rFonts w:ascii="Times New Roman" w:hAnsi="Times New Roman"/>
          <w:color w:val="212529"/>
          <w:sz w:val="19"/>
        </w:rPr>
        <w:t>4) Three-Engine Verification Run: python 'Research proposal 3/python files/verify_backtest_v2.py'</w:t>
      </w:r>
    </w:p>
    <w:sectPr w:rsidR="008A4DBC" w:rsidSect="00034616">
      <w:pgSz w:w="12240" w:h="15840"/>
      <w:pgMar w:top="1080" w:right="1080" w:bottom="108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412237">
    <w:abstractNumId w:val="8"/>
  </w:num>
  <w:num w:numId="2" w16cid:durableId="1753160147">
    <w:abstractNumId w:val="6"/>
  </w:num>
  <w:num w:numId="3" w16cid:durableId="1244339897">
    <w:abstractNumId w:val="5"/>
  </w:num>
  <w:num w:numId="4" w16cid:durableId="1185097385">
    <w:abstractNumId w:val="4"/>
  </w:num>
  <w:num w:numId="5" w16cid:durableId="1281691496">
    <w:abstractNumId w:val="7"/>
  </w:num>
  <w:num w:numId="6" w16cid:durableId="63601790">
    <w:abstractNumId w:val="3"/>
  </w:num>
  <w:num w:numId="7" w16cid:durableId="43676892">
    <w:abstractNumId w:val="2"/>
  </w:num>
  <w:num w:numId="8" w16cid:durableId="764425837">
    <w:abstractNumId w:val="1"/>
  </w:num>
  <w:num w:numId="9" w16cid:durableId="1999265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409"/>
    <w:rsid w:val="00130897"/>
    <w:rsid w:val="0015074B"/>
    <w:rsid w:val="0029639D"/>
    <w:rsid w:val="00326F90"/>
    <w:rsid w:val="008A4D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C7382"/>
  <w14:defaultImageDpi w14:val="300"/>
  <w15:docId w15:val="{DC9965D7-CBE2-4E9B-8AF5-7D90C548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2936</Words>
  <Characters>16740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Ria Chawak</cp:lastModifiedBy>
  <cp:revision>2</cp:revision>
  <dcterms:created xsi:type="dcterms:W3CDTF">2013-12-23T23:15:00Z</dcterms:created>
  <dcterms:modified xsi:type="dcterms:W3CDTF">2026-09-02T14:37:00Z</dcterms:modified>
  <cp:category/>
</cp:coreProperties>
</file>