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8A5E6" w14:textId="77777777" w:rsidR="00E95C32" w:rsidRDefault="00000000">
      <w:pPr>
        <w:spacing w:after="240"/>
        <w:jc w:val="center"/>
      </w:pPr>
      <w:r>
        <w:rPr>
          <w:rFonts w:ascii="Times New Roman" w:hAnsi="Times New Roman"/>
          <w:b/>
          <w:sz w:val="36"/>
        </w:rPr>
        <w:t>Machine Learning-Based Directional Trading of Cryptocurrency Perpetual Futures: An Empirical Assessment using walk-forward LightGBM</w:t>
      </w:r>
    </w:p>
    <w:p w14:paraId="770B0119" w14:textId="419C1F3E" w:rsidR="00E95C32" w:rsidRDefault="00000000" w:rsidP="000E7DCF">
      <w:pPr>
        <w:spacing w:after="360"/>
        <w:jc w:val="center"/>
        <w:sectPr w:rsidR="00E95C32">
          <w:pgSz w:w="12240" w:h="15840"/>
          <w:pgMar w:top="900" w:right="900" w:bottom="900" w:left="900" w:header="720" w:footer="720" w:gutter="0"/>
          <w:cols w:space="720"/>
          <w:docGrid w:linePitch="360"/>
        </w:sectPr>
      </w:pPr>
      <w:r>
        <w:rPr>
          <w:rFonts w:ascii="Times New Roman" w:hAnsi="Times New Roman"/>
          <w:sz w:val="18"/>
        </w:rPr>
        <w:t>Ria Chawak</w:t>
      </w:r>
      <w:r>
        <w:rPr>
          <w:rFonts w:ascii="Times New Roman" w:hAnsi="Times New Roman"/>
          <w:sz w:val="18"/>
        </w:rPr>
        <w:br/>
        <w:t xml:space="preserve">Email: </w:t>
      </w:r>
      <w:hyperlink r:id="rId6" w:history="1">
        <w:r w:rsidR="000E7DCF" w:rsidRPr="004B32D5">
          <w:rPr>
            <w:rStyle w:val="Hyperlink"/>
            <w:rFonts w:ascii="Times New Roman" w:hAnsi="Times New Roman"/>
            <w:sz w:val="18"/>
          </w:rPr>
          <w:t>riaschawak@gmail.com</w:t>
        </w:r>
      </w:hyperlink>
      <w:r w:rsidR="000E7DCF">
        <w:rPr>
          <w:rFonts w:ascii="Times New Roman" w:hAnsi="Times New Roman"/>
          <w:sz w:val="18"/>
        </w:rPr>
        <w:t xml:space="preserve"> </w:t>
      </w:r>
    </w:p>
    <w:p w14:paraId="7C3604E7" w14:textId="77777777" w:rsidR="00E95C32" w:rsidRDefault="00000000">
      <w:pPr>
        <w:spacing w:after="80" w:line="240" w:lineRule="auto"/>
        <w:jc w:val="both"/>
      </w:pPr>
      <w:r>
        <w:rPr>
          <w:rFonts w:ascii="Times New Roman" w:hAnsi="Times New Roman"/>
          <w:b/>
          <w:i/>
          <w:sz w:val="18"/>
        </w:rPr>
        <w:t>Abstract—This paper presents an empirical analysis of a machine learning-based directional trading strategy applied to cryptocurrency perpetual futures markets (BTC/USDT and ETH/USDT). We propose a LightGBM classifier optimized via walk-forward cross-validation using a high-dimensional feature space of 100 rolling indicators. Our execution model incorporates realistic transaction costs (0.09% one-way friction) and leverage checks. Finally, we execute a cross-verification engine to reconcile our custom event-driven vector backtester against a standard event-driven framework (backtesting.py), obtaining equity correlations exceeding 96.6% and validating engine accounting accuracy.</w:t>
      </w:r>
    </w:p>
    <w:p w14:paraId="3F67169E" w14:textId="77777777" w:rsidR="00E95C32" w:rsidRDefault="00000000">
      <w:pPr>
        <w:spacing w:after="240" w:line="240" w:lineRule="auto"/>
        <w:jc w:val="both"/>
      </w:pPr>
      <w:r>
        <w:rPr>
          <w:rFonts w:ascii="Times New Roman" w:hAnsi="Times New Roman"/>
          <w:b/>
          <w:sz w:val="18"/>
        </w:rPr>
        <w:t>Index Terms—Cryptocurrency Perpetual Futures, LightGBM, Walk-Forward Validation, Backtesting Engine Reconciliation, Deflated Sharpe Ratio.</w:t>
      </w:r>
    </w:p>
    <w:p w14:paraId="70DB793F" w14:textId="77777777" w:rsidR="00E95C32" w:rsidRDefault="00000000">
      <w:pPr>
        <w:spacing w:before="240" w:after="120" w:line="240" w:lineRule="auto"/>
        <w:jc w:val="center"/>
      </w:pPr>
      <w:r>
        <w:rPr>
          <w:rFonts w:ascii="Times New Roman" w:hAnsi="Times New Roman"/>
          <w:b/>
          <w:sz w:val="20"/>
        </w:rPr>
        <w:t>I. INTRODUCTION</w:t>
      </w:r>
    </w:p>
    <w:p w14:paraId="2EC75B87" w14:textId="77777777" w:rsidR="00E95C32" w:rsidRDefault="00000000">
      <w:pPr>
        <w:spacing w:before="120" w:after="80" w:line="240" w:lineRule="auto"/>
        <w:jc w:val="both"/>
      </w:pPr>
      <w:r>
        <w:rPr>
          <w:rFonts w:ascii="Times New Roman" w:hAnsi="Times New Roman"/>
          <w:b/>
          <w:i/>
          <w:sz w:val="20"/>
        </w:rPr>
        <w:t>A. Background and Market Context</w:t>
      </w:r>
    </w:p>
    <w:p w14:paraId="310F046A" w14:textId="77777777" w:rsidR="00E95C32" w:rsidRDefault="00000000">
      <w:pPr>
        <w:spacing w:after="80" w:line="240" w:lineRule="auto"/>
        <w:jc w:val="both"/>
      </w:pPr>
      <w:r>
        <w:rPr>
          <w:rFonts w:ascii="Times New Roman" w:hAnsi="Times New Roman"/>
          <w:sz w:val="20"/>
        </w:rPr>
        <w:t>Cryptocurrency perpetual futures contracts (perpetual swaps) have emerged as the most liquid instruments in digital asset markets. These contracts feature a funding rate mechanism designed to anchor the contract price to the underlying spot index, creating unique market structure dynamics. Because of high volatility and tick-level inefficiencies, executing profitable machine learning-based strategies remains a challenge under trading costs. The perpetual contract allows leverage without expiration, distinguishing it from quarterly contracts and requiring constant portfolio maintenance and capitalization.</w:t>
      </w:r>
    </w:p>
    <w:p w14:paraId="28291D18" w14:textId="77777777" w:rsidR="00E95C32" w:rsidRDefault="00000000">
      <w:pPr>
        <w:spacing w:after="80" w:line="240" w:lineRule="auto"/>
        <w:jc w:val="both"/>
      </w:pPr>
      <w:r>
        <w:rPr>
          <w:rFonts w:ascii="Times New Roman" w:hAnsi="Times New Roman"/>
          <w:sz w:val="20"/>
        </w:rPr>
        <w:t>The rapid growth of decentralized and centralized exchanges has generated massive high-frequency data streams. Harnessing this information requires advanced predictive modeling that can adapt to rapid regime shifts. Unlike traditional assets, crypto perpetuals trade 24/7/365, meaning market participants are exposed to continuous risk. Thus, precise modeling of order queues, execution delays, and trading friction is a prerequisite to deploying capital.</w:t>
      </w:r>
    </w:p>
    <w:p w14:paraId="4C4DD93D" w14:textId="77777777" w:rsidR="00E95C32" w:rsidRDefault="00000000">
      <w:pPr>
        <w:spacing w:before="120" w:after="80" w:line="240" w:lineRule="auto"/>
        <w:jc w:val="both"/>
      </w:pPr>
      <w:r>
        <w:rPr>
          <w:rFonts w:ascii="Times New Roman" w:hAnsi="Times New Roman"/>
          <w:b/>
          <w:i/>
          <w:sz w:val="20"/>
        </w:rPr>
        <w:t>B. Research Objectives</w:t>
      </w:r>
    </w:p>
    <w:p w14:paraId="6193E9DA" w14:textId="77777777" w:rsidR="00E95C32" w:rsidRDefault="00000000">
      <w:pPr>
        <w:spacing w:after="80" w:line="240" w:lineRule="auto"/>
        <w:jc w:val="both"/>
      </w:pPr>
      <w:r>
        <w:rPr>
          <w:rFonts w:ascii="Times New Roman" w:hAnsi="Times New Roman"/>
          <w:sz w:val="20"/>
        </w:rPr>
        <w:t>Our primary objective is to implement a walk-forward LightGBM framework to predict next-day directional movements. We aim to evaluate whether out-of-sample alpha persists after factoring in taker fees and execution slippage. In addition, we design a dual-engine verification framework to cross-verify cash updates, fills, and compounding calculations against a standard python library.</w:t>
      </w:r>
    </w:p>
    <w:p w14:paraId="027F313B" w14:textId="77777777" w:rsidR="00E95C32" w:rsidRDefault="00000000">
      <w:pPr>
        <w:spacing w:after="80" w:line="240" w:lineRule="auto"/>
        <w:jc w:val="both"/>
      </w:pPr>
      <w:r>
        <w:rPr>
          <w:rFonts w:ascii="Times New Roman" w:hAnsi="Times New Roman"/>
          <w:sz w:val="20"/>
        </w:rPr>
        <w:t xml:space="preserve">We analyze the strategy's performance across multiple market cycles, including high-volatility regimes and consolidation periods. A secondary goal is to implement mathematical controls, specifically the Deflated Sharpe Ratio (DSR), to </w:t>
      </w:r>
      <w:r>
        <w:rPr>
          <w:rFonts w:ascii="Times New Roman" w:hAnsi="Times New Roman"/>
          <w:sz w:val="20"/>
        </w:rPr>
        <w:t>evaluate the probability of backtest overfitting in high-dimensional feature searches.</w:t>
      </w:r>
    </w:p>
    <w:p w14:paraId="64906086" w14:textId="77777777" w:rsidR="00E95C32" w:rsidRDefault="00000000">
      <w:pPr>
        <w:spacing w:before="120" w:after="80" w:line="240" w:lineRule="auto"/>
        <w:jc w:val="both"/>
      </w:pPr>
      <w:r>
        <w:rPr>
          <w:rFonts w:ascii="Times New Roman" w:hAnsi="Times New Roman"/>
          <w:b/>
          <w:i/>
          <w:sz w:val="20"/>
        </w:rPr>
        <w:t>C. Outline of Contributions</w:t>
      </w:r>
    </w:p>
    <w:p w14:paraId="11D3E873" w14:textId="77777777" w:rsidR="00E95C32" w:rsidRDefault="00000000">
      <w:pPr>
        <w:spacing w:after="80" w:line="240" w:lineRule="auto"/>
        <w:jc w:val="both"/>
      </w:pPr>
      <w:r>
        <w:rPr>
          <w:rFonts w:ascii="Times New Roman" w:hAnsi="Times New Roman"/>
          <w:sz w:val="20"/>
        </w:rPr>
        <w:t>First, we develop an automated pipeline to extract 100 rolling features from daily OHLCV and funding rate logs. Second, we present empirical evidence of walk-forward validation out-of-sample. Third, we establish a robust reconciliation protocol between custom vector backtesters and standard libraries, showing that multi-asset vector returns align with bar-by-bar standard engines when commission bugs are bypassed.</w:t>
      </w:r>
    </w:p>
    <w:p w14:paraId="09894040" w14:textId="77777777" w:rsidR="00E95C32" w:rsidRDefault="00000000">
      <w:pPr>
        <w:spacing w:after="80" w:line="240" w:lineRule="auto"/>
        <w:jc w:val="both"/>
      </w:pPr>
      <w:r>
        <w:rPr>
          <w:rFonts w:ascii="Times New Roman" w:hAnsi="Times New Roman"/>
          <w:sz w:val="20"/>
        </w:rPr>
        <w:t>Furthermore, we provide complete transparency regarding transaction costs. We prove that high execution turnover represents the largest drag on performance, turning positive gross returns into negative net returns. This finding highlights the need for capacity constraints and cost-mitigating execution algorithms.</w:t>
      </w:r>
    </w:p>
    <w:p w14:paraId="71727AC3" w14:textId="77777777" w:rsidR="00E95C32" w:rsidRDefault="00000000">
      <w:pPr>
        <w:spacing w:before="240" w:after="120" w:line="240" w:lineRule="auto"/>
        <w:jc w:val="center"/>
      </w:pPr>
      <w:r>
        <w:rPr>
          <w:rFonts w:ascii="Times New Roman" w:hAnsi="Times New Roman"/>
          <w:b/>
          <w:sz w:val="20"/>
        </w:rPr>
        <w:t>II. LITERATURE REVIEW</w:t>
      </w:r>
    </w:p>
    <w:p w14:paraId="4FDC8ECA" w14:textId="77777777" w:rsidR="00E95C32" w:rsidRDefault="00000000">
      <w:pPr>
        <w:spacing w:before="120" w:after="80" w:line="240" w:lineRule="auto"/>
        <w:jc w:val="both"/>
      </w:pPr>
      <w:r>
        <w:rPr>
          <w:rFonts w:ascii="Times New Roman" w:hAnsi="Times New Roman"/>
          <w:b/>
          <w:i/>
          <w:sz w:val="20"/>
        </w:rPr>
        <w:t>A. Machine Learning in Asset Pricing</w:t>
      </w:r>
    </w:p>
    <w:p w14:paraId="5B5EB046" w14:textId="77777777" w:rsidR="00E95C32" w:rsidRDefault="00000000">
      <w:pPr>
        <w:spacing w:after="80" w:line="240" w:lineRule="auto"/>
        <w:jc w:val="both"/>
      </w:pPr>
      <w:r>
        <w:rPr>
          <w:rFonts w:ascii="Times New Roman" w:hAnsi="Times New Roman"/>
          <w:sz w:val="20"/>
        </w:rPr>
        <w:t>We base our analysis on several pioneering works in financial machine learning, statistical arbitrage, and backtest overfitting. Ke et al. [1] introduced the LightGBM framework, proving its speed and memory efficiency. López de Prado [2] detailed the purged walk-forward cross-validation framework and selection bias mitigations. Bailey and López de Prado [3] formulated the Deflated Sharpe Ratio (DSR) to account for backtest overfitting under multiple strategy trials.</w:t>
      </w:r>
    </w:p>
    <w:p w14:paraId="5A9D65EA" w14:textId="77777777" w:rsidR="00E95C32" w:rsidRDefault="00000000">
      <w:pPr>
        <w:spacing w:after="80" w:line="240" w:lineRule="auto"/>
        <w:jc w:val="both"/>
      </w:pPr>
      <w:r>
        <w:rPr>
          <w:rFonts w:ascii="Times New Roman" w:hAnsi="Times New Roman"/>
          <w:sz w:val="20"/>
        </w:rPr>
        <w:t>Krauss et al. [4] and Fischer and Krauss [5] compared gradient boosting trees and deep neural networks in statistical arbitrage, illustrating that high transaction costs often erode returns. Co-explosivity and safe-haven behaviors in cryptocurrencies were evaluated by Chaim and Laurini [6] and Bouri et al. [7]. Alexander and Dakos [8] analyzed cryptocurrency perpetual swap funding rates. Finally, backtest validation and benchmark significance were outlined in [9] and [10].</w:t>
      </w:r>
    </w:p>
    <w:p w14:paraId="635B9ED8" w14:textId="77777777" w:rsidR="00E95C32" w:rsidRDefault="00000000">
      <w:pPr>
        <w:spacing w:before="120" w:after="80" w:line="240" w:lineRule="auto"/>
        <w:jc w:val="both"/>
      </w:pPr>
      <w:r>
        <w:rPr>
          <w:rFonts w:ascii="Times New Roman" w:hAnsi="Times New Roman"/>
          <w:b/>
          <w:i/>
          <w:sz w:val="20"/>
        </w:rPr>
        <w:t>B. Walk-Forward Optimization in Quantitative Finance</w:t>
      </w:r>
    </w:p>
    <w:p w14:paraId="4CE9A055" w14:textId="77777777" w:rsidR="00E95C32" w:rsidRDefault="00000000">
      <w:pPr>
        <w:spacing w:after="80" w:line="240" w:lineRule="auto"/>
        <w:jc w:val="both"/>
      </w:pPr>
      <w:r>
        <w:rPr>
          <w:rFonts w:ascii="Times New Roman" w:hAnsi="Times New Roman"/>
          <w:sz w:val="20"/>
        </w:rPr>
        <w:t>Traditional cross-validation assumes independent and identically distributed (I.I.D.) data, which fails in time-series due to serial correlation. Walk-forward optimization updates the model training window dynamically, preserving temporal order and capturing structural shifts. Our approach uses rolling train and validation folds to reflect how a production model behaves.</w:t>
      </w:r>
    </w:p>
    <w:p w14:paraId="39B8AAE1" w14:textId="77777777" w:rsidR="00E95C32" w:rsidRDefault="00000000">
      <w:pPr>
        <w:spacing w:after="80" w:line="240" w:lineRule="auto"/>
        <w:jc w:val="both"/>
      </w:pPr>
      <w:r>
        <w:rPr>
          <w:rFonts w:ascii="Times New Roman" w:hAnsi="Times New Roman"/>
          <w:sz w:val="20"/>
        </w:rPr>
        <w:t xml:space="preserve">Previous studies have shown that fixing hyperparameters across long backtest spans leads to decay in predictive accuracy. Walk-forward training resolves this by retuning </w:t>
      </w:r>
      <w:r>
        <w:rPr>
          <w:rFonts w:ascii="Times New Roman" w:hAnsi="Times New Roman"/>
          <w:sz w:val="20"/>
        </w:rPr>
        <w:lastRenderedPageBreak/>
        <w:t>model parameters on a rolling basis, allowing the boosting trees to learn new split boundaries as market dynamics shift.</w:t>
      </w:r>
    </w:p>
    <w:p w14:paraId="7C8056F2" w14:textId="77777777" w:rsidR="00E95C32" w:rsidRDefault="00000000">
      <w:pPr>
        <w:spacing w:before="120" w:after="80" w:line="240" w:lineRule="auto"/>
        <w:jc w:val="both"/>
      </w:pPr>
      <w:r>
        <w:rPr>
          <w:rFonts w:ascii="Times New Roman" w:hAnsi="Times New Roman"/>
          <w:b/>
          <w:i/>
          <w:sz w:val="20"/>
        </w:rPr>
        <w:t>C. Statistical Significance of Strategy Performance</w:t>
      </w:r>
    </w:p>
    <w:p w14:paraId="6294809E" w14:textId="77777777" w:rsidR="00E95C32" w:rsidRDefault="00000000">
      <w:pPr>
        <w:spacing w:after="80" w:line="240" w:lineRule="auto"/>
        <w:jc w:val="both"/>
      </w:pPr>
      <w:r>
        <w:rPr>
          <w:rFonts w:ascii="Times New Roman" w:hAnsi="Times New Roman"/>
          <w:sz w:val="20"/>
        </w:rPr>
        <w:t>In quantitative finance, testing multiple indicators increases the probability of false discoveries. Estimating the significance of a strategy requires adjusting the Sharpe ratio for the number of configurations tested. The Deflated Sharpe Ratio (DSR) adjusts the Probabilistic Sharpe Ratio (PSR) based on the variance of trials, preventing selection bias from overstating performance.</w:t>
      </w:r>
    </w:p>
    <w:p w14:paraId="76170D3B" w14:textId="77777777" w:rsidR="00E95C32" w:rsidRDefault="00000000">
      <w:pPr>
        <w:spacing w:after="80" w:line="240" w:lineRule="auto"/>
        <w:jc w:val="both"/>
      </w:pPr>
      <w:r>
        <w:rPr>
          <w:rFonts w:ascii="Times New Roman" w:hAnsi="Times New Roman"/>
          <w:sz w:val="20"/>
        </w:rPr>
        <w:t>We apply DSR to our walk-forward results, establishing a high benchmark for significance. This ensures that any reported alpha is not simply a product of random search across our 100 features.</w:t>
      </w:r>
    </w:p>
    <w:p w14:paraId="6D63767C" w14:textId="77777777" w:rsidR="00E95C32" w:rsidRDefault="00000000">
      <w:pPr>
        <w:spacing w:before="240" w:after="120" w:line="240" w:lineRule="auto"/>
        <w:jc w:val="center"/>
      </w:pPr>
      <w:r>
        <w:rPr>
          <w:rFonts w:ascii="Times New Roman" w:hAnsi="Times New Roman"/>
          <w:b/>
          <w:sz w:val="20"/>
        </w:rPr>
        <w:t>III. MODEL ARCHITECTURE AND FEATURES</w:t>
      </w:r>
    </w:p>
    <w:p w14:paraId="1BC55C2C" w14:textId="77777777" w:rsidR="00E95C32" w:rsidRDefault="00000000">
      <w:pPr>
        <w:spacing w:before="120" w:after="80" w:line="240" w:lineRule="auto"/>
        <w:jc w:val="both"/>
      </w:pPr>
      <w:r>
        <w:rPr>
          <w:rFonts w:ascii="Times New Roman" w:hAnsi="Times New Roman"/>
          <w:b/>
          <w:i/>
          <w:sz w:val="20"/>
        </w:rPr>
        <w:t>A. Feature Engineering Pipeline</w:t>
      </w:r>
    </w:p>
    <w:p w14:paraId="7D6DD7D3" w14:textId="77777777" w:rsidR="00E95C32" w:rsidRDefault="00000000">
      <w:pPr>
        <w:spacing w:after="80" w:line="240" w:lineRule="auto"/>
        <w:jc w:val="both"/>
      </w:pPr>
      <w:r>
        <w:rPr>
          <w:rFonts w:ascii="Times New Roman" w:hAnsi="Times New Roman"/>
          <w:sz w:val="20"/>
        </w:rPr>
        <w:t>We construct a high-dimensional feature space containing 100 rolling features. These include momentum indicators (RSI, MACD), stochastic oscillators, rolling volatility indices, moving average crossovers, and perpetual funding rate Z-scores. All indicators are calculated on daily historical bars using pandas and numpy.</w:t>
      </w:r>
    </w:p>
    <w:p w14:paraId="79FDC3AB" w14:textId="77777777" w:rsidR="00E95C32" w:rsidRDefault="00000000">
      <w:pPr>
        <w:spacing w:after="80" w:line="240" w:lineRule="auto"/>
        <w:jc w:val="both"/>
      </w:pPr>
      <w:r>
        <w:rPr>
          <w:rFonts w:ascii="Times New Roman" w:hAnsi="Times New Roman"/>
          <w:sz w:val="20"/>
        </w:rPr>
        <w:t>To prevent look-ahead bias, all features are lagged by one bar. This ensures that signals generated at the close of day t only utilize information available up to day t, aligning the feature pipeline with the next-bar execution model.</w:t>
      </w:r>
    </w:p>
    <w:p w14:paraId="17486771" w14:textId="77777777" w:rsidR="00E95C32" w:rsidRDefault="00000000">
      <w:pPr>
        <w:spacing w:before="120" w:after="80" w:line="240" w:lineRule="auto"/>
        <w:jc w:val="both"/>
      </w:pPr>
      <w:r>
        <w:rPr>
          <w:rFonts w:ascii="Times New Roman" w:hAnsi="Times New Roman"/>
          <w:b/>
          <w:i/>
          <w:sz w:val="20"/>
        </w:rPr>
        <w:t>B. LightGBM Classifier Formulation</w:t>
      </w:r>
    </w:p>
    <w:p w14:paraId="4FB51851" w14:textId="77777777" w:rsidR="00E95C32" w:rsidRDefault="00000000">
      <w:pPr>
        <w:spacing w:after="80" w:line="240" w:lineRule="auto"/>
        <w:jc w:val="both"/>
      </w:pPr>
      <w:r>
        <w:rPr>
          <w:rFonts w:ascii="Times New Roman" w:hAnsi="Times New Roman"/>
          <w:sz w:val="20"/>
        </w:rPr>
        <w:t>The model is a LightGBM classifier, which leverages leaf-wise tree growth. Hyperparameters are tuned in each walk-forward fold using 4-split purged cross-validation to isolate structural regimes. LightGBM's leaf-wise growth splits nodes with max loss reduction, producing deeper trees and capturing complex non-linear feature interactions.</w:t>
      </w:r>
    </w:p>
    <w:p w14:paraId="7172B317" w14:textId="77777777" w:rsidR="00E95C32" w:rsidRDefault="00000000">
      <w:pPr>
        <w:spacing w:after="80" w:line="240" w:lineRule="auto"/>
        <w:jc w:val="both"/>
      </w:pPr>
      <w:r>
        <w:rPr>
          <w:rFonts w:ascii="Times New Roman" w:hAnsi="Times New Roman"/>
          <w:sz w:val="20"/>
        </w:rPr>
        <w:t>The objective function is set to binary log loss, minimizing classification error on the next-day price direction. Hyperparameters like learning rate, max depth, and number of leaves are optimized on the validation set of each fold.</w:t>
      </w:r>
    </w:p>
    <w:p w14:paraId="584D6720" w14:textId="77777777" w:rsidR="00E95C32" w:rsidRDefault="00000000">
      <w:pPr>
        <w:spacing w:before="120" w:after="80" w:line="240" w:lineRule="auto"/>
        <w:jc w:val="both"/>
      </w:pPr>
      <w:r>
        <w:rPr>
          <w:rFonts w:ascii="Times New Roman" w:hAnsi="Times New Roman"/>
          <w:b/>
          <w:i/>
          <w:sz w:val="20"/>
        </w:rPr>
        <w:t>C. Python Library Implementations</w:t>
      </w:r>
    </w:p>
    <w:p w14:paraId="2C7A1483" w14:textId="77777777" w:rsidR="00E95C32" w:rsidRDefault="00000000">
      <w:pPr>
        <w:spacing w:after="80" w:line="240" w:lineRule="auto"/>
        <w:jc w:val="both"/>
      </w:pPr>
      <w:r>
        <w:rPr>
          <w:rFonts w:ascii="Times New Roman" w:hAnsi="Times New Roman"/>
          <w:sz w:val="20"/>
        </w:rPr>
        <w:t>The machine learning pipeline is built in Python using `lightgbm` for tree training and `scikit-learn` for data preprocessing, scaling, and validation splits. Data manipulation and feature extraction are handled via `pandas` and `numpy`. This modular setup allows fast, parallelized training across folds, crucial for long walk-forward periods.</w:t>
      </w:r>
    </w:p>
    <w:p w14:paraId="6271AFEB" w14:textId="77777777" w:rsidR="00E95C32" w:rsidRDefault="00000000">
      <w:pPr>
        <w:spacing w:before="240" w:after="120" w:line="240" w:lineRule="auto"/>
        <w:jc w:val="center"/>
      </w:pPr>
      <w:r>
        <w:rPr>
          <w:rFonts w:ascii="Times New Roman" w:hAnsi="Times New Roman"/>
          <w:b/>
          <w:sz w:val="20"/>
        </w:rPr>
        <w:t>IV. METHODOLOGY &amp; ENGINE RECONCILIATION</w:t>
      </w:r>
    </w:p>
    <w:p w14:paraId="3E76AB67" w14:textId="77777777" w:rsidR="00E95C32" w:rsidRDefault="00000000">
      <w:pPr>
        <w:spacing w:before="120" w:after="80" w:line="240" w:lineRule="auto"/>
        <w:jc w:val="both"/>
      </w:pPr>
      <w:r>
        <w:rPr>
          <w:rFonts w:ascii="Times New Roman" w:hAnsi="Times New Roman"/>
          <w:b/>
          <w:i/>
          <w:sz w:val="20"/>
        </w:rPr>
        <w:t>A. Walk-Forward Cross-Validation Setup</w:t>
      </w:r>
    </w:p>
    <w:p w14:paraId="699A70DF" w14:textId="77777777" w:rsidR="00E95C32" w:rsidRDefault="00000000">
      <w:pPr>
        <w:spacing w:after="80" w:line="240" w:lineRule="auto"/>
        <w:jc w:val="both"/>
      </w:pPr>
      <w:r>
        <w:rPr>
          <w:rFonts w:ascii="Times New Roman" w:hAnsi="Times New Roman"/>
          <w:sz w:val="20"/>
        </w:rPr>
        <w:t>We implement a rolling walk-forward framework spanning from 2021 to 2026. The dataset is partitioned into multiple training folds of 730 days and testing folds of 180 days. In each step, the training window shifts forward by 180 days, mimicking real-world deployment.</w:t>
      </w:r>
    </w:p>
    <w:p w14:paraId="3CECE651" w14:textId="77777777" w:rsidR="0041742F" w:rsidRDefault="0041742F">
      <w:pPr>
        <w:spacing w:before="120" w:after="80" w:line="240" w:lineRule="auto"/>
        <w:jc w:val="both"/>
        <w:rPr>
          <w:rFonts w:ascii="Times New Roman" w:hAnsi="Times New Roman"/>
          <w:b/>
          <w:i/>
          <w:sz w:val="20"/>
        </w:rPr>
      </w:pPr>
    </w:p>
    <w:p w14:paraId="64E90EC6" w14:textId="2CF48DB3" w:rsidR="00E95C32" w:rsidRDefault="00000000">
      <w:pPr>
        <w:spacing w:before="120" w:after="80" w:line="240" w:lineRule="auto"/>
        <w:jc w:val="both"/>
      </w:pPr>
      <w:r>
        <w:rPr>
          <w:rFonts w:ascii="Times New Roman" w:hAnsi="Times New Roman"/>
          <w:b/>
          <w:i/>
          <w:sz w:val="20"/>
        </w:rPr>
        <w:t>B. Custom Event-Driven Cost Model</w:t>
      </w:r>
    </w:p>
    <w:p w14:paraId="5BE8B41E" w14:textId="77777777" w:rsidR="00E95C32" w:rsidRDefault="00000000">
      <w:pPr>
        <w:spacing w:after="80" w:line="240" w:lineRule="auto"/>
        <w:jc w:val="both"/>
      </w:pPr>
      <w:r>
        <w:rPr>
          <w:rFonts w:ascii="Times New Roman" w:hAnsi="Times New Roman"/>
          <w:sz w:val="20"/>
        </w:rPr>
        <w:t>The strategy trades on a daily scale. Sizing is set to 45% of current equity, rebalanced daily. Fill execution takes place at the next-bar Open price, enforcing a 1-bar delay to eliminate look-ahead bias. We apply a 0.04% taker fee and 0.05% slippage, representing a conservative 0.09% one-way trading friction.</w:t>
      </w:r>
    </w:p>
    <w:p w14:paraId="0952DC36" w14:textId="77777777" w:rsidR="00E95C32" w:rsidRDefault="00000000">
      <w:pPr>
        <w:spacing w:before="120" w:after="80" w:line="240" w:lineRule="auto"/>
        <w:jc w:val="both"/>
      </w:pPr>
      <w:r>
        <w:rPr>
          <w:rFonts w:ascii="Times New Roman" w:hAnsi="Times New Roman"/>
          <w:b/>
          <w:i/>
          <w:sz w:val="20"/>
        </w:rPr>
        <w:t>C. Standard Engine Reconciliation</w:t>
      </w:r>
    </w:p>
    <w:p w14:paraId="4AD6BA04" w14:textId="77777777" w:rsidR="00E95C32" w:rsidRDefault="00000000">
      <w:pPr>
        <w:spacing w:after="80" w:line="240" w:lineRule="auto"/>
        <w:jc w:val="both"/>
      </w:pPr>
      <w:r>
        <w:rPr>
          <w:rFonts w:ascii="Times New Roman" w:hAnsi="Times New Roman"/>
          <w:sz w:val="20"/>
        </w:rPr>
        <w:t>To cross-verify the custom vector engine, we run it side-by-side with backtesting.py. We utilize a callable commission lambda function (`lambda size, price: price * 0.0009`) in backtesting.py to bypass its float commission bug, which otherwise double-multiplies order size against unit price and causes cash depletion on position flips. Margin is set to 0.01 (100x leverage limit) to prevent order cancellations.</w:t>
      </w:r>
    </w:p>
    <w:p w14:paraId="5D3748E6" w14:textId="77777777" w:rsidR="0041742F" w:rsidRDefault="0041742F">
      <w:pPr>
        <w:spacing w:before="120" w:after="80" w:line="240" w:lineRule="auto"/>
        <w:jc w:val="center"/>
        <w:rPr>
          <w:rFonts w:ascii="Times New Roman" w:hAnsi="Times New Roman"/>
          <w:i/>
          <w:sz w:val="18"/>
        </w:rPr>
      </w:pPr>
    </w:p>
    <w:p w14:paraId="2AAB0059" w14:textId="1FECDF17" w:rsidR="00E95C32" w:rsidRDefault="00000000">
      <w:pPr>
        <w:spacing w:before="120" w:after="80" w:line="240" w:lineRule="auto"/>
        <w:jc w:val="center"/>
      </w:pPr>
      <w:r>
        <w:rPr>
          <w:rFonts w:ascii="Times New Roman" w:hAnsi="Times New Roman"/>
          <w:i/>
          <w:sz w:val="18"/>
        </w:rPr>
        <w:t>Fig. 1: System execution flowchart for Proposal 1:</w:t>
      </w:r>
    </w:p>
    <w:p w14:paraId="7D392873" w14:textId="77777777" w:rsidR="00E95C32" w:rsidRDefault="00000000">
      <w:r>
        <w:rPr>
          <w:noProof/>
        </w:rPr>
        <w:drawing>
          <wp:inline distT="0" distB="0" distL="0" distR="0" wp14:anchorId="501075C2" wp14:editId="5B45CD96">
            <wp:extent cx="3611564" cy="123825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roposal1.png"/>
                    <pic:cNvPicPr/>
                  </pic:nvPicPr>
                  <pic:blipFill>
                    <a:blip r:embed="rId7"/>
                    <a:stretch>
                      <a:fillRect/>
                    </a:stretch>
                  </pic:blipFill>
                  <pic:spPr>
                    <a:xfrm>
                      <a:off x="0" y="0"/>
                      <a:ext cx="3623900" cy="1242480"/>
                    </a:xfrm>
                    <a:prstGeom prst="rect">
                      <a:avLst/>
                    </a:prstGeom>
                  </pic:spPr>
                </pic:pic>
              </a:graphicData>
            </a:graphic>
          </wp:inline>
        </w:drawing>
      </w:r>
    </w:p>
    <w:p w14:paraId="14D1C6FB" w14:textId="77777777" w:rsidR="00E95C32" w:rsidRDefault="00000000">
      <w:pPr>
        <w:spacing w:before="240" w:after="120" w:line="240" w:lineRule="auto"/>
        <w:jc w:val="center"/>
      </w:pPr>
      <w:r>
        <w:rPr>
          <w:rFonts w:ascii="Times New Roman" w:hAnsi="Times New Roman"/>
          <w:b/>
          <w:sz w:val="20"/>
        </w:rPr>
        <w:t>V. RESULTS AND ANALYSIS</w:t>
      </w:r>
    </w:p>
    <w:p w14:paraId="4ECB40C2" w14:textId="77777777" w:rsidR="00E95C32" w:rsidRDefault="00000000">
      <w:pPr>
        <w:spacing w:before="120" w:after="80" w:line="240" w:lineRule="auto"/>
        <w:jc w:val="both"/>
      </w:pPr>
      <w:r>
        <w:rPr>
          <w:rFonts w:ascii="Times New Roman" w:hAnsi="Times New Roman"/>
          <w:b/>
          <w:i/>
          <w:sz w:val="20"/>
        </w:rPr>
        <w:t>A. Engine Equivalence and Equity Correlations</w:t>
      </w:r>
    </w:p>
    <w:p w14:paraId="66802771" w14:textId="77777777" w:rsidR="00E95C32" w:rsidRDefault="00000000">
      <w:pPr>
        <w:spacing w:after="80" w:line="240" w:lineRule="auto"/>
        <w:jc w:val="both"/>
      </w:pPr>
      <w:r>
        <w:rPr>
          <w:rFonts w:ascii="Times New Roman" w:hAnsi="Times New Roman"/>
          <w:sz w:val="20"/>
        </w:rPr>
        <w:t>The walk-forward out-of-sample equity curves show high alignment under transaction costs. For BTC, the engine correlation is 99.23%. For ETH, it is 96.61%. The slight differences are due to daily fractional rounding and standard annualization methods in backtesting.py. This confirms the mathematical validity of the custom vector cash updates.</w:t>
      </w:r>
    </w:p>
    <w:p w14:paraId="5D761981" w14:textId="77777777" w:rsidR="00E95C32" w:rsidRDefault="00000000">
      <w:pPr>
        <w:spacing w:before="120" w:after="80" w:line="240" w:lineRule="auto"/>
        <w:jc w:val="both"/>
      </w:pPr>
      <w:r>
        <w:rPr>
          <w:rFonts w:ascii="Times New Roman" w:hAnsi="Times New Roman"/>
          <w:b/>
          <w:i/>
          <w:sz w:val="20"/>
        </w:rPr>
        <w:t>B. Deflated Sharpe Ratio Analysis</w:t>
      </w:r>
    </w:p>
    <w:p w14:paraId="16BD4295" w14:textId="77777777" w:rsidR="00E95C32" w:rsidRDefault="00000000">
      <w:pPr>
        <w:spacing w:after="80" w:line="240" w:lineRule="auto"/>
        <w:jc w:val="both"/>
      </w:pPr>
      <w:r>
        <w:rPr>
          <w:rFonts w:ascii="Times New Roman" w:hAnsi="Times New Roman"/>
          <w:sz w:val="20"/>
        </w:rPr>
        <w:t>The Deflated Sharpe Ratio (DSR) values are low (0.0005 for BTC), confirming that the strategy's returns are not statistically significant after adjusting for multiple testing. This highlights the impact of search bias across our 100 features. The comparison metrics are presented in Table 1.1.</w:t>
      </w:r>
    </w:p>
    <w:p w14:paraId="75B00400" w14:textId="77777777" w:rsidR="00E95C32" w:rsidRDefault="00000000">
      <w:pPr>
        <w:spacing w:before="120" w:after="80" w:line="240" w:lineRule="auto"/>
        <w:jc w:val="both"/>
      </w:pPr>
      <w:r>
        <w:rPr>
          <w:rFonts w:ascii="Times New Roman" w:hAnsi="Times New Roman"/>
          <w:b/>
          <w:i/>
          <w:sz w:val="20"/>
        </w:rPr>
        <w:t>C. Structural Transaction Cost Drag</w:t>
      </w:r>
    </w:p>
    <w:p w14:paraId="7C9664D7" w14:textId="77777777" w:rsidR="00E95C32" w:rsidRDefault="00000000">
      <w:pPr>
        <w:spacing w:after="80" w:line="240" w:lineRule="auto"/>
        <w:jc w:val="both"/>
      </w:pPr>
      <w:r>
        <w:rPr>
          <w:rFonts w:ascii="Times New Roman" w:hAnsi="Times New Roman"/>
          <w:sz w:val="20"/>
        </w:rPr>
        <w:t>High turnover represents the largest drag on performance, turning positive gross returns into negative net returns. While the gross models show significant returns, paying 0.09% fee and slippage on frequent daily rebalances degrades capital over time, as shown in the performance plot.</w:t>
      </w:r>
    </w:p>
    <w:p w14:paraId="79B45911" w14:textId="77777777" w:rsidR="00186AA9" w:rsidRDefault="00186AA9">
      <w:pPr>
        <w:spacing w:before="120" w:after="80" w:line="240" w:lineRule="auto"/>
        <w:jc w:val="center"/>
        <w:rPr>
          <w:rFonts w:ascii="Times New Roman" w:hAnsi="Times New Roman"/>
          <w:b/>
          <w:sz w:val="18"/>
        </w:rPr>
      </w:pPr>
    </w:p>
    <w:p w14:paraId="57A79121" w14:textId="77777777" w:rsidR="00186AA9" w:rsidRDefault="00186AA9">
      <w:pPr>
        <w:spacing w:before="120" w:after="80" w:line="240" w:lineRule="auto"/>
        <w:jc w:val="center"/>
        <w:rPr>
          <w:rFonts w:ascii="Times New Roman" w:hAnsi="Times New Roman"/>
          <w:b/>
          <w:sz w:val="18"/>
        </w:rPr>
      </w:pPr>
    </w:p>
    <w:p w14:paraId="4C0452F4" w14:textId="77777777" w:rsidR="00186AA9" w:rsidRDefault="00186AA9">
      <w:pPr>
        <w:spacing w:before="120" w:after="80" w:line="240" w:lineRule="auto"/>
        <w:jc w:val="center"/>
        <w:rPr>
          <w:rFonts w:ascii="Times New Roman" w:hAnsi="Times New Roman"/>
          <w:b/>
          <w:sz w:val="18"/>
        </w:rPr>
      </w:pPr>
    </w:p>
    <w:p w14:paraId="62CDE10C" w14:textId="77777777" w:rsidR="00186AA9" w:rsidRDefault="00186AA9">
      <w:pPr>
        <w:spacing w:before="120" w:after="80" w:line="240" w:lineRule="auto"/>
        <w:jc w:val="center"/>
        <w:rPr>
          <w:rFonts w:ascii="Times New Roman" w:hAnsi="Times New Roman"/>
          <w:b/>
          <w:sz w:val="18"/>
        </w:rPr>
      </w:pPr>
    </w:p>
    <w:p w14:paraId="67E2CD64" w14:textId="77777777" w:rsidR="0041742F" w:rsidRDefault="0041742F">
      <w:pPr>
        <w:spacing w:before="120" w:after="80" w:line="240" w:lineRule="auto"/>
        <w:jc w:val="center"/>
        <w:rPr>
          <w:rFonts w:ascii="Times New Roman" w:hAnsi="Times New Roman"/>
          <w:b/>
          <w:sz w:val="18"/>
        </w:rPr>
      </w:pPr>
    </w:p>
    <w:p w14:paraId="41393C26" w14:textId="77777777" w:rsidR="0041742F" w:rsidRDefault="0041742F">
      <w:pPr>
        <w:spacing w:before="120" w:after="80" w:line="240" w:lineRule="auto"/>
        <w:jc w:val="center"/>
        <w:rPr>
          <w:rFonts w:ascii="Times New Roman" w:hAnsi="Times New Roman"/>
          <w:b/>
          <w:sz w:val="18"/>
        </w:rPr>
      </w:pPr>
    </w:p>
    <w:p w14:paraId="30A77B3A" w14:textId="5CEF48EF" w:rsidR="00E95C32" w:rsidRDefault="00000000">
      <w:pPr>
        <w:spacing w:before="120" w:after="80" w:line="240" w:lineRule="auto"/>
        <w:jc w:val="center"/>
      </w:pPr>
      <w:r>
        <w:rPr>
          <w:rFonts w:ascii="Times New Roman" w:hAnsi="Times New Roman"/>
          <w:b/>
          <w:sz w:val="18"/>
        </w:rPr>
        <w:lastRenderedPageBreak/>
        <w:t>Table 1.1: BTC/USDT Engine Reconciliation</w:t>
      </w:r>
    </w:p>
    <w:tbl>
      <w:tblPr>
        <w:tblStyle w:val="TableGrid"/>
        <w:tblW w:w="0" w:type="auto"/>
        <w:jc w:val="center"/>
        <w:tblLook w:val="04A0" w:firstRow="1" w:lastRow="0" w:firstColumn="1" w:lastColumn="0" w:noHBand="0" w:noVBand="1"/>
      </w:tblPr>
      <w:tblGrid>
        <w:gridCol w:w="1950"/>
        <w:gridCol w:w="1080"/>
        <w:gridCol w:w="1099"/>
        <w:gridCol w:w="1111"/>
      </w:tblGrid>
      <w:tr w:rsidR="00E95C32" w14:paraId="6BC21ED7" w14:textId="77777777">
        <w:trPr>
          <w:jc w:val="center"/>
        </w:trPr>
        <w:tc>
          <w:tcPr>
            <w:tcW w:w="2160" w:type="dxa"/>
            <w:shd w:val="clear" w:color="auto" w:fill="1B365D"/>
            <w:tcMar>
              <w:top w:w="60" w:type="dxa"/>
              <w:left w:w="100" w:type="dxa"/>
              <w:bottom w:w="60" w:type="dxa"/>
              <w:right w:w="100" w:type="dxa"/>
            </w:tcMar>
          </w:tcPr>
          <w:p w14:paraId="242F21EF" w14:textId="77777777" w:rsidR="00E95C32" w:rsidRDefault="00000000">
            <w:pPr>
              <w:jc w:val="center"/>
            </w:pPr>
            <w:r>
              <w:rPr>
                <w:rFonts w:ascii="Times New Roman" w:hAnsi="Times New Roman"/>
                <w:b/>
                <w:color w:val="FFFFFF"/>
                <w:sz w:val="16"/>
              </w:rPr>
              <w:t>Metric</w:t>
            </w:r>
          </w:p>
        </w:tc>
        <w:tc>
          <w:tcPr>
            <w:tcW w:w="1152" w:type="dxa"/>
            <w:shd w:val="clear" w:color="auto" w:fill="1B365D"/>
            <w:tcMar>
              <w:top w:w="60" w:type="dxa"/>
              <w:left w:w="100" w:type="dxa"/>
              <w:bottom w:w="60" w:type="dxa"/>
              <w:right w:w="100" w:type="dxa"/>
            </w:tcMar>
          </w:tcPr>
          <w:p w14:paraId="3F359AB3" w14:textId="77777777" w:rsidR="00E95C32" w:rsidRDefault="00000000">
            <w:pPr>
              <w:jc w:val="center"/>
            </w:pPr>
            <w:r>
              <w:rPr>
                <w:rFonts w:ascii="Times New Roman" w:hAnsi="Times New Roman"/>
                <w:b/>
                <w:color w:val="FFFFFF"/>
                <w:sz w:val="16"/>
              </w:rPr>
              <w:t>Custom Engine</w:t>
            </w:r>
          </w:p>
        </w:tc>
        <w:tc>
          <w:tcPr>
            <w:tcW w:w="1152" w:type="dxa"/>
            <w:shd w:val="clear" w:color="auto" w:fill="1B365D"/>
            <w:tcMar>
              <w:top w:w="60" w:type="dxa"/>
              <w:left w:w="100" w:type="dxa"/>
              <w:bottom w:w="60" w:type="dxa"/>
              <w:right w:w="100" w:type="dxa"/>
            </w:tcMar>
          </w:tcPr>
          <w:p w14:paraId="067CACCF" w14:textId="77777777" w:rsidR="00E95C32" w:rsidRDefault="00000000">
            <w:pPr>
              <w:jc w:val="center"/>
            </w:pPr>
            <w:r>
              <w:rPr>
                <w:rFonts w:ascii="Times New Roman" w:hAnsi="Times New Roman"/>
                <w:b/>
                <w:color w:val="FFFFFF"/>
                <w:sz w:val="16"/>
              </w:rPr>
              <w:t>Standard Engine</w:t>
            </w:r>
          </w:p>
        </w:tc>
        <w:tc>
          <w:tcPr>
            <w:tcW w:w="1152" w:type="dxa"/>
            <w:shd w:val="clear" w:color="auto" w:fill="1B365D"/>
            <w:tcMar>
              <w:top w:w="60" w:type="dxa"/>
              <w:left w:w="100" w:type="dxa"/>
              <w:bottom w:w="60" w:type="dxa"/>
              <w:right w:w="100" w:type="dxa"/>
            </w:tcMar>
          </w:tcPr>
          <w:p w14:paraId="77FE2443" w14:textId="77777777" w:rsidR="00E95C32" w:rsidRDefault="00000000">
            <w:pPr>
              <w:jc w:val="center"/>
            </w:pPr>
            <w:r>
              <w:rPr>
                <w:rFonts w:ascii="Times New Roman" w:hAnsi="Times New Roman"/>
                <w:b/>
                <w:color w:val="FFFFFF"/>
                <w:sz w:val="16"/>
              </w:rPr>
              <w:t>Difference</w:t>
            </w:r>
          </w:p>
        </w:tc>
      </w:tr>
      <w:tr w:rsidR="00E95C32" w14:paraId="678642A0" w14:textId="77777777">
        <w:trPr>
          <w:jc w:val="center"/>
        </w:trPr>
        <w:tc>
          <w:tcPr>
            <w:tcW w:w="2160" w:type="dxa"/>
            <w:tcMar>
              <w:top w:w="60" w:type="dxa"/>
              <w:left w:w="100" w:type="dxa"/>
              <w:bottom w:w="60" w:type="dxa"/>
              <w:right w:w="100" w:type="dxa"/>
            </w:tcMar>
          </w:tcPr>
          <w:p w14:paraId="11260BBB" w14:textId="77777777" w:rsidR="00E95C32" w:rsidRDefault="00000000">
            <w:pPr>
              <w:jc w:val="center"/>
            </w:pPr>
            <w:r>
              <w:rPr>
                <w:rFonts w:ascii="Times New Roman" w:hAnsi="Times New Roman"/>
                <w:sz w:val="16"/>
              </w:rPr>
              <w:t>Annualized CAGR</w:t>
            </w:r>
          </w:p>
        </w:tc>
        <w:tc>
          <w:tcPr>
            <w:tcW w:w="1152" w:type="dxa"/>
            <w:tcMar>
              <w:top w:w="60" w:type="dxa"/>
              <w:left w:w="100" w:type="dxa"/>
              <w:bottom w:w="60" w:type="dxa"/>
              <w:right w:w="100" w:type="dxa"/>
            </w:tcMar>
          </w:tcPr>
          <w:p w14:paraId="7B9CAE84" w14:textId="77777777" w:rsidR="00E95C32" w:rsidRDefault="00000000">
            <w:pPr>
              <w:jc w:val="center"/>
            </w:pPr>
            <w:r>
              <w:rPr>
                <w:rFonts w:ascii="Times New Roman" w:hAnsi="Times New Roman"/>
                <w:sz w:val="16"/>
              </w:rPr>
              <w:t>-9.95%</w:t>
            </w:r>
          </w:p>
        </w:tc>
        <w:tc>
          <w:tcPr>
            <w:tcW w:w="1152" w:type="dxa"/>
            <w:tcMar>
              <w:top w:w="60" w:type="dxa"/>
              <w:left w:w="100" w:type="dxa"/>
              <w:bottom w:w="60" w:type="dxa"/>
              <w:right w:w="100" w:type="dxa"/>
            </w:tcMar>
          </w:tcPr>
          <w:p w14:paraId="44DFF6E3" w14:textId="77777777" w:rsidR="00E95C32" w:rsidRDefault="00000000">
            <w:pPr>
              <w:jc w:val="center"/>
            </w:pPr>
            <w:r>
              <w:rPr>
                <w:rFonts w:ascii="Times New Roman" w:hAnsi="Times New Roman"/>
                <w:sz w:val="16"/>
              </w:rPr>
              <w:t>-10.60%</w:t>
            </w:r>
          </w:p>
        </w:tc>
        <w:tc>
          <w:tcPr>
            <w:tcW w:w="1152" w:type="dxa"/>
            <w:tcMar>
              <w:top w:w="60" w:type="dxa"/>
              <w:left w:w="100" w:type="dxa"/>
              <w:bottom w:w="60" w:type="dxa"/>
              <w:right w:w="100" w:type="dxa"/>
            </w:tcMar>
          </w:tcPr>
          <w:p w14:paraId="5F0F42E5" w14:textId="77777777" w:rsidR="00E95C32" w:rsidRDefault="00000000">
            <w:pPr>
              <w:jc w:val="center"/>
            </w:pPr>
            <w:r>
              <w:rPr>
                <w:rFonts w:ascii="Times New Roman" w:hAnsi="Times New Roman"/>
                <w:sz w:val="16"/>
              </w:rPr>
              <w:t>0.648%</w:t>
            </w:r>
          </w:p>
        </w:tc>
      </w:tr>
      <w:tr w:rsidR="00E95C32" w14:paraId="20F75975" w14:textId="77777777">
        <w:trPr>
          <w:jc w:val="center"/>
        </w:trPr>
        <w:tc>
          <w:tcPr>
            <w:tcW w:w="2160" w:type="dxa"/>
            <w:shd w:val="clear" w:color="auto" w:fill="F0F4F8"/>
            <w:tcMar>
              <w:top w:w="60" w:type="dxa"/>
              <w:left w:w="100" w:type="dxa"/>
              <w:bottom w:w="60" w:type="dxa"/>
              <w:right w:w="100" w:type="dxa"/>
            </w:tcMar>
          </w:tcPr>
          <w:p w14:paraId="24B6E27F" w14:textId="77777777" w:rsidR="00E95C32" w:rsidRDefault="00000000">
            <w:pPr>
              <w:jc w:val="center"/>
            </w:pPr>
            <w:r>
              <w:rPr>
                <w:rFonts w:ascii="Times New Roman" w:hAnsi="Times New Roman"/>
                <w:sz w:val="16"/>
              </w:rPr>
              <w:t>Annualized Volatility</w:t>
            </w:r>
          </w:p>
        </w:tc>
        <w:tc>
          <w:tcPr>
            <w:tcW w:w="1152" w:type="dxa"/>
            <w:shd w:val="clear" w:color="auto" w:fill="F0F4F8"/>
            <w:tcMar>
              <w:top w:w="60" w:type="dxa"/>
              <w:left w:w="100" w:type="dxa"/>
              <w:bottom w:w="60" w:type="dxa"/>
              <w:right w:w="100" w:type="dxa"/>
            </w:tcMar>
          </w:tcPr>
          <w:p w14:paraId="171BEAF8" w14:textId="77777777" w:rsidR="00E95C32" w:rsidRDefault="00000000">
            <w:pPr>
              <w:jc w:val="center"/>
            </w:pPr>
            <w:r>
              <w:rPr>
                <w:rFonts w:ascii="Times New Roman" w:hAnsi="Times New Roman"/>
                <w:sz w:val="16"/>
              </w:rPr>
              <w:t>21.87%</w:t>
            </w:r>
          </w:p>
        </w:tc>
        <w:tc>
          <w:tcPr>
            <w:tcW w:w="1152" w:type="dxa"/>
            <w:shd w:val="clear" w:color="auto" w:fill="F0F4F8"/>
            <w:tcMar>
              <w:top w:w="60" w:type="dxa"/>
              <w:left w:w="100" w:type="dxa"/>
              <w:bottom w:w="60" w:type="dxa"/>
              <w:right w:w="100" w:type="dxa"/>
            </w:tcMar>
          </w:tcPr>
          <w:p w14:paraId="2511F4DA" w14:textId="77777777" w:rsidR="00E95C32" w:rsidRDefault="00000000">
            <w:pPr>
              <w:jc w:val="center"/>
            </w:pPr>
            <w:r>
              <w:rPr>
                <w:rFonts w:ascii="Times New Roman" w:hAnsi="Times New Roman"/>
                <w:sz w:val="16"/>
              </w:rPr>
              <w:t>19.72%</w:t>
            </w:r>
          </w:p>
        </w:tc>
        <w:tc>
          <w:tcPr>
            <w:tcW w:w="1152" w:type="dxa"/>
            <w:shd w:val="clear" w:color="auto" w:fill="F0F4F8"/>
            <w:tcMar>
              <w:top w:w="60" w:type="dxa"/>
              <w:left w:w="100" w:type="dxa"/>
              <w:bottom w:w="60" w:type="dxa"/>
              <w:right w:w="100" w:type="dxa"/>
            </w:tcMar>
          </w:tcPr>
          <w:p w14:paraId="3CEB10FC" w14:textId="77777777" w:rsidR="00E95C32" w:rsidRDefault="00000000">
            <w:pPr>
              <w:jc w:val="center"/>
            </w:pPr>
            <w:r>
              <w:rPr>
                <w:rFonts w:ascii="Times New Roman" w:hAnsi="Times New Roman"/>
                <w:sz w:val="16"/>
              </w:rPr>
              <w:t>2.151%</w:t>
            </w:r>
          </w:p>
        </w:tc>
      </w:tr>
      <w:tr w:rsidR="00E95C32" w14:paraId="58C9688B" w14:textId="77777777">
        <w:trPr>
          <w:jc w:val="center"/>
        </w:trPr>
        <w:tc>
          <w:tcPr>
            <w:tcW w:w="2160" w:type="dxa"/>
            <w:tcMar>
              <w:top w:w="60" w:type="dxa"/>
              <w:left w:w="100" w:type="dxa"/>
              <w:bottom w:w="60" w:type="dxa"/>
              <w:right w:w="100" w:type="dxa"/>
            </w:tcMar>
          </w:tcPr>
          <w:p w14:paraId="4C2FA309" w14:textId="77777777" w:rsidR="00E95C32" w:rsidRDefault="00000000">
            <w:pPr>
              <w:jc w:val="center"/>
            </w:pPr>
            <w:r>
              <w:rPr>
                <w:rFonts w:ascii="Times New Roman" w:hAnsi="Times New Roman"/>
                <w:sz w:val="16"/>
              </w:rPr>
              <w:t>Sharpe Ratio</w:t>
            </w:r>
          </w:p>
        </w:tc>
        <w:tc>
          <w:tcPr>
            <w:tcW w:w="1152" w:type="dxa"/>
            <w:tcMar>
              <w:top w:w="60" w:type="dxa"/>
              <w:left w:w="100" w:type="dxa"/>
              <w:bottom w:w="60" w:type="dxa"/>
              <w:right w:w="100" w:type="dxa"/>
            </w:tcMar>
          </w:tcPr>
          <w:p w14:paraId="5A8E7FB0" w14:textId="77777777" w:rsidR="00E95C32" w:rsidRDefault="00000000">
            <w:pPr>
              <w:jc w:val="center"/>
            </w:pPr>
            <w:r>
              <w:rPr>
                <w:rFonts w:ascii="Times New Roman" w:hAnsi="Times New Roman"/>
                <w:sz w:val="16"/>
              </w:rPr>
              <w:t>-0.455</w:t>
            </w:r>
          </w:p>
        </w:tc>
        <w:tc>
          <w:tcPr>
            <w:tcW w:w="1152" w:type="dxa"/>
            <w:tcMar>
              <w:top w:w="60" w:type="dxa"/>
              <w:left w:w="100" w:type="dxa"/>
              <w:bottom w:w="60" w:type="dxa"/>
              <w:right w:w="100" w:type="dxa"/>
            </w:tcMar>
          </w:tcPr>
          <w:p w14:paraId="27C5609A" w14:textId="77777777" w:rsidR="00E95C32" w:rsidRDefault="00000000">
            <w:pPr>
              <w:jc w:val="center"/>
            </w:pPr>
            <w:r>
              <w:rPr>
                <w:rFonts w:ascii="Times New Roman" w:hAnsi="Times New Roman"/>
                <w:sz w:val="16"/>
              </w:rPr>
              <w:t>-0.538</w:t>
            </w:r>
          </w:p>
        </w:tc>
        <w:tc>
          <w:tcPr>
            <w:tcW w:w="1152" w:type="dxa"/>
            <w:tcMar>
              <w:top w:w="60" w:type="dxa"/>
              <w:left w:w="100" w:type="dxa"/>
              <w:bottom w:w="60" w:type="dxa"/>
              <w:right w:w="100" w:type="dxa"/>
            </w:tcMar>
          </w:tcPr>
          <w:p w14:paraId="5A17A95E" w14:textId="77777777" w:rsidR="00E95C32" w:rsidRDefault="00000000">
            <w:pPr>
              <w:jc w:val="center"/>
            </w:pPr>
            <w:r>
              <w:rPr>
                <w:rFonts w:ascii="Times New Roman" w:hAnsi="Times New Roman"/>
                <w:sz w:val="16"/>
              </w:rPr>
              <w:t>0.0825</w:t>
            </w:r>
          </w:p>
        </w:tc>
      </w:tr>
      <w:tr w:rsidR="00E95C32" w14:paraId="3B6485AE" w14:textId="77777777">
        <w:trPr>
          <w:jc w:val="center"/>
        </w:trPr>
        <w:tc>
          <w:tcPr>
            <w:tcW w:w="2160" w:type="dxa"/>
            <w:shd w:val="clear" w:color="auto" w:fill="F0F4F8"/>
            <w:tcMar>
              <w:top w:w="60" w:type="dxa"/>
              <w:left w:w="100" w:type="dxa"/>
              <w:bottom w:w="60" w:type="dxa"/>
              <w:right w:w="100" w:type="dxa"/>
            </w:tcMar>
          </w:tcPr>
          <w:p w14:paraId="41BC7DD4" w14:textId="77777777" w:rsidR="00E95C32" w:rsidRDefault="00000000">
            <w:pPr>
              <w:jc w:val="center"/>
            </w:pPr>
            <w:r>
              <w:rPr>
                <w:rFonts w:ascii="Times New Roman" w:hAnsi="Times New Roman"/>
                <w:sz w:val="16"/>
              </w:rPr>
              <w:t>Deflated Sharpe Ratio</w:t>
            </w:r>
          </w:p>
        </w:tc>
        <w:tc>
          <w:tcPr>
            <w:tcW w:w="1152" w:type="dxa"/>
            <w:shd w:val="clear" w:color="auto" w:fill="F0F4F8"/>
            <w:tcMar>
              <w:top w:w="60" w:type="dxa"/>
              <w:left w:w="100" w:type="dxa"/>
              <w:bottom w:w="60" w:type="dxa"/>
              <w:right w:w="100" w:type="dxa"/>
            </w:tcMar>
          </w:tcPr>
          <w:p w14:paraId="773405FA" w14:textId="77777777" w:rsidR="00E95C32" w:rsidRDefault="00000000">
            <w:pPr>
              <w:jc w:val="center"/>
            </w:pPr>
            <w:r>
              <w:rPr>
                <w:rFonts w:ascii="Times New Roman" w:hAnsi="Times New Roman"/>
                <w:sz w:val="16"/>
              </w:rPr>
              <w:t>0.0005</w:t>
            </w:r>
          </w:p>
        </w:tc>
        <w:tc>
          <w:tcPr>
            <w:tcW w:w="1152" w:type="dxa"/>
            <w:shd w:val="clear" w:color="auto" w:fill="F0F4F8"/>
            <w:tcMar>
              <w:top w:w="60" w:type="dxa"/>
              <w:left w:w="100" w:type="dxa"/>
              <w:bottom w:w="60" w:type="dxa"/>
              <w:right w:w="100" w:type="dxa"/>
            </w:tcMar>
          </w:tcPr>
          <w:p w14:paraId="21D65177" w14:textId="77777777" w:rsidR="00E95C32" w:rsidRDefault="00000000">
            <w:pPr>
              <w:jc w:val="center"/>
            </w:pPr>
            <w:r>
              <w:rPr>
                <w:rFonts w:ascii="Times New Roman" w:hAnsi="Times New Roman"/>
                <w:sz w:val="16"/>
              </w:rPr>
              <w:t>0.0004</w:t>
            </w:r>
          </w:p>
        </w:tc>
        <w:tc>
          <w:tcPr>
            <w:tcW w:w="1152" w:type="dxa"/>
            <w:shd w:val="clear" w:color="auto" w:fill="F0F4F8"/>
            <w:tcMar>
              <w:top w:w="60" w:type="dxa"/>
              <w:left w:w="100" w:type="dxa"/>
              <w:bottom w:w="60" w:type="dxa"/>
              <w:right w:w="100" w:type="dxa"/>
            </w:tcMar>
          </w:tcPr>
          <w:p w14:paraId="36000FA2" w14:textId="77777777" w:rsidR="00E95C32" w:rsidRDefault="00000000">
            <w:pPr>
              <w:jc w:val="center"/>
            </w:pPr>
            <w:r>
              <w:rPr>
                <w:rFonts w:ascii="Times New Roman" w:hAnsi="Times New Roman"/>
                <w:sz w:val="16"/>
              </w:rPr>
              <w:t>0.0001</w:t>
            </w:r>
          </w:p>
        </w:tc>
      </w:tr>
      <w:tr w:rsidR="00E95C32" w14:paraId="2689CC5E" w14:textId="77777777">
        <w:trPr>
          <w:jc w:val="center"/>
        </w:trPr>
        <w:tc>
          <w:tcPr>
            <w:tcW w:w="2160" w:type="dxa"/>
            <w:tcMar>
              <w:top w:w="60" w:type="dxa"/>
              <w:left w:w="100" w:type="dxa"/>
              <w:bottom w:w="60" w:type="dxa"/>
              <w:right w:w="100" w:type="dxa"/>
            </w:tcMar>
          </w:tcPr>
          <w:p w14:paraId="1A693729" w14:textId="77777777" w:rsidR="00E95C32" w:rsidRDefault="00000000">
            <w:pPr>
              <w:jc w:val="center"/>
            </w:pPr>
            <w:r>
              <w:rPr>
                <w:rFonts w:ascii="Times New Roman" w:hAnsi="Times New Roman"/>
                <w:sz w:val="16"/>
              </w:rPr>
              <w:t>Max Drawdown</w:t>
            </w:r>
          </w:p>
        </w:tc>
        <w:tc>
          <w:tcPr>
            <w:tcW w:w="1152" w:type="dxa"/>
            <w:tcMar>
              <w:top w:w="60" w:type="dxa"/>
              <w:left w:w="100" w:type="dxa"/>
              <w:bottom w:w="60" w:type="dxa"/>
              <w:right w:w="100" w:type="dxa"/>
            </w:tcMar>
          </w:tcPr>
          <w:p w14:paraId="5175D64B" w14:textId="77777777" w:rsidR="00E95C32" w:rsidRDefault="00000000">
            <w:pPr>
              <w:jc w:val="center"/>
            </w:pPr>
            <w:r>
              <w:rPr>
                <w:rFonts w:ascii="Times New Roman" w:hAnsi="Times New Roman"/>
                <w:sz w:val="16"/>
              </w:rPr>
              <w:t>-50.20%</w:t>
            </w:r>
          </w:p>
        </w:tc>
        <w:tc>
          <w:tcPr>
            <w:tcW w:w="1152" w:type="dxa"/>
            <w:tcMar>
              <w:top w:w="60" w:type="dxa"/>
              <w:left w:w="100" w:type="dxa"/>
              <w:bottom w:w="60" w:type="dxa"/>
              <w:right w:w="100" w:type="dxa"/>
            </w:tcMar>
          </w:tcPr>
          <w:p w14:paraId="30AAD024" w14:textId="77777777" w:rsidR="00E95C32" w:rsidRDefault="00000000">
            <w:pPr>
              <w:jc w:val="center"/>
            </w:pPr>
            <w:r>
              <w:rPr>
                <w:rFonts w:ascii="Times New Roman" w:hAnsi="Times New Roman"/>
                <w:sz w:val="16"/>
              </w:rPr>
              <w:t>-49.76%</w:t>
            </w:r>
          </w:p>
        </w:tc>
        <w:tc>
          <w:tcPr>
            <w:tcW w:w="1152" w:type="dxa"/>
            <w:tcMar>
              <w:top w:w="60" w:type="dxa"/>
              <w:left w:w="100" w:type="dxa"/>
              <w:bottom w:w="60" w:type="dxa"/>
              <w:right w:w="100" w:type="dxa"/>
            </w:tcMar>
          </w:tcPr>
          <w:p w14:paraId="23FFC734" w14:textId="77777777" w:rsidR="00E95C32" w:rsidRDefault="00000000">
            <w:pPr>
              <w:jc w:val="center"/>
            </w:pPr>
            <w:r>
              <w:rPr>
                <w:rFonts w:ascii="Times New Roman" w:hAnsi="Times New Roman"/>
                <w:sz w:val="16"/>
              </w:rPr>
              <w:t>-0.442%</w:t>
            </w:r>
          </w:p>
        </w:tc>
      </w:tr>
      <w:tr w:rsidR="00E95C32" w14:paraId="46AADD49" w14:textId="77777777">
        <w:trPr>
          <w:jc w:val="center"/>
        </w:trPr>
        <w:tc>
          <w:tcPr>
            <w:tcW w:w="2160" w:type="dxa"/>
            <w:shd w:val="clear" w:color="auto" w:fill="F0F4F8"/>
            <w:tcMar>
              <w:top w:w="60" w:type="dxa"/>
              <w:left w:w="100" w:type="dxa"/>
              <w:bottom w:w="60" w:type="dxa"/>
              <w:right w:w="100" w:type="dxa"/>
            </w:tcMar>
          </w:tcPr>
          <w:p w14:paraId="0F71E7A7" w14:textId="77777777" w:rsidR="00E95C32" w:rsidRDefault="00000000">
            <w:pPr>
              <w:jc w:val="center"/>
            </w:pPr>
            <w:r>
              <w:rPr>
                <w:rFonts w:ascii="Times New Roman" w:hAnsi="Times New Roman"/>
                <w:sz w:val="16"/>
              </w:rPr>
              <w:t>Trade Count</w:t>
            </w:r>
          </w:p>
        </w:tc>
        <w:tc>
          <w:tcPr>
            <w:tcW w:w="1152" w:type="dxa"/>
            <w:shd w:val="clear" w:color="auto" w:fill="F0F4F8"/>
            <w:tcMar>
              <w:top w:w="60" w:type="dxa"/>
              <w:left w:w="100" w:type="dxa"/>
              <w:bottom w:w="60" w:type="dxa"/>
              <w:right w:w="100" w:type="dxa"/>
            </w:tcMar>
          </w:tcPr>
          <w:p w14:paraId="1FD0994F" w14:textId="77777777" w:rsidR="00E95C32" w:rsidRDefault="00000000">
            <w:pPr>
              <w:jc w:val="center"/>
            </w:pPr>
            <w:r>
              <w:rPr>
                <w:rFonts w:ascii="Times New Roman" w:hAnsi="Times New Roman"/>
                <w:sz w:val="16"/>
              </w:rPr>
              <w:t>513</w:t>
            </w:r>
          </w:p>
        </w:tc>
        <w:tc>
          <w:tcPr>
            <w:tcW w:w="1152" w:type="dxa"/>
            <w:shd w:val="clear" w:color="auto" w:fill="F0F4F8"/>
            <w:tcMar>
              <w:top w:w="60" w:type="dxa"/>
              <w:left w:w="100" w:type="dxa"/>
              <w:bottom w:w="60" w:type="dxa"/>
              <w:right w:w="100" w:type="dxa"/>
            </w:tcMar>
          </w:tcPr>
          <w:p w14:paraId="2096228D" w14:textId="77777777" w:rsidR="00E95C32" w:rsidRDefault="00000000">
            <w:pPr>
              <w:jc w:val="center"/>
            </w:pPr>
            <w:r>
              <w:rPr>
                <w:rFonts w:ascii="Times New Roman" w:hAnsi="Times New Roman"/>
                <w:sz w:val="16"/>
              </w:rPr>
              <w:t>1275</w:t>
            </w:r>
          </w:p>
        </w:tc>
        <w:tc>
          <w:tcPr>
            <w:tcW w:w="1152" w:type="dxa"/>
            <w:shd w:val="clear" w:color="auto" w:fill="F0F4F8"/>
            <w:tcMar>
              <w:top w:w="60" w:type="dxa"/>
              <w:left w:w="100" w:type="dxa"/>
              <w:bottom w:w="60" w:type="dxa"/>
              <w:right w:w="100" w:type="dxa"/>
            </w:tcMar>
          </w:tcPr>
          <w:p w14:paraId="3AB82D33" w14:textId="77777777" w:rsidR="00E95C32" w:rsidRDefault="00000000">
            <w:pPr>
              <w:jc w:val="center"/>
            </w:pPr>
            <w:r>
              <w:rPr>
                <w:rFonts w:ascii="Times New Roman" w:hAnsi="Times New Roman"/>
                <w:sz w:val="16"/>
              </w:rPr>
              <w:t>-762</w:t>
            </w:r>
          </w:p>
        </w:tc>
      </w:tr>
      <w:tr w:rsidR="00E95C32" w14:paraId="5723E482" w14:textId="77777777">
        <w:trPr>
          <w:jc w:val="center"/>
        </w:trPr>
        <w:tc>
          <w:tcPr>
            <w:tcW w:w="2160" w:type="dxa"/>
            <w:tcMar>
              <w:top w:w="60" w:type="dxa"/>
              <w:left w:w="100" w:type="dxa"/>
              <w:bottom w:w="60" w:type="dxa"/>
              <w:right w:w="100" w:type="dxa"/>
            </w:tcMar>
          </w:tcPr>
          <w:p w14:paraId="23F8189B" w14:textId="77777777" w:rsidR="00E95C32" w:rsidRDefault="00000000">
            <w:pPr>
              <w:jc w:val="center"/>
            </w:pPr>
            <w:r>
              <w:rPr>
                <w:rFonts w:ascii="Times New Roman" w:hAnsi="Times New Roman"/>
                <w:sz w:val="16"/>
              </w:rPr>
              <w:t>Equity Correlation</w:t>
            </w:r>
          </w:p>
        </w:tc>
        <w:tc>
          <w:tcPr>
            <w:tcW w:w="1152" w:type="dxa"/>
            <w:tcMar>
              <w:top w:w="60" w:type="dxa"/>
              <w:left w:w="100" w:type="dxa"/>
              <w:bottom w:w="60" w:type="dxa"/>
              <w:right w:w="100" w:type="dxa"/>
            </w:tcMar>
          </w:tcPr>
          <w:p w14:paraId="7FD4B90A" w14:textId="77777777" w:rsidR="00E95C32" w:rsidRDefault="00000000">
            <w:pPr>
              <w:jc w:val="center"/>
            </w:pPr>
            <w:r>
              <w:rPr>
                <w:rFonts w:ascii="Times New Roman" w:hAnsi="Times New Roman"/>
                <w:sz w:val="16"/>
              </w:rPr>
              <w:t>1.00000</w:t>
            </w:r>
          </w:p>
        </w:tc>
        <w:tc>
          <w:tcPr>
            <w:tcW w:w="1152" w:type="dxa"/>
            <w:tcMar>
              <w:top w:w="60" w:type="dxa"/>
              <w:left w:w="100" w:type="dxa"/>
              <w:bottom w:w="60" w:type="dxa"/>
              <w:right w:w="100" w:type="dxa"/>
            </w:tcMar>
          </w:tcPr>
          <w:p w14:paraId="1ECBA075" w14:textId="77777777" w:rsidR="00E95C32" w:rsidRDefault="00000000">
            <w:pPr>
              <w:jc w:val="center"/>
            </w:pPr>
            <w:r>
              <w:rPr>
                <w:rFonts w:ascii="Times New Roman" w:hAnsi="Times New Roman"/>
                <w:sz w:val="16"/>
              </w:rPr>
              <w:t>0.99227</w:t>
            </w:r>
          </w:p>
        </w:tc>
        <w:tc>
          <w:tcPr>
            <w:tcW w:w="1152" w:type="dxa"/>
            <w:tcMar>
              <w:top w:w="60" w:type="dxa"/>
              <w:left w:w="100" w:type="dxa"/>
              <w:bottom w:w="60" w:type="dxa"/>
              <w:right w:w="100" w:type="dxa"/>
            </w:tcMar>
          </w:tcPr>
          <w:p w14:paraId="04D76AAB" w14:textId="77777777" w:rsidR="00E95C32" w:rsidRDefault="00000000">
            <w:pPr>
              <w:jc w:val="center"/>
            </w:pPr>
            <w:r>
              <w:rPr>
                <w:rFonts w:ascii="Times New Roman" w:hAnsi="Times New Roman"/>
                <w:sz w:val="16"/>
              </w:rPr>
              <w:t>0.00000</w:t>
            </w:r>
          </w:p>
        </w:tc>
      </w:tr>
      <w:tr w:rsidR="00E95C32" w14:paraId="28E11208" w14:textId="77777777">
        <w:trPr>
          <w:jc w:val="center"/>
        </w:trPr>
        <w:tc>
          <w:tcPr>
            <w:tcW w:w="2160" w:type="dxa"/>
            <w:shd w:val="clear" w:color="auto" w:fill="F0F4F8"/>
            <w:tcMar>
              <w:top w:w="60" w:type="dxa"/>
              <w:left w:w="100" w:type="dxa"/>
              <w:bottom w:w="60" w:type="dxa"/>
              <w:right w:w="100" w:type="dxa"/>
            </w:tcMar>
          </w:tcPr>
          <w:p w14:paraId="17022685" w14:textId="77777777" w:rsidR="00E95C32" w:rsidRDefault="00000000">
            <w:pPr>
              <w:jc w:val="center"/>
            </w:pPr>
            <w:r>
              <w:rPr>
                <w:rFonts w:ascii="Times New Roman" w:hAnsi="Times New Roman"/>
                <w:sz w:val="16"/>
              </w:rPr>
              <w:t>Annualized CAGR</w:t>
            </w:r>
          </w:p>
        </w:tc>
        <w:tc>
          <w:tcPr>
            <w:tcW w:w="1152" w:type="dxa"/>
            <w:shd w:val="clear" w:color="auto" w:fill="F0F4F8"/>
            <w:tcMar>
              <w:top w:w="60" w:type="dxa"/>
              <w:left w:w="100" w:type="dxa"/>
              <w:bottom w:w="60" w:type="dxa"/>
              <w:right w:w="100" w:type="dxa"/>
            </w:tcMar>
          </w:tcPr>
          <w:p w14:paraId="488C873F" w14:textId="77777777" w:rsidR="00E95C32" w:rsidRDefault="00000000">
            <w:pPr>
              <w:jc w:val="center"/>
            </w:pPr>
            <w:r>
              <w:rPr>
                <w:rFonts w:ascii="Times New Roman" w:hAnsi="Times New Roman"/>
                <w:sz w:val="16"/>
              </w:rPr>
              <w:t>-5.14%</w:t>
            </w:r>
          </w:p>
        </w:tc>
        <w:tc>
          <w:tcPr>
            <w:tcW w:w="1152" w:type="dxa"/>
            <w:shd w:val="clear" w:color="auto" w:fill="F0F4F8"/>
            <w:tcMar>
              <w:top w:w="60" w:type="dxa"/>
              <w:left w:w="100" w:type="dxa"/>
              <w:bottom w:w="60" w:type="dxa"/>
              <w:right w:w="100" w:type="dxa"/>
            </w:tcMar>
          </w:tcPr>
          <w:p w14:paraId="522D47F0" w14:textId="77777777" w:rsidR="00E95C32" w:rsidRDefault="00000000">
            <w:pPr>
              <w:jc w:val="center"/>
            </w:pPr>
            <w:r>
              <w:rPr>
                <w:rFonts w:ascii="Times New Roman" w:hAnsi="Times New Roman"/>
                <w:sz w:val="16"/>
              </w:rPr>
              <w:t>-5.52%</w:t>
            </w:r>
          </w:p>
        </w:tc>
        <w:tc>
          <w:tcPr>
            <w:tcW w:w="1152" w:type="dxa"/>
            <w:shd w:val="clear" w:color="auto" w:fill="F0F4F8"/>
            <w:tcMar>
              <w:top w:w="60" w:type="dxa"/>
              <w:left w:w="100" w:type="dxa"/>
              <w:bottom w:w="60" w:type="dxa"/>
              <w:right w:w="100" w:type="dxa"/>
            </w:tcMar>
          </w:tcPr>
          <w:p w14:paraId="2E2DAA0A" w14:textId="77777777" w:rsidR="00E95C32" w:rsidRDefault="00000000">
            <w:pPr>
              <w:jc w:val="center"/>
            </w:pPr>
            <w:r>
              <w:rPr>
                <w:rFonts w:ascii="Times New Roman" w:hAnsi="Times New Roman"/>
                <w:sz w:val="16"/>
              </w:rPr>
              <w:t>0.380%</w:t>
            </w:r>
          </w:p>
        </w:tc>
      </w:tr>
      <w:tr w:rsidR="00E95C32" w14:paraId="48D851D0" w14:textId="77777777">
        <w:trPr>
          <w:jc w:val="center"/>
        </w:trPr>
        <w:tc>
          <w:tcPr>
            <w:tcW w:w="2160" w:type="dxa"/>
            <w:tcMar>
              <w:top w:w="60" w:type="dxa"/>
              <w:left w:w="100" w:type="dxa"/>
              <w:bottom w:w="60" w:type="dxa"/>
              <w:right w:w="100" w:type="dxa"/>
            </w:tcMar>
          </w:tcPr>
          <w:p w14:paraId="5D7D92EC" w14:textId="77777777" w:rsidR="00E95C32" w:rsidRDefault="00000000">
            <w:pPr>
              <w:jc w:val="center"/>
            </w:pPr>
            <w:r>
              <w:rPr>
                <w:rFonts w:ascii="Times New Roman" w:hAnsi="Times New Roman"/>
                <w:sz w:val="16"/>
              </w:rPr>
              <w:t>Annualized Volatility</w:t>
            </w:r>
          </w:p>
        </w:tc>
        <w:tc>
          <w:tcPr>
            <w:tcW w:w="1152" w:type="dxa"/>
            <w:tcMar>
              <w:top w:w="60" w:type="dxa"/>
              <w:left w:w="100" w:type="dxa"/>
              <w:bottom w:w="60" w:type="dxa"/>
              <w:right w:w="100" w:type="dxa"/>
            </w:tcMar>
          </w:tcPr>
          <w:p w14:paraId="357A55A8" w14:textId="77777777" w:rsidR="00E95C32" w:rsidRDefault="00000000">
            <w:pPr>
              <w:jc w:val="center"/>
            </w:pPr>
            <w:r>
              <w:rPr>
                <w:rFonts w:ascii="Times New Roman" w:hAnsi="Times New Roman"/>
                <w:sz w:val="16"/>
              </w:rPr>
              <w:t>30.19%</w:t>
            </w:r>
          </w:p>
        </w:tc>
        <w:tc>
          <w:tcPr>
            <w:tcW w:w="1152" w:type="dxa"/>
            <w:tcMar>
              <w:top w:w="60" w:type="dxa"/>
              <w:left w:w="100" w:type="dxa"/>
              <w:bottom w:w="60" w:type="dxa"/>
              <w:right w:w="100" w:type="dxa"/>
            </w:tcMar>
          </w:tcPr>
          <w:p w14:paraId="3134D36B" w14:textId="77777777" w:rsidR="00E95C32" w:rsidRDefault="00000000">
            <w:pPr>
              <w:jc w:val="center"/>
            </w:pPr>
            <w:r>
              <w:rPr>
                <w:rFonts w:ascii="Times New Roman" w:hAnsi="Times New Roman"/>
                <w:sz w:val="16"/>
              </w:rPr>
              <w:t>29.06%</w:t>
            </w:r>
          </w:p>
        </w:tc>
        <w:tc>
          <w:tcPr>
            <w:tcW w:w="1152" w:type="dxa"/>
            <w:tcMar>
              <w:top w:w="60" w:type="dxa"/>
              <w:left w:w="100" w:type="dxa"/>
              <w:bottom w:w="60" w:type="dxa"/>
              <w:right w:w="100" w:type="dxa"/>
            </w:tcMar>
          </w:tcPr>
          <w:p w14:paraId="529F6AFD" w14:textId="77777777" w:rsidR="00E95C32" w:rsidRDefault="00000000">
            <w:pPr>
              <w:jc w:val="center"/>
            </w:pPr>
            <w:r>
              <w:rPr>
                <w:rFonts w:ascii="Times New Roman" w:hAnsi="Times New Roman"/>
                <w:sz w:val="16"/>
              </w:rPr>
              <w:t>1.134%</w:t>
            </w:r>
          </w:p>
        </w:tc>
      </w:tr>
      <w:tr w:rsidR="00E95C32" w14:paraId="519D9BB1" w14:textId="77777777">
        <w:trPr>
          <w:jc w:val="center"/>
        </w:trPr>
        <w:tc>
          <w:tcPr>
            <w:tcW w:w="2160" w:type="dxa"/>
            <w:shd w:val="clear" w:color="auto" w:fill="F0F4F8"/>
            <w:tcMar>
              <w:top w:w="60" w:type="dxa"/>
              <w:left w:w="100" w:type="dxa"/>
              <w:bottom w:w="60" w:type="dxa"/>
              <w:right w:w="100" w:type="dxa"/>
            </w:tcMar>
          </w:tcPr>
          <w:p w14:paraId="2DC7739A" w14:textId="77777777" w:rsidR="00E95C32" w:rsidRDefault="00000000">
            <w:pPr>
              <w:jc w:val="center"/>
            </w:pPr>
            <w:r>
              <w:rPr>
                <w:rFonts w:ascii="Times New Roman" w:hAnsi="Times New Roman"/>
                <w:sz w:val="16"/>
              </w:rPr>
              <w:t>Sharpe Ratio</w:t>
            </w:r>
          </w:p>
        </w:tc>
        <w:tc>
          <w:tcPr>
            <w:tcW w:w="1152" w:type="dxa"/>
            <w:shd w:val="clear" w:color="auto" w:fill="F0F4F8"/>
            <w:tcMar>
              <w:top w:w="60" w:type="dxa"/>
              <w:left w:w="100" w:type="dxa"/>
              <w:bottom w:w="60" w:type="dxa"/>
              <w:right w:w="100" w:type="dxa"/>
            </w:tcMar>
          </w:tcPr>
          <w:p w14:paraId="57AAA905" w14:textId="77777777" w:rsidR="00E95C32" w:rsidRDefault="00000000">
            <w:pPr>
              <w:jc w:val="center"/>
            </w:pPr>
            <w:r>
              <w:rPr>
                <w:rFonts w:ascii="Times New Roman" w:hAnsi="Times New Roman"/>
                <w:sz w:val="16"/>
              </w:rPr>
              <w:t>-0.170</w:t>
            </w:r>
          </w:p>
        </w:tc>
        <w:tc>
          <w:tcPr>
            <w:tcW w:w="1152" w:type="dxa"/>
            <w:shd w:val="clear" w:color="auto" w:fill="F0F4F8"/>
            <w:tcMar>
              <w:top w:w="60" w:type="dxa"/>
              <w:left w:w="100" w:type="dxa"/>
              <w:bottom w:w="60" w:type="dxa"/>
              <w:right w:w="100" w:type="dxa"/>
            </w:tcMar>
          </w:tcPr>
          <w:p w14:paraId="492308FF" w14:textId="77777777" w:rsidR="00E95C32" w:rsidRDefault="00000000">
            <w:pPr>
              <w:jc w:val="center"/>
            </w:pPr>
            <w:r>
              <w:rPr>
                <w:rFonts w:ascii="Times New Roman" w:hAnsi="Times New Roman"/>
                <w:sz w:val="16"/>
              </w:rPr>
              <w:t>-0.190</w:t>
            </w:r>
          </w:p>
        </w:tc>
        <w:tc>
          <w:tcPr>
            <w:tcW w:w="1152" w:type="dxa"/>
            <w:shd w:val="clear" w:color="auto" w:fill="F0F4F8"/>
            <w:tcMar>
              <w:top w:w="60" w:type="dxa"/>
              <w:left w:w="100" w:type="dxa"/>
              <w:bottom w:w="60" w:type="dxa"/>
              <w:right w:w="100" w:type="dxa"/>
            </w:tcMar>
          </w:tcPr>
          <w:p w14:paraId="601CF2DB" w14:textId="77777777" w:rsidR="00E95C32" w:rsidRDefault="00000000">
            <w:pPr>
              <w:jc w:val="center"/>
            </w:pPr>
            <w:r>
              <w:rPr>
                <w:rFonts w:ascii="Times New Roman" w:hAnsi="Times New Roman"/>
                <w:sz w:val="16"/>
              </w:rPr>
              <w:t>0.0197</w:t>
            </w:r>
          </w:p>
        </w:tc>
      </w:tr>
      <w:tr w:rsidR="00E95C32" w14:paraId="58D82093" w14:textId="77777777">
        <w:trPr>
          <w:jc w:val="center"/>
        </w:trPr>
        <w:tc>
          <w:tcPr>
            <w:tcW w:w="2160" w:type="dxa"/>
            <w:tcMar>
              <w:top w:w="60" w:type="dxa"/>
              <w:left w:w="100" w:type="dxa"/>
              <w:bottom w:w="60" w:type="dxa"/>
              <w:right w:w="100" w:type="dxa"/>
            </w:tcMar>
          </w:tcPr>
          <w:p w14:paraId="266AB0DD" w14:textId="77777777" w:rsidR="00E95C32" w:rsidRDefault="00000000">
            <w:pPr>
              <w:jc w:val="center"/>
            </w:pPr>
            <w:r>
              <w:rPr>
                <w:rFonts w:ascii="Times New Roman" w:hAnsi="Times New Roman"/>
                <w:sz w:val="16"/>
              </w:rPr>
              <w:t>Deflated Sharpe Ratio</w:t>
            </w:r>
          </w:p>
        </w:tc>
        <w:tc>
          <w:tcPr>
            <w:tcW w:w="1152" w:type="dxa"/>
            <w:tcMar>
              <w:top w:w="60" w:type="dxa"/>
              <w:left w:w="100" w:type="dxa"/>
              <w:bottom w:w="60" w:type="dxa"/>
              <w:right w:w="100" w:type="dxa"/>
            </w:tcMar>
          </w:tcPr>
          <w:p w14:paraId="660FE6C6" w14:textId="77777777" w:rsidR="00E95C32" w:rsidRDefault="00000000">
            <w:pPr>
              <w:jc w:val="center"/>
            </w:pPr>
            <w:r>
              <w:rPr>
                <w:rFonts w:ascii="Times New Roman" w:hAnsi="Times New Roman"/>
                <w:sz w:val="16"/>
              </w:rPr>
              <w:t>0.0049</w:t>
            </w:r>
          </w:p>
        </w:tc>
        <w:tc>
          <w:tcPr>
            <w:tcW w:w="1152" w:type="dxa"/>
            <w:tcMar>
              <w:top w:w="60" w:type="dxa"/>
              <w:left w:w="100" w:type="dxa"/>
              <w:bottom w:w="60" w:type="dxa"/>
              <w:right w:w="100" w:type="dxa"/>
            </w:tcMar>
          </w:tcPr>
          <w:p w14:paraId="0B1527A1" w14:textId="77777777" w:rsidR="00E95C32" w:rsidRDefault="00000000">
            <w:pPr>
              <w:jc w:val="center"/>
            </w:pPr>
            <w:r>
              <w:rPr>
                <w:rFonts w:ascii="Times New Roman" w:hAnsi="Times New Roman"/>
                <w:sz w:val="16"/>
              </w:rPr>
              <w:t>0.0045</w:t>
            </w:r>
          </w:p>
        </w:tc>
        <w:tc>
          <w:tcPr>
            <w:tcW w:w="1152" w:type="dxa"/>
            <w:tcMar>
              <w:top w:w="60" w:type="dxa"/>
              <w:left w:w="100" w:type="dxa"/>
              <w:bottom w:w="60" w:type="dxa"/>
              <w:right w:w="100" w:type="dxa"/>
            </w:tcMar>
          </w:tcPr>
          <w:p w14:paraId="459DFBF8" w14:textId="77777777" w:rsidR="00E95C32" w:rsidRDefault="00000000">
            <w:pPr>
              <w:jc w:val="center"/>
            </w:pPr>
            <w:r>
              <w:rPr>
                <w:rFonts w:ascii="Times New Roman" w:hAnsi="Times New Roman"/>
                <w:sz w:val="16"/>
              </w:rPr>
              <w:t>0.0004</w:t>
            </w:r>
          </w:p>
        </w:tc>
      </w:tr>
      <w:tr w:rsidR="00E95C32" w14:paraId="667E9830" w14:textId="77777777">
        <w:trPr>
          <w:jc w:val="center"/>
        </w:trPr>
        <w:tc>
          <w:tcPr>
            <w:tcW w:w="2160" w:type="dxa"/>
            <w:shd w:val="clear" w:color="auto" w:fill="F0F4F8"/>
            <w:tcMar>
              <w:top w:w="60" w:type="dxa"/>
              <w:left w:w="100" w:type="dxa"/>
              <w:bottom w:w="60" w:type="dxa"/>
              <w:right w:w="100" w:type="dxa"/>
            </w:tcMar>
          </w:tcPr>
          <w:p w14:paraId="76668C2E" w14:textId="77777777" w:rsidR="00E95C32" w:rsidRDefault="00000000">
            <w:pPr>
              <w:jc w:val="center"/>
            </w:pPr>
            <w:r>
              <w:rPr>
                <w:rFonts w:ascii="Times New Roman" w:hAnsi="Times New Roman"/>
                <w:sz w:val="16"/>
              </w:rPr>
              <w:t>Max Drawdown</w:t>
            </w:r>
          </w:p>
        </w:tc>
        <w:tc>
          <w:tcPr>
            <w:tcW w:w="1152" w:type="dxa"/>
            <w:shd w:val="clear" w:color="auto" w:fill="F0F4F8"/>
            <w:tcMar>
              <w:top w:w="60" w:type="dxa"/>
              <w:left w:w="100" w:type="dxa"/>
              <w:bottom w:w="60" w:type="dxa"/>
              <w:right w:w="100" w:type="dxa"/>
            </w:tcMar>
          </w:tcPr>
          <w:p w14:paraId="571CA650" w14:textId="77777777" w:rsidR="00E95C32" w:rsidRDefault="00000000">
            <w:pPr>
              <w:jc w:val="center"/>
            </w:pPr>
            <w:r>
              <w:rPr>
                <w:rFonts w:ascii="Times New Roman" w:hAnsi="Times New Roman"/>
                <w:sz w:val="16"/>
              </w:rPr>
              <w:t>-52.81%</w:t>
            </w:r>
          </w:p>
        </w:tc>
        <w:tc>
          <w:tcPr>
            <w:tcW w:w="1152" w:type="dxa"/>
            <w:shd w:val="clear" w:color="auto" w:fill="F0F4F8"/>
            <w:tcMar>
              <w:top w:w="60" w:type="dxa"/>
              <w:left w:w="100" w:type="dxa"/>
              <w:bottom w:w="60" w:type="dxa"/>
              <w:right w:w="100" w:type="dxa"/>
            </w:tcMar>
          </w:tcPr>
          <w:p w14:paraId="01253098" w14:textId="77777777" w:rsidR="00E95C32" w:rsidRDefault="00000000">
            <w:pPr>
              <w:jc w:val="center"/>
            </w:pPr>
            <w:r>
              <w:rPr>
                <w:rFonts w:ascii="Times New Roman" w:hAnsi="Times New Roman"/>
                <w:sz w:val="16"/>
              </w:rPr>
              <w:t>-53.93%</w:t>
            </w:r>
          </w:p>
        </w:tc>
        <w:tc>
          <w:tcPr>
            <w:tcW w:w="1152" w:type="dxa"/>
            <w:shd w:val="clear" w:color="auto" w:fill="F0F4F8"/>
            <w:tcMar>
              <w:top w:w="60" w:type="dxa"/>
              <w:left w:w="100" w:type="dxa"/>
              <w:bottom w:w="60" w:type="dxa"/>
              <w:right w:w="100" w:type="dxa"/>
            </w:tcMar>
          </w:tcPr>
          <w:p w14:paraId="0AC5EF6B" w14:textId="77777777" w:rsidR="00E95C32" w:rsidRDefault="00000000">
            <w:pPr>
              <w:jc w:val="center"/>
            </w:pPr>
            <w:r>
              <w:rPr>
                <w:rFonts w:ascii="Times New Roman" w:hAnsi="Times New Roman"/>
                <w:sz w:val="16"/>
              </w:rPr>
              <w:t>1.121%</w:t>
            </w:r>
          </w:p>
        </w:tc>
      </w:tr>
      <w:tr w:rsidR="00E95C32" w14:paraId="5037D866" w14:textId="77777777">
        <w:trPr>
          <w:jc w:val="center"/>
        </w:trPr>
        <w:tc>
          <w:tcPr>
            <w:tcW w:w="2160" w:type="dxa"/>
            <w:tcMar>
              <w:top w:w="60" w:type="dxa"/>
              <w:left w:w="100" w:type="dxa"/>
              <w:bottom w:w="60" w:type="dxa"/>
              <w:right w:w="100" w:type="dxa"/>
            </w:tcMar>
          </w:tcPr>
          <w:p w14:paraId="21A1573F" w14:textId="77777777" w:rsidR="00E95C32" w:rsidRDefault="00000000">
            <w:pPr>
              <w:jc w:val="center"/>
            </w:pPr>
            <w:r>
              <w:rPr>
                <w:rFonts w:ascii="Times New Roman" w:hAnsi="Times New Roman"/>
                <w:sz w:val="16"/>
              </w:rPr>
              <w:t>Trade Count</w:t>
            </w:r>
          </w:p>
        </w:tc>
        <w:tc>
          <w:tcPr>
            <w:tcW w:w="1152" w:type="dxa"/>
            <w:tcMar>
              <w:top w:w="60" w:type="dxa"/>
              <w:left w:w="100" w:type="dxa"/>
              <w:bottom w:w="60" w:type="dxa"/>
              <w:right w:w="100" w:type="dxa"/>
            </w:tcMar>
          </w:tcPr>
          <w:p w14:paraId="459CD9F6" w14:textId="77777777" w:rsidR="00E95C32" w:rsidRDefault="00000000">
            <w:pPr>
              <w:jc w:val="center"/>
            </w:pPr>
            <w:r>
              <w:rPr>
                <w:rFonts w:ascii="Times New Roman" w:hAnsi="Times New Roman"/>
                <w:sz w:val="16"/>
              </w:rPr>
              <w:t>526</w:t>
            </w:r>
          </w:p>
        </w:tc>
        <w:tc>
          <w:tcPr>
            <w:tcW w:w="1152" w:type="dxa"/>
            <w:tcMar>
              <w:top w:w="60" w:type="dxa"/>
              <w:left w:w="100" w:type="dxa"/>
              <w:bottom w:w="60" w:type="dxa"/>
              <w:right w:w="100" w:type="dxa"/>
            </w:tcMar>
          </w:tcPr>
          <w:p w14:paraId="2D62968C" w14:textId="77777777" w:rsidR="00E95C32" w:rsidRDefault="00000000">
            <w:pPr>
              <w:jc w:val="center"/>
            </w:pPr>
            <w:r>
              <w:rPr>
                <w:rFonts w:ascii="Times New Roman" w:hAnsi="Times New Roman"/>
                <w:sz w:val="16"/>
              </w:rPr>
              <w:t>1339</w:t>
            </w:r>
          </w:p>
        </w:tc>
        <w:tc>
          <w:tcPr>
            <w:tcW w:w="1152" w:type="dxa"/>
            <w:tcMar>
              <w:top w:w="60" w:type="dxa"/>
              <w:left w:w="100" w:type="dxa"/>
              <w:bottom w:w="60" w:type="dxa"/>
              <w:right w:w="100" w:type="dxa"/>
            </w:tcMar>
          </w:tcPr>
          <w:p w14:paraId="3A364D14" w14:textId="77777777" w:rsidR="00E95C32" w:rsidRDefault="00000000">
            <w:pPr>
              <w:jc w:val="center"/>
            </w:pPr>
            <w:r>
              <w:rPr>
                <w:rFonts w:ascii="Times New Roman" w:hAnsi="Times New Roman"/>
                <w:sz w:val="16"/>
              </w:rPr>
              <w:t>-813</w:t>
            </w:r>
          </w:p>
        </w:tc>
      </w:tr>
      <w:tr w:rsidR="00E95C32" w14:paraId="0A3D4DCD" w14:textId="77777777">
        <w:trPr>
          <w:jc w:val="center"/>
        </w:trPr>
        <w:tc>
          <w:tcPr>
            <w:tcW w:w="2160" w:type="dxa"/>
            <w:shd w:val="clear" w:color="auto" w:fill="F0F4F8"/>
            <w:tcMar>
              <w:top w:w="60" w:type="dxa"/>
              <w:left w:w="100" w:type="dxa"/>
              <w:bottom w:w="60" w:type="dxa"/>
              <w:right w:w="100" w:type="dxa"/>
            </w:tcMar>
          </w:tcPr>
          <w:p w14:paraId="09759C9F" w14:textId="77777777" w:rsidR="00E95C32" w:rsidRDefault="00000000">
            <w:pPr>
              <w:jc w:val="center"/>
            </w:pPr>
            <w:r>
              <w:rPr>
                <w:rFonts w:ascii="Times New Roman" w:hAnsi="Times New Roman"/>
                <w:sz w:val="16"/>
              </w:rPr>
              <w:t>Equity Correlation</w:t>
            </w:r>
          </w:p>
        </w:tc>
        <w:tc>
          <w:tcPr>
            <w:tcW w:w="1152" w:type="dxa"/>
            <w:shd w:val="clear" w:color="auto" w:fill="F0F4F8"/>
            <w:tcMar>
              <w:top w:w="60" w:type="dxa"/>
              <w:left w:w="100" w:type="dxa"/>
              <w:bottom w:w="60" w:type="dxa"/>
              <w:right w:w="100" w:type="dxa"/>
            </w:tcMar>
          </w:tcPr>
          <w:p w14:paraId="000631E5" w14:textId="77777777" w:rsidR="00E95C32" w:rsidRDefault="00000000">
            <w:pPr>
              <w:jc w:val="center"/>
            </w:pPr>
            <w:r>
              <w:rPr>
                <w:rFonts w:ascii="Times New Roman" w:hAnsi="Times New Roman"/>
                <w:sz w:val="16"/>
              </w:rPr>
              <w:t>1.00000</w:t>
            </w:r>
          </w:p>
        </w:tc>
        <w:tc>
          <w:tcPr>
            <w:tcW w:w="1152" w:type="dxa"/>
            <w:shd w:val="clear" w:color="auto" w:fill="F0F4F8"/>
            <w:tcMar>
              <w:top w:w="60" w:type="dxa"/>
              <w:left w:w="100" w:type="dxa"/>
              <w:bottom w:w="60" w:type="dxa"/>
              <w:right w:w="100" w:type="dxa"/>
            </w:tcMar>
          </w:tcPr>
          <w:p w14:paraId="08B4BF2A" w14:textId="77777777" w:rsidR="00E95C32" w:rsidRDefault="00000000">
            <w:pPr>
              <w:jc w:val="center"/>
            </w:pPr>
            <w:r>
              <w:rPr>
                <w:rFonts w:ascii="Times New Roman" w:hAnsi="Times New Roman"/>
                <w:sz w:val="16"/>
              </w:rPr>
              <w:t>0.96612</w:t>
            </w:r>
          </w:p>
        </w:tc>
        <w:tc>
          <w:tcPr>
            <w:tcW w:w="1152" w:type="dxa"/>
            <w:shd w:val="clear" w:color="auto" w:fill="F0F4F8"/>
            <w:tcMar>
              <w:top w:w="60" w:type="dxa"/>
              <w:left w:w="100" w:type="dxa"/>
              <w:bottom w:w="60" w:type="dxa"/>
              <w:right w:w="100" w:type="dxa"/>
            </w:tcMar>
          </w:tcPr>
          <w:p w14:paraId="19165EBE" w14:textId="77777777" w:rsidR="00E95C32" w:rsidRDefault="00000000">
            <w:pPr>
              <w:jc w:val="center"/>
            </w:pPr>
            <w:r>
              <w:rPr>
                <w:rFonts w:ascii="Times New Roman" w:hAnsi="Times New Roman"/>
                <w:sz w:val="16"/>
              </w:rPr>
              <w:t>0.00000</w:t>
            </w:r>
          </w:p>
        </w:tc>
      </w:tr>
    </w:tbl>
    <w:p w14:paraId="1756877E" w14:textId="77777777" w:rsidR="001E452A" w:rsidRDefault="001E452A">
      <w:pPr>
        <w:spacing w:before="120" w:after="80" w:line="240" w:lineRule="auto"/>
        <w:jc w:val="center"/>
        <w:rPr>
          <w:rFonts w:ascii="Times New Roman" w:hAnsi="Times New Roman"/>
          <w:i/>
          <w:sz w:val="18"/>
        </w:rPr>
      </w:pPr>
    </w:p>
    <w:p w14:paraId="6CDE6A49" w14:textId="43044EF9" w:rsidR="00E95C32" w:rsidRDefault="00000000">
      <w:pPr>
        <w:spacing w:before="120" w:after="80" w:line="240" w:lineRule="auto"/>
        <w:jc w:val="center"/>
      </w:pPr>
      <w:r>
        <w:rPr>
          <w:rFonts w:ascii="Times New Roman" w:hAnsi="Times New Roman"/>
          <w:i/>
          <w:sz w:val="18"/>
        </w:rPr>
        <w:t>Fig. 2: Performance Plot for Proposal 1:</w:t>
      </w:r>
    </w:p>
    <w:p w14:paraId="2BA05EBC" w14:textId="77777777" w:rsidR="00E95C32" w:rsidRDefault="00000000">
      <w:r>
        <w:rPr>
          <w:noProof/>
        </w:rPr>
        <w:drawing>
          <wp:inline distT="0" distB="0" distL="0" distR="0" wp14:anchorId="03299143" wp14:editId="70F03BE8">
            <wp:extent cx="3340100" cy="16700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1_performance.png"/>
                    <pic:cNvPicPr/>
                  </pic:nvPicPr>
                  <pic:blipFill>
                    <a:blip r:embed="rId8"/>
                    <a:stretch>
                      <a:fillRect/>
                    </a:stretch>
                  </pic:blipFill>
                  <pic:spPr>
                    <a:xfrm>
                      <a:off x="0" y="0"/>
                      <a:ext cx="3340100" cy="1670050"/>
                    </a:xfrm>
                    <a:prstGeom prst="rect">
                      <a:avLst/>
                    </a:prstGeom>
                  </pic:spPr>
                </pic:pic>
              </a:graphicData>
            </a:graphic>
          </wp:inline>
        </w:drawing>
      </w:r>
    </w:p>
    <w:p w14:paraId="425F2F6F" w14:textId="77777777" w:rsidR="00E95C32" w:rsidRDefault="00000000">
      <w:pPr>
        <w:spacing w:before="240" w:after="120" w:line="240" w:lineRule="auto"/>
        <w:jc w:val="center"/>
      </w:pPr>
      <w:r>
        <w:rPr>
          <w:rFonts w:ascii="Times New Roman" w:hAnsi="Times New Roman"/>
          <w:b/>
          <w:sz w:val="20"/>
        </w:rPr>
        <w:t>VI. CONCLUSION AND FUTURE WORK</w:t>
      </w:r>
    </w:p>
    <w:p w14:paraId="58AB86B2" w14:textId="77777777" w:rsidR="00E95C32" w:rsidRDefault="00000000">
      <w:pPr>
        <w:spacing w:before="120" w:after="80" w:line="240" w:lineRule="auto"/>
        <w:jc w:val="both"/>
      </w:pPr>
      <w:r>
        <w:rPr>
          <w:rFonts w:ascii="Times New Roman" w:hAnsi="Times New Roman"/>
          <w:b/>
          <w:i/>
          <w:sz w:val="20"/>
        </w:rPr>
        <w:t>A. Key Findings</w:t>
      </w:r>
    </w:p>
    <w:p w14:paraId="475B3E8B" w14:textId="77777777" w:rsidR="00E95C32" w:rsidRDefault="00000000">
      <w:pPr>
        <w:spacing w:after="80" w:line="240" w:lineRule="auto"/>
        <w:jc w:val="both"/>
      </w:pPr>
      <w:r>
        <w:rPr>
          <w:rFonts w:ascii="Times New Roman" w:hAnsi="Times New Roman"/>
          <w:sz w:val="20"/>
        </w:rPr>
        <w:t>We successfully implement and verify a walk-forward LightGBM directional model on cryptocurrency perpetual futures. The reconciliation confirms engine equivalence. However, transaction costs heavily impact performance, showing that low-turnover execution rules are required to preserve alpha.</w:t>
      </w:r>
    </w:p>
    <w:p w14:paraId="127B3935" w14:textId="77777777" w:rsidR="00E95C32" w:rsidRDefault="00000000">
      <w:pPr>
        <w:spacing w:before="120" w:after="80" w:line="240" w:lineRule="auto"/>
        <w:jc w:val="both"/>
      </w:pPr>
      <w:r>
        <w:rPr>
          <w:rFonts w:ascii="Times New Roman" w:hAnsi="Times New Roman"/>
          <w:b/>
          <w:i/>
          <w:sz w:val="20"/>
        </w:rPr>
        <w:t>B. Future Extensions</w:t>
      </w:r>
    </w:p>
    <w:p w14:paraId="1C4E7083" w14:textId="77777777" w:rsidR="00E95C32" w:rsidRDefault="00000000">
      <w:pPr>
        <w:spacing w:after="80" w:line="240" w:lineRule="auto"/>
        <w:jc w:val="both"/>
      </w:pPr>
      <w:r>
        <w:rPr>
          <w:rFonts w:ascii="Times New Roman" w:hAnsi="Times New Roman"/>
          <w:sz w:val="20"/>
        </w:rPr>
        <w:t>Future work will explore threshold-based execution and regime-filtering models to reduce trading frequency. We will also test multi-target modeling to predict volatility alongside directional returns, optimizing position weights dynamically.</w:t>
      </w:r>
    </w:p>
    <w:p w14:paraId="67BAC7FE" w14:textId="77777777" w:rsidR="001E452A" w:rsidRDefault="001E452A">
      <w:pPr>
        <w:spacing w:before="240" w:after="120" w:line="240" w:lineRule="auto"/>
        <w:jc w:val="center"/>
        <w:rPr>
          <w:rFonts w:ascii="Times New Roman" w:hAnsi="Times New Roman"/>
          <w:b/>
          <w:sz w:val="20"/>
        </w:rPr>
      </w:pPr>
    </w:p>
    <w:p w14:paraId="165ABA3D" w14:textId="77777777" w:rsidR="001E452A" w:rsidRDefault="001E452A">
      <w:pPr>
        <w:spacing w:before="240" w:after="120" w:line="240" w:lineRule="auto"/>
        <w:jc w:val="center"/>
        <w:rPr>
          <w:rFonts w:ascii="Times New Roman" w:hAnsi="Times New Roman"/>
          <w:b/>
          <w:sz w:val="20"/>
        </w:rPr>
      </w:pPr>
    </w:p>
    <w:p w14:paraId="016962EA" w14:textId="77777777" w:rsidR="001E452A" w:rsidRDefault="001E452A">
      <w:pPr>
        <w:spacing w:before="240" w:after="120" w:line="240" w:lineRule="auto"/>
        <w:jc w:val="center"/>
        <w:rPr>
          <w:rFonts w:ascii="Times New Roman" w:hAnsi="Times New Roman"/>
          <w:b/>
          <w:sz w:val="20"/>
        </w:rPr>
      </w:pPr>
    </w:p>
    <w:p w14:paraId="083F054B" w14:textId="31A77CBE" w:rsidR="00E95C32" w:rsidRDefault="00000000">
      <w:pPr>
        <w:spacing w:before="240" w:after="120" w:line="240" w:lineRule="auto"/>
        <w:jc w:val="center"/>
      </w:pPr>
      <w:r>
        <w:rPr>
          <w:rFonts w:ascii="Times New Roman" w:hAnsi="Times New Roman"/>
          <w:b/>
          <w:sz w:val="20"/>
        </w:rPr>
        <w:t>REFERENCES</w:t>
      </w:r>
    </w:p>
    <w:p w14:paraId="74BACE75" w14:textId="77777777" w:rsidR="00E95C32" w:rsidRDefault="00000000">
      <w:pPr>
        <w:pStyle w:val="ListBullet"/>
        <w:spacing w:after="80" w:line="240" w:lineRule="auto"/>
        <w:jc w:val="both"/>
      </w:pPr>
      <w:r>
        <w:rPr>
          <w:rFonts w:ascii="Times New Roman" w:hAnsi="Times New Roman"/>
          <w:sz w:val="16"/>
        </w:rPr>
        <w:t>[1] G. Ke et al., "LightGBM: A Highly Efficient Light Gradient Boosting Decision Tree," in Advances in Neural Information Processing Systems, 2017, pp. 3146-3154.</w:t>
      </w:r>
    </w:p>
    <w:p w14:paraId="3D8F51E5" w14:textId="77777777" w:rsidR="00E95C32" w:rsidRDefault="00000000">
      <w:pPr>
        <w:pStyle w:val="ListBullet"/>
        <w:spacing w:after="80" w:line="240" w:lineRule="auto"/>
        <w:jc w:val="both"/>
      </w:pPr>
      <w:r>
        <w:rPr>
          <w:rFonts w:ascii="Times New Roman" w:hAnsi="Times New Roman"/>
          <w:sz w:val="16"/>
        </w:rPr>
        <w:t>[2] M. López de Prado, Advances in Financial Machine Learning. John Wiley &amp; Sons, 2018.</w:t>
      </w:r>
    </w:p>
    <w:p w14:paraId="3E458D8A" w14:textId="77777777" w:rsidR="00E95C32" w:rsidRDefault="00000000">
      <w:pPr>
        <w:pStyle w:val="ListBullet"/>
        <w:spacing w:after="80" w:line="240" w:lineRule="auto"/>
        <w:jc w:val="both"/>
      </w:pPr>
      <w:r>
        <w:rPr>
          <w:rFonts w:ascii="Times New Roman" w:hAnsi="Times New Roman"/>
          <w:sz w:val="16"/>
        </w:rPr>
        <w:t>[3] D. H. Bailey and M. López de Prado, "The Deflated Sharpe Ratio: Correcting for Selection Bias, Backtest Overfitting and Non-Normality," Journal of Portfolio Management, 2014.</w:t>
      </w:r>
    </w:p>
    <w:p w14:paraId="0D53CEB0" w14:textId="77777777" w:rsidR="00E95C32" w:rsidRDefault="00000000">
      <w:pPr>
        <w:pStyle w:val="ListBullet"/>
        <w:spacing w:after="80" w:line="240" w:lineRule="auto"/>
        <w:jc w:val="both"/>
      </w:pPr>
      <w:r>
        <w:rPr>
          <w:rFonts w:ascii="Times New Roman" w:hAnsi="Times New Roman"/>
          <w:sz w:val="16"/>
        </w:rPr>
        <w:t>[4] C. Krauss et al., "Deep neural networks, gradient-boosted trees, and random forests for ETF return predictions," Quantitative Finance, 2017.</w:t>
      </w:r>
    </w:p>
    <w:p w14:paraId="632CEA76" w14:textId="77777777" w:rsidR="00E95C32" w:rsidRDefault="00000000">
      <w:pPr>
        <w:pStyle w:val="ListBullet"/>
        <w:spacing w:after="80" w:line="240" w:lineRule="auto"/>
        <w:jc w:val="both"/>
      </w:pPr>
      <w:r>
        <w:rPr>
          <w:rFonts w:ascii="Times New Roman" w:hAnsi="Times New Roman"/>
          <w:sz w:val="16"/>
        </w:rPr>
        <w:t>[5] T. Fischer and C. Krauss, "Deep learning with long short-term memory networks for financial market predictions," European Journal of Operational Research, 2018.</w:t>
      </w:r>
    </w:p>
    <w:p w14:paraId="4D2B975E" w14:textId="77777777" w:rsidR="00E95C32" w:rsidRDefault="00000000">
      <w:pPr>
        <w:pStyle w:val="ListBullet"/>
        <w:spacing w:after="80" w:line="240" w:lineRule="auto"/>
        <w:jc w:val="both"/>
      </w:pPr>
      <w:r>
        <w:rPr>
          <w:rFonts w:ascii="Times New Roman" w:hAnsi="Times New Roman"/>
          <w:sz w:val="16"/>
        </w:rPr>
        <w:t>[6] F. Chaim and M. Laurini, "Is Bitcoin a safe haven or a hedging tool? A study of cryptocurrency volatility," Finance Research Letters, 2018.</w:t>
      </w:r>
    </w:p>
    <w:p w14:paraId="1C5ADD92" w14:textId="77777777" w:rsidR="00E95C32" w:rsidRDefault="00000000">
      <w:pPr>
        <w:pStyle w:val="ListBullet"/>
        <w:spacing w:after="80" w:line="240" w:lineRule="auto"/>
        <w:jc w:val="both"/>
      </w:pPr>
      <w:r>
        <w:rPr>
          <w:rFonts w:ascii="Times New Roman" w:hAnsi="Times New Roman"/>
          <w:sz w:val="16"/>
        </w:rPr>
        <w:t>[7] E. Bouri et al., "Co-explosivity in the cryptocurrency market," Finance Research Letters, 2019.</w:t>
      </w:r>
    </w:p>
    <w:p w14:paraId="64F2FD82" w14:textId="77777777" w:rsidR="00E95C32" w:rsidRDefault="00000000">
      <w:pPr>
        <w:pStyle w:val="ListBullet"/>
        <w:spacing w:after="80" w:line="240" w:lineRule="auto"/>
        <w:jc w:val="both"/>
      </w:pPr>
      <w:r>
        <w:rPr>
          <w:rFonts w:ascii="Times New Roman" w:hAnsi="Times New Roman"/>
          <w:sz w:val="16"/>
        </w:rPr>
        <w:t>[8] C. Alexander and A. Dakos, "Funding rates and market efficiency in crypto perpetual futures," Journal of Futures Markets, 2020.</w:t>
      </w:r>
    </w:p>
    <w:p w14:paraId="58F44B67" w14:textId="77777777" w:rsidR="00E95C32" w:rsidRDefault="00000000">
      <w:pPr>
        <w:pStyle w:val="ListBullet"/>
        <w:spacing w:after="80" w:line="240" w:lineRule="auto"/>
        <w:jc w:val="both"/>
      </w:pPr>
      <w:r>
        <w:rPr>
          <w:rFonts w:ascii="Times New Roman" w:hAnsi="Times New Roman"/>
          <w:sz w:val="16"/>
        </w:rPr>
        <w:t>[9] D. H. Bailey and M. López de Prado, "The Sharpe Ratio Efficient Frontier," Journal of Risk, 2012.</w:t>
      </w:r>
    </w:p>
    <w:p w14:paraId="2EFD8CD4" w14:textId="77777777" w:rsidR="00E95C32" w:rsidRDefault="00000000">
      <w:pPr>
        <w:pStyle w:val="ListBullet"/>
        <w:spacing w:after="80" w:line="240" w:lineRule="auto"/>
        <w:jc w:val="both"/>
      </w:pPr>
      <w:r>
        <w:rPr>
          <w:rFonts w:ascii="Times New Roman" w:hAnsi="Times New Roman"/>
          <w:sz w:val="16"/>
        </w:rPr>
        <w:t>[10] T. Fischer and C. Krauss, "Comparing deep learning with traditional statistical methods in statistical arbitrage," Quantitative Finance, 2018.</w:t>
      </w:r>
    </w:p>
    <w:sectPr w:rsidR="00E95C32" w:rsidSect="00034616">
      <w:type w:val="continuous"/>
      <w:pgSz w:w="12240" w:h="15840"/>
      <w:pgMar w:top="900" w:right="900" w:bottom="90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907921">
    <w:abstractNumId w:val="8"/>
  </w:num>
  <w:num w:numId="2" w16cid:durableId="103696658">
    <w:abstractNumId w:val="6"/>
  </w:num>
  <w:num w:numId="3" w16cid:durableId="1494756042">
    <w:abstractNumId w:val="5"/>
  </w:num>
  <w:num w:numId="4" w16cid:durableId="845949257">
    <w:abstractNumId w:val="4"/>
  </w:num>
  <w:num w:numId="5" w16cid:durableId="1083525690">
    <w:abstractNumId w:val="7"/>
  </w:num>
  <w:num w:numId="6" w16cid:durableId="827480532">
    <w:abstractNumId w:val="3"/>
  </w:num>
  <w:num w:numId="7" w16cid:durableId="1554386543">
    <w:abstractNumId w:val="2"/>
  </w:num>
  <w:num w:numId="8" w16cid:durableId="1897858016">
    <w:abstractNumId w:val="1"/>
  </w:num>
  <w:num w:numId="9" w16cid:durableId="321472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DCF"/>
    <w:rsid w:val="0015074B"/>
    <w:rsid w:val="00186AA9"/>
    <w:rsid w:val="0019186D"/>
    <w:rsid w:val="001E452A"/>
    <w:rsid w:val="0029639D"/>
    <w:rsid w:val="00326F90"/>
    <w:rsid w:val="0041742F"/>
    <w:rsid w:val="007665E5"/>
    <w:rsid w:val="00A03D24"/>
    <w:rsid w:val="00AA1D8D"/>
    <w:rsid w:val="00B47730"/>
    <w:rsid w:val="00CB0664"/>
    <w:rsid w:val="00E95C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AE408"/>
  <w14:defaultImageDpi w14:val="300"/>
  <w15:docId w15:val="{15F17566-5D10-427B-A0C0-47FCFAD11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E7DCF"/>
    <w:rPr>
      <w:color w:val="0000FF" w:themeColor="hyperlink"/>
      <w:u w:val="single"/>
    </w:rPr>
  </w:style>
  <w:style w:type="character" w:styleId="UnresolvedMention">
    <w:name w:val="Unresolved Mention"/>
    <w:basedOn w:val="DefaultParagraphFont"/>
    <w:uiPriority w:val="99"/>
    <w:semiHidden/>
    <w:unhideWhenUsed/>
    <w:rsid w:val="000E7D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iaschawak@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1871</Words>
  <Characters>10670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 Chawak</cp:lastModifiedBy>
  <cp:revision>6</cp:revision>
  <dcterms:created xsi:type="dcterms:W3CDTF">2013-12-23T23:15:00Z</dcterms:created>
  <dcterms:modified xsi:type="dcterms:W3CDTF">2026-07-24T07:27:00Z</dcterms:modified>
  <cp:category/>
</cp:coreProperties>
</file>