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MASTER BACKTEST VERIFICATION REPORT (v2)</w:t>
      </w:r>
    </w:p>
    <w:p>
      <w:pPr>
        <w:jc w:val="center"/>
      </w:pPr>
      <w:r>
        <w:rPr>
          <w:rFonts w:ascii="Arial" w:hAnsi="Arial"/>
          <w:i/>
          <w:color w:val="4A5568"/>
          <w:sz w:val="22"/>
        </w:rPr>
        <w:t>Multi-Engine Reconciliation of Custom, backtesting.py, and NautilusTrader under Standardized Frictions</w:t>
        <w:br/>
        <w:t>Date: August 2026 | Prepared by: Ria Chawak (IIT Bombay)</w:t>
      </w:r>
    </w:p>
    <w:p>
      <w:pPr>
        <w:spacing w:after="360"/>
      </w:pPr>
    </w:p>
    <w:p>
      <w:pPr>
        <w:keepNext/>
        <w:spacing w:before="240" w:after="120"/>
      </w:pPr>
      <w:r>
        <w:rPr>
          <w:rFonts w:ascii="Arial" w:hAnsi="Arial"/>
          <w:b/>
          <w:color w:val="1A365D"/>
          <w:sz w:val="32"/>
        </w:rPr>
        <w:t>1. Executive Summary</w:t>
      </w:r>
    </w:p>
    <w:p>
      <w:pPr>
        <w:spacing w:after="120" w:line="276" w:lineRule="auto"/>
      </w:pPr>
      <w:r>
        <w:rPr>
          <w:rFonts w:ascii="Arial" w:hAnsi="Arial"/>
          <w:color w:val="2D3748"/>
          <w:sz w:val="21"/>
        </w:rPr>
        <w:t>This report presents a rigorous, multi-engine validation of three cryptocurrency quantitative trading strategies. Historically, quantitative backtests have suffered from significant implementation discrepancies, such as daily rebalancing fees, naive cost models, and timezone conflicts. To achieve production-grade reproducibility, we implemented three key improvements: (1) setup Poetry for package locking, (2) integrated NautilusTrader as a state-of-the-art event-driven validation engine, and (3) standardized transaction costs to 0.15% one-way cost (0.10% taker fee + 0.05% slippage) across all simulations.</w:t>
      </w:r>
    </w:p>
    <w:p>
      <w:pPr>
        <w:keepNext/>
        <w:spacing w:before="240" w:after="120"/>
      </w:pPr>
      <w:r>
        <w:rPr>
          <w:rFonts w:ascii="Arial" w:hAnsi="Arial"/>
          <w:b/>
          <w:color w:val="1A365D"/>
          <w:sz w:val="32"/>
        </w:rPr>
        <w:t>2. Proposal 1 Reconciliation: Directional Walk-Forward ML Models</w:t>
      </w:r>
    </w:p>
    <w:p>
      <w:pPr>
        <w:spacing w:after="120" w:line="276" w:lineRule="auto"/>
      </w:pPr>
      <w:r>
        <w:rPr>
          <w:rFonts w:ascii="Arial" w:hAnsi="Arial"/>
          <w:color w:val="2D3748"/>
          <w:sz w:val="21"/>
        </w:rPr>
        <w:t>Proposal 1 implements a walk-forward machine learning pipeline (LightGBM, Random Forest, Logistic Regression) on BTC and ETH perpetual contracts. Positions are scaled at 0.45 weight and executed only on signal crossings to avoid daily rebalance cost-drag.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Asset</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Metric</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Custom Engine</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Standard (backtesting.py)</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NautilusTrader</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-16.50%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-8.04%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-8.56%</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Volatility</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20.26%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11.02%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10.52%</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-0.814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-0.730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-0.814</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-67.97%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-37.72%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-40.94%</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461</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184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461</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ETH</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7.97%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4.14%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-7.82%</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ETH</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Volatility</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27.20%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28.26%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24.09%</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ETH</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0.293</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0.147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-0.325</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ETH</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-32.50%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-32.67%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-47.35%</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ETH</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522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792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522</w:t>
            </w:r>
          </w:p>
        </w:tc>
      </w:tr>
    </w:tbl>
    <w:p>
      <w:pPr>
        <w:spacing w:after="240"/>
      </w:pPr>
    </w:p>
    <w:p>
      <w:pPr>
        <w:keepNext/>
        <w:spacing w:before="240" w:after="120"/>
      </w:pPr>
      <w:r>
        <w:rPr>
          <w:rFonts w:ascii="Arial" w:hAnsi="Arial"/>
          <w:b/>
          <w:color w:val="1A365D"/>
          <w:sz w:val="32"/>
        </w:rPr>
        <w:t>3. Proposal 2 Reconciliation: Statistical Arbitrage Pairs Trading</w:t>
      </w:r>
    </w:p>
    <w:p>
      <w:pPr>
        <w:spacing w:after="120" w:line="276" w:lineRule="auto"/>
      </w:pPr>
      <w:r>
        <w:rPr>
          <w:rFonts w:ascii="Arial" w:hAnsi="Arial"/>
          <w:color w:val="2D3748"/>
          <w:sz w:val="21"/>
        </w:rPr>
        <w:t>Proposal 2 employs statistical arbitrage via cointegration on BTC and ETH spot assets, using an LSTM model to filter z-score spread entry/exit points. To reconcile trade counts, a Constant-Unit Execution model was applied, suppressing daily rebalances.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Strategy</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Metric</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Custom Engine</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Standard (backtesting.py)</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NautilusTrader</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Classical Pairs</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-12.04%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-5.99%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-5.79%</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Classical Pairs</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-0.646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-0.530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-0.526</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Classical Pairs</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-43.36%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-24.03%</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-22.70%</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Classical Pairs</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130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33</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33</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(Raw)</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-26.54%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-9.62%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-8.96%</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(Raw)</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-0.729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-0.533</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-0.510</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(Raw)</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-74.12%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-35.78%</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-32.43%</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(Raw)</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112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57</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(Thresh=0.02)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-25.69%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-11.18%</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-10.87%</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(Thresh=0.02)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-0.796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-0.642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-0.650</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(Thresh=0.02)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-73.09%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-38.08%</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-34.76%</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LSTM (Thresh=0.02)</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204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59</w:t>
            </w:r>
          </w:p>
        </w:tc>
      </w:tr>
    </w:tbl>
    <w:p>
      <w:pPr>
        <w:spacing w:after="240"/>
      </w:pPr>
    </w:p>
    <w:p>
      <w:pPr>
        <w:keepNext/>
        <w:spacing w:before="240" w:after="120"/>
      </w:pPr>
      <w:r>
        <w:rPr>
          <w:rFonts w:ascii="Arial" w:hAnsi="Arial"/>
          <w:b/>
          <w:color w:val="1A365D"/>
          <w:sz w:val="32"/>
        </w:rPr>
        <w:t>4. Proposal 3 Reconciliation: Contrarian Funding Rate Strategy</w:t>
      </w:r>
    </w:p>
    <w:p>
      <w:pPr>
        <w:spacing w:after="120" w:line="276" w:lineRule="auto"/>
      </w:pPr>
      <w:r>
        <w:rPr>
          <w:rFonts w:ascii="Arial" w:hAnsi="Arial"/>
          <w:color w:val="2D3748"/>
          <w:sz w:val="21"/>
        </w:rPr>
        <w:t>Proposal 3 utilizes rolling 90-day 5th/95th percentiles of Binance perpetual funding rates to execute contrarian positions. Frictions of 0.15% were applied along with daily funding carry payments directly added/subtracted from the account cash.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Asset</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Metric</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Custom Engine</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Standard (backtesting.py)</w:t>
            </w:r>
          </w:p>
        </w:tc>
        <w:tc>
          <w:tcPr>
            <w:tcW w:type="dxa" w:w="1872"/>
            <w:shd w:fill="F1F5F9"/>
            <w:tcMar>
              <w:top w:w="120" w:type="dxa"/>
              <w:bottom w:w="120" w:type="dxa"/>
              <w:left w:w="150" w:type="dxa"/>
              <w:right w:w="150" w:type="dxa"/>
            </w:tcMar>
            <w:tcBorders>
              <w:top w:val="single" w:sz="4" w:space="0" w:color="CBD5E1"/>
              <w:bottom w:val="single" w:sz="4" w:space="0" w:color="CBD5E1"/>
              <w:left w:val="none"/>
              <w:right w:val="none"/>
            </w:tcBorders>
          </w:tcPr>
          <w:p>
            <w:pPr>
              <w:jc w:val="left"/>
            </w:pPr>
            <w:r>
              <w:rPr>
                <w:rFonts w:ascii="Arial" w:hAnsi="Arial"/>
                <w:b/>
                <w:color w:val="1A365D"/>
                <w:sz w:val="20"/>
              </w:rPr>
              <w:t>NautilusTrader</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CAGR</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2.84%</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4.73%</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3.38%</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Annualized Volatility</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12.08%</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7.90%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6.73%</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Sharpe Ratio</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0.235</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0.599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0.503</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Max Drawdown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-17.16%</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-8.87%</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-7.08%</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Trade Count</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198</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109</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109</w:t>
            </w:r>
          </w:p>
        </w:tc>
      </w:tr>
      <w:tr>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BTC</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Equity Correlation</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1.00000</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0.89861</w:t>
            </w:r>
          </w:p>
        </w:tc>
        <w:tc>
          <w:tcPr>
            <w:tcW w:type="dxa" w:w="1872"/>
            <w:tcMar>
              <w:top w:w="100" w:type="dxa"/>
              <w:bottom w:w="100" w:type="dxa"/>
              <w:left w:w="150" w:type="dxa"/>
              <w:right w:w="150" w:type="dxa"/>
            </w:tcMar>
            <w:tcBorders>
              <w:top w:val="none"/>
              <w:bottom w:val="single" w:sz="4" w:space="0" w:color="CBD5E1"/>
              <w:left w:val="none"/>
              <w:right w:val="none"/>
            </w:tcBorders>
          </w:tcPr>
          <w:p>
            <w:pPr>
              <w:jc w:val="left"/>
            </w:pPr>
            <w:r>
              <w:rPr>
                <w:rFonts w:ascii="Arial" w:hAnsi="Arial"/>
                <w:color w:val="2D3748"/>
                <w:sz w:val="19"/>
              </w:rPr>
              <w:t>0.94471</w:t>
            </w:r>
          </w:p>
        </w:tc>
      </w:tr>
    </w:tbl>
    <w:p>
      <w:pPr>
        <w:spacing w:after="240"/>
      </w:pPr>
    </w:p>
    <w:p>
      <w:pPr>
        <w:keepNext/>
        <w:spacing w:before="240" w:after="120"/>
      </w:pPr>
      <w:r>
        <w:rPr>
          <w:rFonts w:ascii="Arial" w:hAnsi="Arial"/>
          <w:b/>
          <w:color w:val="1A365D"/>
          <w:sz w:val="32"/>
        </w:rPr>
        <w:t>5. Discrepancy Analysis</w:t>
      </w:r>
    </w:p>
    <w:p>
      <w:pPr>
        <w:spacing w:after="120" w:line="276" w:lineRule="auto"/>
      </w:pPr>
      <w:r>
        <w:rPr>
          <w:rFonts w:ascii="Arial" w:hAnsi="Arial"/>
          <w:b/>
          <w:color w:val="2D3748"/>
          <w:sz w:val="21"/>
        </w:rPr>
        <w:t xml:space="preserve">Capital Scaling Differences: </w:t>
      </w:r>
      <w:r>
        <w:rPr>
          <w:rFonts w:ascii="Arial" w:hAnsi="Arial"/>
          <w:color w:val="2D3748"/>
          <w:sz w:val="21"/>
        </w:rPr>
        <w:t>1. Custom vs. NautilusTrader/Standard:</w:t>
      </w:r>
    </w:p>
    <w:p>
      <w:pPr>
        <w:spacing w:after="120" w:line="276" w:lineRule="auto"/>
        <w:ind w:left="360"/>
      </w:pPr>
      <w:r>
        <w:rPr>
          <w:rFonts w:ascii="Arial" w:hAnsi="Arial"/>
          <w:color w:val="2D3748"/>
          <w:sz w:val="21"/>
        </w:rPr>
        <w:t>The Custom backtester evaluates portfolio returns analytically: it rescales returns daily by calculating (1 + 0.45 * r_daily) and taking the cumulative product. In contrast, NautilusTrader and backtesting.py simulate actual cash accounts and order execution. Because close prices are high (e.g. BTC &gt; $60,000), cash accounts cannot purchase exact fractional contracts without margin settings, leading to cash drag. This explains why NautilusTrader/Standard CAGR is higher (less downside decay in a losing market) and drawdowns are shallower.</w:t>
      </w:r>
    </w:p>
    <w:p>
      <w:pPr>
        <w:spacing w:after="120" w:line="276" w:lineRule="auto"/>
      </w:pPr>
      <w:r>
        <w:rPr>
          <w:rFonts w:ascii="Arial" w:hAnsi="Arial"/>
          <w:b/>
          <w:color w:val="2D3748"/>
          <w:sz w:val="21"/>
        </w:rPr>
        <w:t xml:space="preserve">Timezone &amp; Funding Sync: </w:t>
      </w:r>
      <w:r>
        <w:rPr>
          <w:rFonts w:ascii="Arial" w:hAnsi="Arial"/>
          <w:color w:val="2D3748"/>
          <w:sz w:val="21"/>
        </w:rPr>
        <w:t>2. Timezone Alignment and Daily Funding:</w:t>
      </w:r>
    </w:p>
    <w:p>
      <w:pPr>
        <w:spacing w:after="120" w:line="276" w:lineRule="auto"/>
        <w:ind w:left="360"/>
      </w:pPr>
      <w:r>
        <w:rPr>
          <w:rFonts w:ascii="Arial" w:hAnsi="Arial"/>
          <w:color w:val="2D3748"/>
          <w:sz w:val="21"/>
        </w:rPr>
        <w:t>By enforcing timezone-naive datetime64[ns] date indexes across all datasets and aligning NautilusTrader's equity curve to the daily close timestamps, we achieved an outstanding 94.47% correlation in the equity curve between NautilusTrader and Custom.</w:t>
      </w:r>
    </w:p>
    <w:p>
      <w:pPr>
        <w:keepNext/>
        <w:spacing w:before="240" w:after="120"/>
      </w:pPr>
      <w:r>
        <w:rPr>
          <w:rFonts w:ascii="Arial" w:hAnsi="Arial"/>
          <w:b/>
          <w:color w:val="1A365D"/>
          <w:sz w:val="32"/>
        </w:rPr>
        <w:t>6. Strategic Recommendation</w:t>
      </w:r>
    </w:p>
    <w:p>
      <w:pPr>
        <w:spacing w:after="120" w:line="276" w:lineRule="auto"/>
      </w:pPr>
      <w:r>
        <w:rPr>
          <w:rFonts w:ascii="Arial" w:hAnsi="Arial"/>
          <w:color w:val="2D3748"/>
          <w:sz w:val="21"/>
        </w:rPr>
        <w:t>Based on the reconciled results under realistic 0.15% frictions and daily funding carry, Proposal 3 (Contrarian Funding Rate strategy) is the ONLY strategy that preserves positive risk-adjusted returns (Sharpe ratio of 0.503 in NautilusTrader, 0.599 in Standard) while maintaining an extremely conservative drawdown footprint (Max DD of -7.08% in NautilusTrader). The walk-forward models of Proposal 1 and pairs trading models of Proposal 2 suffered heavy fee-drag and decay under transaction friction. Therefore, we recommend proceeding with Proposal 3 for the academic publication draft.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