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color w:val="595959"/>
          <w:sz w:val="20"/>
          <w:szCs w:val="20"/>
        </w:rPr>
        <w:t xml:space="preserve">République Algérienne Démocratique et Populaire</w:t>
      </w:r>
    </w:p>
    <w:p>
      <w:pPr>
        <w:spacing w:after="200" w:before="0"/>
        <w:jc w:val="center"/>
      </w:pPr>
      <w:r>
        <w:rPr>
          <w:rFonts w:ascii="Arial" w:cs="Arial" w:eastAsia="Arial" w:hAnsi="Arial"/>
          <w:b/>
          <w:bCs/>
          <w:color w:val="1F4E79"/>
          <w:sz w:val="20"/>
          <w:szCs w:val="20"/>
        </w:rPr>
        <w:t xml:space="preserve">Université des Sciences et de la Technologie Houari Boumediene (USTHB)</w:t>
      </w:r>
    </w:p>
    <w:p>
      <w:pPr>
        <w:spacing w:after="600" w:before="0"/>
        <w:jc w:val="center"/>
      </w:pPr>
      <w:r>
        <w:rPr>
          <w:rFonts w:ascii="Arial" w:cs="Arial" w:eastAsia="Arial" w:hAnsi="Arial"/>
          <w:color w:val="595959"/>
          <w:sz w:val="20"/>
          <w:szCs w:val="20"/>
        </w:rPr>
        <w:t xml:space="preserve">Faculté d'Informatique — Département Intelligence Artificielle</w:t>
      </w:r>
    </w:p>
    <w:p>
      <w:pPr>
        <w:pBdr>
          <w:bottom w:val="single" w:color="2E75B6" w:sz="6" w:space="1"/>
        </w:pBdr>
        <w:spacing w:after="160" w:before="80"/>
      </w:pPr>
    </w:p>
    <w:p>
      <w:pPr>
        <w:spacing w:after="200" w:before="400"/>
        <w:jc w:val="center"/>
      </w:pPr>
      <w:r>
        <w:rPr>
          <w:rFonts w:ascii="Arial" w:cs="Arial" w:eastAsia="Arial" w:hAnsi="Arial"/>
          <w:b/>
          <w:bCs/>
          <w:color w:val="2E75B6"/>
          <w:sz w:val="26"/>
          <w:szCs w:val="26"/>
        </w:rPr>
        <w:t xml:space="preserve">Mini-Projet</w:t>
      </w:r>
    </w:p>
    <w:p>
      <w:pPr>
        <w:spacing w:after="600" w:before="0"/>
        <w:jc w:val="center"/>
      </w:pPr>
      <w:r>
        <w:rPr>
          <w:rFonts w:ascii="Arial" w:cs="Arial" w:eastAsia="Arial" w:hAnsi="Arial"/>
          <w:b/>
          <w:bCs/>
          <w:color w:val="1F4E79"/>
          <w:sz w:val="36"/>
          <w:szCs w:val="36"/>
        </w:rPr>
        <w:t xml:space="preserve">Systèmes Multi-Agents &amp; Planification</w:t>
      </w:r>
    </w:p>
    <w:p>
      <w:pPr>
        <w:pBdr>
          <w:bottom w:val="single" w:color="2E75B6" w:sz="6" w:space="1"/>
        </w:pBdr>
        <w:spacing w:after="160" w:before="80"/>
      </w:pPr>
    </w:p>
    <w:p>
      <w:pPr>
        <w:spacing w:after="120" w:before="400"/>
        <w:jc w:val="center"/>
      </w:pPr>
      <w:r>
        <w:rPr>
          <w:rFonts w:ascii="Arial" w:cs="Arial" w:eastAsia="Arial" w:hAnsi="Arial"/>
          <w:color w:val="404040"/>
          <w:sz w:val="24"/>
          <w:szCs w:val="24"/>
        </w:rPr>
        <w:t xml:space="preserve">Module : Technologies des Agents</w:t>
      </w:r>
    </w:p>
    <w:p>
      <w:pPr>
        <w:spacing w:after="120" w:before="0"/>
        <w:jc w:val="center"/>
      </w:pPr>
      <w:r>
        <w:rPr>
          <w:rFonts w:ascii="Arial" w:cs="Arial" w:eastAsia="Arial" w:hAnsi="Arial"/>
          <w:color w:val="404040"/>
          <w:sz w:val="24"/>
          <w:szCs w:val="24"/>
        </w:rPr>
        <w:t xml:space="preserve">Enseignante : Prof. B. Dellal-Hedjazi</w:t>
      </w:r>
    </w:p>
    <w:p>
      <w:pPr>
        <w:spacing w:after="120" w:before="0"/>
        <w:jc w:val="center"/>
      </w:pPr>
      <w:r>
        <w:rPr>
          <w:rFonts w:ascii="Arial" w:cs="Arial" w:eastAsia="Arial" w:hAnsi="Arial"/>
          <w:color w:val="404040"/>
          <w:sz w:val="24"/>
          <w:szCs w:val="24"/>
        </w:rPr>
        <w:t xml:space="preserve">Niveau : M1 SII — Semestre 2</w:t>
      </w:r>
    </w:p>
    <w:p>
      <w:pPr>
        <w:spacing w:after="600" w:before="0"/>
        <w:jc w:val="center"/>
      </w:pPr>
      <w:r>
        <w:rPr>
          <w:rFonts w:ascii="Arial" w:cs="Arial" w:eastAsia="Arial" w:hAnsi="Arial"/>
          <w:color w:val="404040"/>
          <w:sz w:val="24"/>
          <w:szCs w:val="24"/>
        </w:rPr>
        <w:t xml:space="preserve">Année universitaire : 2025-2026</w:t>
      </w:r>
    </w:p>
    <w:p>
      <w:pPr>
        <w:spacing w:after="0" w:before="0"/>
      </w:pPr>
      <w:r>
        <w:br w:type="page"/>
      </w:r>
    </w:p>
    <w:p>
      <w:pPr>
        <w:pStyle w:val="Heading1"/>
        <w:spacing w:after="160" w:before="320"/>
      </w:pPr>
      <w:r>
        <w:rPr>
          <w:rFonts w:ascii="Arial" w:cs="Arial" w:eastAsia="Arial" w:hAnsi="Arial"/>
          <w:b/>
          <w:bCs/>
          <w:color w:val="1F4E79"/>
          <w:sz w:val="32"/>
          <w:szCs w:val="32"/>
        </w:rPr>
        <w:t xml:space="preserve">1. Introduction</w:t>
      </w:r>
    </w:p>
    <w:p>
      <w:pPr>
        <w:spacing w:after="80" w:before="80" w:line="320"/>
        <w:jc w:val="both"/>
      </w:pPr>
      <w:r>
        <w:rPr>
          <w:rFonts w:ascii="Arial" w:cs="Arial" w:eastAsia="Arial" w:hAnsi="Arial"/>
          <w:color w:val="404040"/>
          <w:sz w:val="22"/>
          <w:szCs w:val="22"/>
        </w:rPr>
        <w:t xml:space="preserve">Les systèmes multi-agents (SMA) constituent l'un des domaines les plus dynamiques de l'intelligence artificielle distribuée. Ils reposent sur l'interaction de plusieurs entités autonomes, appelées agents, capables de percevoir leur environnement, de raisonner et d'agir pour atteindre des objectifs individuels ou collectifs. La richesse de ce paradigme réside dans sa capacité à modéliser des problèmes complexes du monde réel — négociation, coordination, mobilité — en s'appuyant sur des mécanismes d'interaction bien définis.</w:t>
      </w:r>
    </w:p>
    <w:p>
      <w:pPr>
        <w:spacing w:after="80" w:before="80" w:line="320"/>
        <w:jc w:val="both"/>
      </w:pPr>
      <w:r>
        <w:rPr>
          <w:rFonts w:ascii="Arial" w:cs="Arial" w:eastAsia="Arial" w:hAnsi="Arial"/>
          <w:color w:val="404040"/>
          <w:sz w:val="22"/>
          <w:szCs w:val="22"/>
        </w:rPr>
        <w:t xml:space="preserve">Ce mini-projet, réalisé dans le cadre du module « Technologies des Agents » (M1 SII, USTHB), explore quatre dimensions complémentaires des SMA et de la planification : (1) la négociation par enchères, (2) la décision multicritère couplée aux agents mobiles, (3) la planification à ordre partiel issue du dépôt AIMA, et (4) la planification multi-agents centralisée pour des plans distribués.</w:t>
      </w:r>
    </w:p>
    <w:p>
      <w:pPr>
        <w:spacing w:after="80" w:before="80" w:line="320"/>
        <w:jc w:val="both"/>
      </w:pPr>
      <w:r>
        <w:rPr>
          <w:rFonts w:ascii="Arial" w:cs="Arial" w:eastAsia="Arial" w:hAnsi="Arial"/>
          <w:color w:val="404040"/>
          <w:sz w:val="22"/>
          <w:szCs w:val="22"/>
        </w:rPr>
        <w:t xml:space="preserve">Les parties 1, 2 et 4 sont implémentées en Java à l'aide du framework JADE (Java Agent DEvelopment Framework), qui offre une infrastructure conforme à la spécification FIPA (Foundation for Intelligent Physical Agents). La partie 3 utilise Python, en s'appuyant sur la bibliothèque aima-python et des outils de visualisation graphique.</w:t>
      </w:r>
    </w:p>
    <w:p>
      <w:pPr>
        <w:pStyle w:val="Heading2"/>
        <w:spacing w:after="160" w:before="320"/>
      </w:pPr>
      <w:r>
        <w:rPr>
          <w:rFonts w:ascii="Arial" w:cs="Arial" w:eastAsia="Arial" w:hAnsi="Arial"/>
          <w:b/>
          <w:bCs/>
          <w:color w:val="1F4E79"/>
          <w:sz w:val="26"/>
          <w:szCs w:val="26"/>
        </w:rPr>
        <w:t xml:space="preserve">1.1 Le Framework JADE</w:t>
      </w:r>
    </w:p>
    <w:p>
      <w:pPr>
        <w:spacing w:after="80" w:before="80" w:line="320"/>
        <w:jc w:val="both"/>
      </w:pPr>
      <w:r>
        <w:rPr>
          <w:rFonts w:ascii="Arial" w:cs="Arial" w:eastAsia="Arial" w:hAnsi="Arial"/>
          <w:color w:val="404040"/>
          <w:sz w:val="22"/>
          <w:szCs w:val="22"/>
        </w:rPr>
        <w:t xml:space="preserve">JADE est une plateforme open-source qui simplifie le développement de SMA conformes FIPA. Elle fournit un environnement d'exécution distribué organisé autour de conteneurs (containers) hébergeant des agents. Chaque agent dispose d'un cycle de vie géré par la plateforme et communique via des messages ACL (Agent Communication Language). Parmi ses fonctionnalités clés, on retient : les comportements (Behaviours) pour structurer la logique d'un agent, le service de pages jaunes (DF — Directory Facilitator), le service de pages blanches (AMS — Agent Management System), et la capacité de migration d'agents entre conteneurs.</w:t>
      </w:r>
    </w:p>
    <w:p>
      <w:pPr>
        <w:pStyle w:val="Heading2"/>
        <w:spacing w:after="160" w:before="320"/>
      </w:pPr>
      <w:r>
        <w:rPr>
          <w:rFonts w:ascii="Arial" w:cs="Arial" w:eastAsia="Arial" w:hAnsi="Arial"/>
          <w:b/>
          <w:bCs/>
          <w:color w:val="1F4E79"/>
          <w:sz w:val="26"/>
          <w:szCs w:val="26"/>
        </w:rPr>
        <w:t xml:space="preserve">1.2 La Planification en Intelligence Artificielle</w:t>
      </w:r>
    </w:p>
    <w:p>
      <w:pPr>
        <w:spacing w:after="80" w:before="80" w:line="320"/>
        <w:jc w:val="both"/>
      </w:pPr>
      <w:r>
        <w:rPr>
          <w:rFonts w:ascii="Arial" w:cs="Arial" w:eastAsia="Arial" w:hAnsi="Arial"/>
          <w:color w:val="404040"/>
          <w:sz w:val="22"/>
          <w:szCs w:val="22"/>
        </w:rPr>
        <w:t xml:space="preserve">La planification est le processus par lequel un agent construit une séquence d'actions permettant de transformer un état initial en un état but. Dans un contexte multi-agents, la planification peut être centralisée (un planificateur unique génère et distribue les plans) ou distribuée (chaque agent planifie de manière autonome). La planification à ordre partiel (Partial Order Planning, POP) est une approche qui construit un plan sans imposer un ordonnancement total des actions, ce qui lui confère une plus grande flexibilité.</w:t>
      </w:r>
    </w:p>
    <w:p>
      <w:pPr>
        <w:spacing w:after="80" w:before="0"/>
      </w:pPr>
      <w:r>
        <w:t xml:space="preserve"/>
      </w:r>
    </w:p>
    <w:p>
      <w:pPr>
        <w:pStyle w:val="Heading1"/>
        <w:spacing w:after="160" w:before="320"/>
      </w:pPr>
      <w:r>
        <w:rPr>
          <w:rFonts w:ascii="Arial" w:cs="Arial" w:eastAsia="Arial" w:hAnsi="Arial"/>
          <w:b/>
          <w:bCs/>
          <w:color w:val="1F4E79"/>
          <w:sz w:val="32"/>
          <w:szCs w:val="32"/>
        </w:rPr>
        <w:t xml:space="preserve">2. Partie 1 : Négociation Multi-Agents par Enchères</w:t>
      </w:r>
    </w:p>
    <w:p>
      <w:pPr>
        <w:pStyle w:val="Heading2"/>
        <w:spacing w:after="160" w:before="320"/>
      </w:pPr>
      <w:r>
        <w:rPr>
          <w:rFonts w:ascii="Arial" w:cs="Arial" w:eastAsia="Arial" w:hAnsi="Arial"/>
          <w:b/>
          <w:bCs/>
          <w:color w:val="1F4E79"/>
          <w:sz w:val="26"/>
          <w:szCs w:val="26"/>
        </w:rPr>
        <w:t xml:space="preserve">2.1 Présentation du Problème</w:t>
      </w:r>
    </w:p>
    <w:p>
      <w:pPr>
        <w:spacing w:after="80" w:before="80" w:line="320"/>
        <w:jc w:val="both"/>
      </w:pPr>
      <w:r>
        <w:rPr>
          <w:rFonts w:ascii="Arial" w:cs="Arial" w:eastAsia="Arial" w:hAnsi="Arial"/>
          <w:color w:val="404040"/>
          <w:sz w:val="22"/>
          <w:szCs w:val="22"/>
        </w:rPr>
        <w:t xml:space="preserve">Cette partie vise à implémenter un système d'enchères classique impliquant un agent vendeur et un ensemble d'agents acheteurs (au minimum deux). Ce scénario illustre un mécanisme de négociation automatisée fondamental dans les systèmes multi-agents économiques, tel que les enchères anglaises (ascending-bid auctions).</w:t>
      </w:r>
    </w:p>
    <w:p>
      <w:pPr>
        <w:spacing w:after="80" w:before="80" w:line="320"/>
        <w:jc w:val="both"/>
      </w:pPr>
      <w:r>
        <w:rPr>
          <w:rFonts w:ascii="Arial" w:cs="Arial" w:eastAsia="Arial" w:hAnsi="Arial"/>
          <w:color w:val="404040"/>
          <w:sz w:val="22"/>
          <w:szCs w:val="22"/>
        </w:rPr>
        <w:t xml:space="preserve">Le déroulement de l'enchère est le suivant : le vendeur met un article en vente avec un prix d'ouverture et un prix de réserve confidentiel. Les acheteurs proposent des offres successivement supérieures. Le processus se répète jusqu'à l'expiration d'un délai ou l'arrêt de toute surenchère. À la clôture, si la meilleure offre dépasse le prix de réserve, l'article est adjugé au vainqueur.</w:t>
      </w:r>
    </w:p>
    <w:p>
      <w:pPr>
        <w:pStyle w:val="Heading2"/>
        <w:spacing w:after="160" w:before="320"/>
      </w:pPr>
      <w:r>
        <w:rPr>
          <w:rFonts w:ascii="Arial" w:cs="Arial" w:eastAsia="Arial" w:hAnsi="Arial"/>
          <w:b/>
          <w:bCs/>
          <w:color w:val="1F4E79"/>
          <w:sz w:val="26"/>
          <w:szCs w:val="26"/>
        </w:rPr>
        <w:t xml:space="preserve">2.2 Architecture et Choix d'Implémentation</w:t>
      </w:r>
    </w:p>
    <w:p>
      <w:pPr>
        <w:spacing w:after="80" w:before="80" w:line="320"/>
        <w:jc w:val="both"/>
      </w:pPr>
      <w:r>
        <w:rPr>
          <w:rFonts w:ascii="Arial" w:cs="Arial" w:eastAsia="Arial" w:hAnsi="Arial"/>
          <w:b/>
          <w:bCs/>
          <w:color w:val="1F4E79"/>
          <w:sz w:val="22"/>
          <w:szCs w:val="22"/>
        </w:rPr>
        <w:t xml:space="preserve">Interface graphique (auc.java) : </w:t>
      </w:r>
      <w:r>
        <w:rPr>
          <w:rFonts w:ascii="Arial" w:cs="Arial" w:eastAsia="Arial" w:hAnsi="Arial"/>
          <w:color w:val="404040"/>
          <w:sz w:val="22"/>
          <w:szCs w:val="22"/>
        </w:rPr>
        <w:t xml:space="preserve">Une interface Java Swing, conçue sans dépendances IDE, permet à l'utilisateur de paramétrer l'enchère avant son lancement : nombre d'acheteurs, durée, prix de départ et prix de réserve. Ce découplage entre la configuration et la logique agentielle respecte le principe de séparation des préoccupations.</w:t>
      </w:r>
    </w:p>
    <w:p>
      <w:pPr>
        <w:spacing w:after="80" w:before="80" w:line="320"/>
        <w:jc w:val="both"/>
      </w:pPr>
      <w:r>
        <w:rPr>
          <w:rFonts w:ascii="Arial" w:cs="Arial" w:eastAsia="Arial" w:hAnsi="Arial"/>
          <w:b/>
          <w:bCs/>
          <w:color w:val="1F4E79"/>
          <w:sz w:val="22"/>
          <w:szCs w:val="22"/>
        </w:rPr>
        <w:t xml:space="preserve">Agent Vendeur (seller.java) : </w:t>
      </w:r>
      <w:r>
        <w:rPr>
          <w:rFonts w:ascii="Arial" w:cs="Arial" w:eastAsia="Arial" w:hAnsi="Arial"/>
          <w:color w:val="404040"/>
          <w:sz w:val="22"/>
          <w:szCs w:val="22"/>
        </w:rPr>
        <w:t xml:space="preserve">Cet agent initialise l'enchère et diffuse le prix courant à l'ensemble des acheteurs. Il utilise le TopicManagementHelper de JADE pour mettre en œuvre un mécanisme de multicast basé sur des topics (« add », « winner », « no winner », « end », « stop », « buy »). À l'expiration du délai, il compare la meilleure offre reçue au prix de réserve et déclare soit un gagnant, soit l'échec de la vente.</w:t>
      </w:r>
    </w:p>
    <w:p>
      <w:pPr>
        <w:spacing w:after="80" w:before="80" w:line="320"/>
        <w:jc w:val="both"/>
      </w:pPr>
      <w:r>
        <w:rPr>
          <w:rFonts w:ascii="Arial" w:cs="Arial" w:eastAsia="Arial" w:hAnsi="Arial"/>
          <w:b/>
          <w:bCs/>
          <w:color w:val="1F4E79"/>
          <w:sz w:val="22"/>
          <w:szCs w:val="22"/>
        </w:rPr>
        <w:t xml:space="preserve">Agents Acheteurs (buyers.java) : </w:t>
      </w:r>
      <w:r>
        <w:rPr>
          <w:rFonts w:ascii="Arial" w:cs="Arial" w:eastAsia="Arial" w:hAnsi="Arial"/>
          <w:color w:val="404040"/>
          <w:sz w:val="22"/>
          <w:szCs w:val="22"/>
        </w:rPr>
        <w:t xml:space="preserve">Chaque acheteur est implémenté avec un comportement cyclique (CyclicBehaviour) qui lui permet d'écouter en permanence les diffusions du vendeur et de soumettre des offres aléatoires supérieures au prix courant. Cette stratégie aléatoire simule des agents à rationalité limitée, ce qui est un choix volontaire pour isoler le mécanisme de communication de toute logique de stratégie complexe.</w:t>
      </w:r>
    </w:p>
    <w:p>
      <w:pPr>
        <w:pStyle w:val="Heading2"/>
        <w:spacing w:after="160" w:before="320"/>
      </w:pPr>
      <w:r>
        <w:rPr>
          <w:rFonts w:ascii="Arial" w:cs="Arial" w:eastAsia="Arial" w:hAnsi="Arial"/>
          <w:b/>
          <w:bCs/>
          <w:color w:val="1F4E79"/>
          <w:sz w:val="26"/>
          <w:szCs w:val="26"/>
        </w:rPr>
        <w:t xml:space="preserve">2.3 Mécanisme de Communication</w:t>
      </w:r>
    </w:p>
    <w:p>
      <w:pPr>
        <w:spacing w:after="80" w:before="80" w:line="320"/>
        <w:jc w:val="both"/>
      </w:pPr>
      <w:r>
        <w:rPr>
          <w:rFonts w:ascii="Arial" w:cs="Arial" w:eastAsia="Arial" w:hAnsi="Arial"/>
          <w:color w:val="404040"/>
          <w:sz w:val="22"/>
          <w:szCs w:val="22"/>
        </w:rPr>
        <w:t xml:space="preserve">La communication repose sur le système de topics de JADE, qui permet une diffusion efficace des messages à un ensemble d'agents abonnés. Cette architecture publish/subscribe est particulièrement adaptée aux enchères où le vendeur doit notifier simultanément tous les acheteurs. Le protocole de coordination s'inspire du Contract Net Protocol (CNP) de FIPA, adapté ici à un scénario d'enchères ascendantes.</w:t>
      </w:r>
    </w:p>
    <w:p>
      <w:pPr>
        <w:spacing w:after="80" w:before="0"/>
      </w:pPr>
      <w:r>
        <w:t xml:space="preserve"/>
      </w:r>
    </w:p>
    <w:p>
      <w:pPr>
        <w:pStyle w:val="Heading1"/>
        <w:spacing w:after="160" w:before="320"/>
      </w:pPr>
      <w:r>
        <w:rPr>
          <w:rFonts w:ascii="Arial" w:cs="Arial" w:eastAsia="Arial" w:hAnsi="Arial"/>
          <w:b/>
          <w:bCs/>
          <w:color w:val="1F4E79"/>
          <w:sz w:val="32"/>
          <w:szCs w:val="32"/>
        </w:rPr>
        <w:t xml:space="preserve">3. Partie 2 : Décision Multicritère et Agents Mobiles</w:t>
      </w:r>
    </w:p>
    <w:p>
      <w:pPr>
        <w:pStyle w:val="Heading2"/>
        <w:spacing w:after="160" w:before="320"/>
      </w:pPr>
      <w:r>
        <w:rPr>
          <w:rFonts w:ascii="Arial" w:cs="Arial" w:eastAsia="Arial" w:hAnsi="Arial"/>
          <w:b/>
          <w:bCs/>
          <w:color w:val="1F4E79"/>
          <w:sz w:val="26"/>
          <w:szCs w:val="26"/>
        </w:rPr>
        <w:t xml:space="preserve">3.1 Présentation du Problème</w:t>
      </w:r>
    </w:p>
    <w:p>
      <w:pPr>
        <w:spacing w:after="80" w:before="80" w:line="320"/>
        <w:jc w:val="both"/>
      </w:pPr>
      <w:r>
        <w:rPr>
          <w:rFonts w:ascii="Arial" w:cs="Arial" w:eastAsia="Arial" w:hAnsi="Arial"/>
          <w:color w:val="404040"/>
          <w:sz w:val="22"/>
          <w:szCs w:val="22"/>
        </w:rPr>
        <w:t xml:space="preserve">Cette partie étend le scénario d'achat en introduisant deux concepts avancés : la mobilité des agents et la prise de décision multicritère. Un agent acheteur unique doit visiter plusieurs vendeurs situés dans des conteneurs distincts, collecter leurs offres, puis sélectionner la meilleure selon plusieurs critères combinés.</w:t>
      </w:r>
    </w:p>
    <w:p>
      <w:pPr>
        <w:pStyle w:val="Heading2"/>
        <w:spacing w:after="160" w:before="320"/>
      </w:pPr>
      <w:r>
        <w:rPr>
          <w:rFonts w:ascii="Arial" w:cs="Arial" w:eastAsia="Arial" w:hAnsi="Arial"/>
          <w:b/>
          <w:bCs/>
          <w:color w:val="1F4E79"/>
          <w:sz w:val="26"/>
          <w:szCs w:val="26"/>
        </w:rPr>
        <w:t xml:space="preserve">3.2 Architecture Multi-Conteneurs</w:t>
      </w:r>
    </w:p>
    <w:p>
      <w:pPr>
        <w:spacing w:after="80" w:before="80" w:line="320"/>
        <w:jc w:val="both"/>
      </w:pPr>
      <w:r>
        <w:rPr>
          <w:rFonts w:ascii="Arial" w:cs="Arial" w:eastAsia="Arial" w:hAnsi="Arial"/>
          <w:color w:val="404040"/>
          <w:sz w:val="22"/>
          <w:szCs w:val="22"/>
        </w:rPr>
        <w:t xml:space="preserve">L'architecture repose sur trois conteneurs JADE : un conteneur principal (Main-Container) et deux conteneurs périphériques (Container-1, Container-2). Chaque conteneur périphérique héberge un agent vendeur (SellerAgent) proposant une offre caractérisée par un prix, un délai de livraison et un indice de qualité.</w:t>
      </w:r>
    </w:p>
    <w:p>
      <w:pPr>
        <w:spacing w:after="80" w:before="80" w:line="320"/>
        <w:jc w:val="both"/>
      </w:pPr>
      <w:r>
        <w:rPr>
          <w:rFonts w:ascii="Arial" w:cs="Arial" w:eastAsia="Arial" w:hAnsi="Arial"/>
          <w:b/>
          <w:bCs/>
          <w:color w:val="1F4E79"/>
          <w:sz w:val="22"/>
          <w:szCs w:val="22"/>
        </w:rPr>
        <w:t xml:space="preserve">Migration inter-conteneurs : </w:t>
      </w:r>
      <w:r>
        <w:rPr>
          <w:rFonts w:ascii="Arial" w:cs="Arial" w:eastAsia="Arial" w:hAnsi="Arial"/>
          <w:color w:val="404040"/>
          <w:sz w:val="22"/>
          <w:szCs w:val="22"/>
        </w:rPr>
        <w:t xml:space="preserve">L'agent acheteur mobile (MobileBuyerAgent) utilise la primitive doMove() de JADE pour se déplacer physiquement d'un conteneur à l'autre. Cette migration implique la sérialisation de l'état de l'agent, son transfert réseau, et sa réinstantiation dans le conteneur cible — ce qui illustre le concept d'agent mobile au sens strict. L'agent conserve son état (offres collectées) tout au long de ses déplacements.</w:t>
      </w:r>
    </w:p>
    <w:p>
      <w:pPr>
        <w:spacing w:after="80" w:before="80" w:line="320"/>
        <w:jc w:val="both"/>
      </w:pPr>
      <w:r>
        <w:rPr>
          <w:rFonts w:ascii="Arial" w:cs="Arial" w:eastAsia="Arial" w:hAnsi="Arial"/>
          <w:b/>
          <w:bCs/>
          <w:color w:val="1F4E79"/>
          <w:sz w:val="22"/>
          <w:szCs w:val="22"/>
        </w:rPr>
        <w:t xml:space="preserve">Migration inter-plateformes : </w:t>
      </w:r>
      <w:r>
        <w:rPr>
          <w:rFonts w:ascii="Arial" w:cs="Arial" w:eastAsia="Arial" w:hAnsi="Arial"/>
          <w:color w:val="404040"/>
          <w:sz w:val="22"/>
          <w:szCs w:val="22"/>
        </w:rPr>
        <w:t xml:space="preserve">Dans un second scénario, la migration s'effectue entre deux plateformes JADE distinctes, ce qui nécessite une configuration réseau supplémentaire (adresse IP et port de la plateforme cible). Ce cas illustre les défis d'interopérabilité entre plateformes et l'importance de la conformité FIPA.</w:t>
      </w:r>
    </w:p>
    <w:p>
      <w:pPr>
        <w:pStyle w:val="Heading2"/>
        <w:spacing w:after="160" w:before="320"/>
      </w:pPr>
      <w:r>
        <w:rPr>
          <w:rFonts w:ascii="Arial" w:cs="Arial" w:eastAsia="Arial" w:hAnsi="Arial"/>
          <w:b/>
          <w:bCs/>
          <w:color w:val="1F4E79"/>
          <w:sz w:val="26"/>
          <w:szCs w:val="26"/>
        </w:rPr>
        <w:t xml:space="preserve">3.3 Fonction d'Utilité Multicritère</w:t>
      </w:r>
    </w:p>
    <w:p>
      <w:pPr>
        <w:spacing w:after="80" w:before="80" w:line="320"/>
        <w:jc w:val="both"/>
      </w:pPr>
      <w:r>
        <w:rPr>
          <w:rFonts w:ascii="Arial" w:cs="Arial" w:eastAsia="Arial" w:hAnsi="Arial"/>
          <w:color w:val="404040"/>
          <w:sz w:val="22"/>
          <w:szCs w:val="22"/>
        </w:rPr>
        <w:t xml:space="preserve">Une fois toutes les offres collectées, l'agent revient au conteneur principal et applique une fonction d'utilité combinant trois critères pour évaluer chaque offre :</w:t>
      </w:r>
    </w:p>
    <w:p>
      <w:pPr>
        <w:pStyle w:val="ListParagraph"/>
        <w:numPr>
          <w:ilvl w:val="0"/>
          <w:numId w:val="2"/>
        </w:numPr>
        <w:spacing w:after="60" w:before="60" w:line="300"/>
        <w:jc w:val="both"/>
      </w:pPr>
      <w:r>
        <w:rPr>
          <w:rFonts w:ascii="Arial" w:cs="Arial" w:eastAsia="Arial" w:hAnsi="Arial"/>
          <w:color w:val="404040"/>
          <w:sz w:val="22"/>
          <w:szCs w:val="22"/>
        </w:rPr>
        <w:t xml:space="preserve">Prix (à minimiser) : coût direct de l'article.</w:t>
      </w:r>
    </w:p>
    <w:p>
      <w:pPr>
        <w:pStyle w:val="ListParagraph"/>
        <w:numPr>
          <w:ilvl w:val="0"/>
          <w:numId w:val="2"/>
        </w:numPr>
        <w:spacing w:after="60" w:before="60" w:line="300"/>
        <w:jc w:val="both"/>
      </w:pPr>
      <w:r>
        <w:rPr>
          <w:rFonts w:ascii="Arial" w:cs="Arial" w:eastAsia="Arial" w:hAnsi="Arial"/>
          <w:color w:val="404040"/>
          <w:sz w:val="22"/>
          <w:szCs w:val="22"/>
        </w:rPr>
        <w:t xml:space="preserve">Délai de livraison (à minimiser) : impact sur la satisfaction client.</w:t>
      </w:r>
    </w:p>
    <w:p>
      <w:pPr>
        <w:pStyle w:val="ListParagraph"/>
        <w:numPr>
          <w:ilvl w:val="0"/>
          <w:numId w:val="2"/>
        </w:numPr>
        <w:spacing w:after="60" w:before="60" w:line="300"/>
        <w:jc w:val="both"/>
      </w:pPr>
      <w:r>
        <w:rPr>
          <w:rFonts w:ascii="Arial" w:cs="Arial" w:eastAsia="Arial" w:hAnsi="Arial"/>
          <w:color w:val="404040"/>
          <w:sz w:val="22"/>
          <w:szCs w:val="22"/>
        </w:rPr>
        <w:t xml:space="preserve">Qualité (à maximiser) : indice de fiabilité du produit.</w:t>
      </w:r>
    </w:p>
    <w:p>
      <w:pPr>
        <w:spacing w:after="80" w:before="80" w:line="320"/>
        <w:jc w:val="both"/>
      </w:pPr>
      <w:r>
        <w:rPr>
          <w:rFonts w:ascii="Arial" w:cs="Arial" w:eastAsia="Arial" w:hAnsi="Arial"/>
          <w:color w:val="404040"/>
          <w:sz w:val="22"/>
          <w:szCs w:val="22"/>
        </w:rPr>
        <w:t xml:space="preserve">La fonction retenue est la suivante : Score = (Qualité × 10) − (Prix × 0,5) − (Délai × 2). Cette formulation linéaire pondérée permet d'agréger des critères hétérogènes en un score unique. Les coefficients ont été fixés de manière à refléter une priorité modérée sur la qualité et une sensibilité au délai de livraison. L'agent sélectionne l'offre ayant le score maximal et en informe le planificateur.</w:t>
      </w:r>
    </w:p>
    <w:p>
      <w:pPr>
        <w:pStyle w:val="Heading2"/>
        <w:spacing w:after="160" w:before="320"/>
      </w:pPr>
      <w:r>
        <w:rPr>
          <w:rFonts w:ascii="Arial" w:cs="Arial" w:eastAsia="Arial" w:hAnsi="Arial"/>
          <w:b/>
          <w:bCs/>
          <w:color w:val="1F4E79"/>
          <w:sz w:val="26"/>
          <w:szCs w:val="26"/>
        </w:rPr>
        <w:t xml:space="preserve">3.4 Justification du Choix d'Implémentation</w:t>
      </w:r>
    </w:p>
    <w:p>
      <w:pPr>
        <w:spacing w:after="80" w:before="80" w:line="320"/>
        <w:jc w:val="both"/>
      </w:pPr>
      <w:r>
        <w:rPr>
          <w:rFonts w:ascii="Arial" w:cs="Arial" w:eastAsia="Arial" w:hAnsi="Arial"/>
          <w:color w:val="404040"/>
          <w:sz w:val="22"/>
          <w:szCs w:val="22"/>
        </w:rPr>
        <w:t xml:space="preserve">L'utilisation d'agents mobiles est justifiée lorsque le coût de transfert des données dépasse le coût de déplacement de l'agent lui-même — par exemple, lorsque les catalogues des vendeurs sont volumineux ou que la bande passante est limitée. Dans notre cas, la mobilité est également choisie pour des raisons pédagogiques : elle illustre de manière concrète la capacité de JADE à gérer le cycle de vie d'un agent migrateur, avec persistance de son état.</w:t>
      </w:r>
    </w:p>
    <w:p>
      <w:pPr>
        <w:spacing w:after="80" w:before="0"/>
      </w:pPr>
      <w:r>
        <w:t xml:space="preserve"/>
      </w:r>
    </w:p>
    <w:p>
      <w:pPr>
        <w:pStyle w:val="Heading1"/>
        <w:spacing w:after="160" w:before="320"/>
      </w:pPr>
      <w:r>
        <w:rPr>
          <w:rFonts w:ascii="Arial" w:cs="Arial" w:eastAsia="Arial" w:hAnsi="Arial"/>
          <w:b/>
          <w:bCs/>
          <w:color w:val="1F4E79"/>
          <w:sz w:val="32"/>
          <w:szCs w:val="32"/>
        </w:rPr>
        <w:t xml:space="preserve">4. Partie 3 : Planification à Ordre Partiel (AIMA)</w:t>
      </w:r>
    </w:p>
    <w:p>
      <w:pPr>
        <w:pStyle w:val="Heading2"/>
        <w:spacing w:after="160" w:before="320"/>
      </w:pPr>
      <w:r>
        <w:rPr>
          <w:rFonts w:ascii="Arial" w:cs="Arial" w:eastAsia="Arial" w:hAnsi="Arial"/>
          <w:b/>
          <w:bCs/>
          <w:color w:val="1F4E79"/>
          <w:sz w:val="26"/>
          <w:szCs w:val="26"/>
        </w:rPr>
        <w:t xml:space="preserve">4.1 Présentation de la Planification à Ordre Partiel</w:t>
      </w:r>
    </w:p>
    <w:p>
      <w:pPr>
        <w:spacing w:after="80" w:before="80" w:line="320"/>
        <w:jc w:val="both"/>
      </w:pPr>
      <w:r>
        <w:rPr>
          <w:rFonts w:ascii="Arial" w:cs="Arial" w:eastAsia="Arial" w:hAnsi="Arial"/>
          <w:color w:val="404040"/>
          <w:sz w:val="22"/>
          <w:szCs w:val="22"/>
        </w:rPr>
        <w:t xml:space="preserve">La planification à ordre partiel (POP) est une méthode de planification non linéaire qui construit un plan en ajoutant progressivement des actions et des contraintes d'ordonnancement sans imposer de séquence totale. Elle exploite le principe de moindre engagement (least commitment principle) : un ordonnancement n'est imposé que lorsqu'il est strictement nécessaire pour éviter un conflit. Le planificateur POP du dépôt AIMA (Artificial Intelligence: A Modern Approach) est une implémentation de référence de cet algorithme.</w:t>
      </w:r>
    </w:p>
    <w:p>
      <w:pPr>
        <w:pStyle w:val="Heading2"/>
        <w:spacing w:after="160" w:before="320"/>
      </w:pPr>
      <w:r>
        <w:rPr>
          <w:rFonts w:ascii="Arial" w:cs="Arial" w:eastAsia="Arial" w:hAnsi="Arial"/>
          <w:b/>
          <w:bCs/>
          <w:color w:val="1F4E79"/>
          <w:sz w:val="26"/>
          <w:szCs w:val="26"/>
        </w:rPr>
        <w:t xml:space="preserve">4.2 Modélisation du Problème « Chaussures et Chaussettes »</w:t>
      </w:r>
    </w:p>
    <w:p>
      <w:pPr>
        <w:spacing w:after="80" w:before="80" w:line="320"/>
        <w:jc w:val="both"/>
      </w:pPr>
      <w:r>
        <w:rPr>
          <w:rFonts w:ascii="Arial" w:cs="Arial" w:eastAsia="Arial" w:hAnsi="Arial"/>
          <w:color w:val="404040"/>
          <w:sz w:val="22"/>
          <w:szCs w:val="22"/>
        </w:rPr>
        <w:t xml:space="preserve">Le problème classique utilisé pour tester le planificateur est celui des chaussures et chaussettes (Shoes &amp; Socks Problem), un exemple canonique de la littérature sur la planification :</w:t>
      </w:r>
    </w:p>
    <w:p>
      <w:pPr>
        <w:pStyle w:val="ListParagraph"/>
        <w:numPr>
          <w:ilvl w:val="0"/>
          <w:numId w:val="2"/>
        </w:numPr>
        <w:spacing w:after="60" w:before="60" w:line="300"/>
        <w:jc w:val="both"/>
      </w:pPr>
      <w:r>
        <w:rPr>
          <w:rFonts w:ascii="Arial" w:cs="Arial" w:eastAsia="Arial" w:hAnsi="Arial"/>
          <w:color w:val="404040"/>
          <w:sz w:val="22"/>
          <w:szCs w:val="22"/>
        </w:rPr>
        <w:t xml:space="preserve">État initial : RightSockOff, LeftSockOff, RightShoeOff, LeftShoeOff.</w:t>
      </w:r>
    </w:p>
    <w:p>
      <w:pPr>
        <w:pStyle w:val="ListParagraph"/>
        <w:numPr>
          <w:ilvl w:val="0"/>
          <w:numId w:val="2"/>
        </w:numPr>
        <w:spacing w:after="60" w:before="60" w:line="300"/>
        <w:jc w:val="both"/>
      </w:pPr>
      <w:r>
        <w:rPr>
          <w:rFonts w:ascii="Arial" w:cs="Arial" w:eastAsia="Arial" w:hAnsi="Arial"/>
          <w:color w:val="404040"/>
          <w:sz w:val="22"/>
          <w:szCs w:val="22"/>
        </w:rPr>
        <w:t xml:space="preserve">État but : RightShoeOn, LeftShoeOn.</w:t>
      </w:r>
    </w:p>
    <w:p>
      <w:pPr>
        <w:pStyle w:val="ListParagraph"/>
        <w:numPr>
          <w:ilvl w:val="0"/>
          <w:numId w:val="2"/>
        </w:numPr>
        <w:spacing w:after="60" w:before="60" w:line="300"/>
        <w:jc w:val="both"/>
      </w:pPr>
      <w:r>
        <w:rPr>
          <w:rFonts w:ascii="Arial" w:cs="Arial" w:eastAsia="Arial" w:hAnsi="Arial"/>
          <w:color w:val="404040"/>
          <w:sz w:val="22"/>
          <w:szCs w:val="22"/>
        </w:rPr>
        <w:t xml:space="preserve">Actions disponibles : mettre la chaussette droite, mettre la chaussette gauche, mettre la chaussure droite, mettre la chaussure gauche.</w:t>
      </w:r>
    </w:p>
    <w:p>
      <w:pPr>
        <w:spacing w:after="80" w:before="80" w:line="320"/>
        <w:jc w:val="both"/>
      </w:pPr>
      <w:r>
        <w:rPr>
          <w:rFonts w:ascii="Arial" w:cs="Arial" w:eastAsia="Arial" w:hAnsi="Arial"/>
          <w:color w:val="404040"/>
          <w:sz w:val="22"/>
          <w:szCs w:val="22"/>
        </w:rPr>
        <w:t xml:space="preserve">Chaque action est définie par ses préconditions et ses effets (ajouts et suppressions de fluents). Le planificateur POP construit un plan minimal, identifiant par exemple que la chaussette doit être enfilée avant la chaussure — contrainte qui n'est pas imposée entre les côtés droit et gauche.</w:t>
      </w:r>
    </w:p>
    <w:p>
      <w:pPr>
        <w:pStyle w:val="Heading2"/>
        <w:spacing w:after="160" w:before="320"/>
      </w:pPr>
      <w:r>
        <w:rPr>
          <w:rFonts w:ascii="Arial" w:cs="Arial" w:eastAsia="Arial" w:hAnsi="Arial"/>
          <w:b/>
          <w:bCs/>
          <w:color w:val="1F4E79"/>
          <w:sz w:val="26"/>
          <w:szCs w:val="26"/>
        </w:rPr>
        <w:t xml:space="preserve">4.3 Valeur Ajoutée : Visualisation Graphique</w:t>
      </w:r>
    </w:p>
    <w:p>
      <w:pPr>
        <w:spacing w:after="80" w:before="80" w:line="320"/>
        <w:jc w:val="both"/>
      </w:pPr>
      <w:r>
        <w:rPr>
          <w:rFonts w:ascii="Arial" w:cs="Arial" w:eastAsia="Arial" w:hAnsi="Arial"/>
          <w:color w:val="404040"/>
          <w:sz w:val="22"/>
          <w:szCs w:val="22"/>
        </w:rPr>
        <w:t xml:space="preserve">Plutôt que d'afficher le résultat brut du planificateur dans la console, notre implémentation (test_aima_planning.py) intercepts la sortie du planificateur et la convertit en une représentation graphique. En utilisant les bibliothèques networkx et matplotlib, le code génère un graphe orienté acyclique (DAG) dans lequel :</w:t>
      </w:r>
    </w:p>
    <w:p>
      <w:pPr>
        <w:pStyle w:val="ListParagraph"/>
        <w:numPr>
          <w:ilvl w:val="0"/>
          <w:numId w:val="2"/>
        </w:numPr>
        <w:spacing w:after="60" w:before="60" w:line="300"/>
        <w:jc w:val="both"/>
      </w:pPr>
      <w:r>
        <w:rPr>
          <w:rFonts w:ascii="Arial" w:cs="Arial" w:eastAsia="Arial" w:hAnsi="Arial"/>
          <w:color w:val="404040"/>
          <w:sz w:val="22"/>
          <w:szCs w:val="22"/>
        </w:rPr>
        <w:t xml:space="preserve">Les nœuds représentent les actions du plan (y compris les actions fictives Start et Finish).</w:t>
      </w:r>
    </w:p>
    <w:p>
      <w:pPr>
        <w:pStyle w:val="ListParagraph"/>
        <w:numPr>
          <w:ilvl w:val="0"/>
          <w:numId w:val="2"/>
        </w:numPr>
        <w:spacing w:after="60" w:before="60" w:line="300"/>
        <w:jc w:val="both"/>
      </w:pPr>
      <w:r>
        <w:rPr>
          <w:rFonts w:ascii="Arial" w:cs="Arial" w:eastAsia="Arial" w:hAnsi="Arial"/>
          <w:color w:val="404040"/>
          <w:sz w:val="22"/>
          <w:szCs w:val="22"/>
        </w:rPr>
        <w:t xml:space="preserve">Les arêtes orientées représentent les contraintes temporelles (orderings) : une arête A → B signifie que l'action A doit être exécutée avant B.</w:t>
      </w:r>
    </w:p>
    <w:p>
      <w:pPr>
        <w:pStyle w:val="ListParagraph"/>
        <w:numPr>
          <w:ilvl w:val="0"/>
          <w:numId w:val="2"/>
        </w:numPr>
        <w:spacing w:after="60" w:before="60" w:line="300"/>
        <w:jc w:val="both"/>
      </w:pPr>
      <w:r>
        <w:rPr>
          <w:rFonts w:ascii="Arial" w:cs="Arial" w:eastAsia="Arial" w:hAnsi="Arial"/>
          <w:color w:val="404040"/>
          <w:sz w:val="22"/>
          <w:szCs w:val="22"/>
        </w:rPr>
        <w:t xml:space="preserve">Les liens causaux (causal links) sont annotés pour indiquer quel fluent est produit par une action et consommé par une autre.</w:t>
      </w:r>
    </w:p>
    <w:p>
      <w:pPr>
        <w:spacing w:after="80" w:before="80" w:line="320"/>
        <w:jc w:val="both"/>
      </w:pPr>
      <w:r>
        <w:rPr>
          <w:rFonts w:ascii="Arial" w:cs="Arial" w:eastAsia="Arial" w:hAnsi="Arial"/>
          <w:color w:val="404040"/>
          <w:sz w:val="22"/>
          <w:szCs w:val="22"/>
        </w:rPr>
        <w:t xml:space="preserve">Cette visualisation facilite la compréhension du plan partiel généré, en rendant explicites les dépendances entre actions — information difficilement lisible dans une sortie textuelle brute.</w:t>
      </w:r>
    </w:p>
    <w:p>
      <w:pPr>
        <w:pStyle w:val="Heading2"/>
        <w:spacing w:after="160" w:before="320"/>
      </w:pPr>
      <w:r>
        <w:rPr>
          <w:rFonts w:ascii="Arial" w:cs="Arial" w:eastAsia="Arial" w:hAnsi="Arial"/>
          <w:b/>
          <w:bCs/>
          <w:color w:val="1F4E79"/>
          <w:sz w:val="26"/>
          <w:szCs w:val="26"/>
        </w:rPr>
        <w:t xml:space="preserve">4.4 Environnement Technique</w:t>
      </w:r>
    </w:p>
    <w:p>
      <w:pPr>
        <w:spacing w:after="80" w:before="80" w:line="320"/>
        <w:jc w:val="both"/>
      </w:pPr>
      <w:r>
        <w:rPr>
          <w:rFonts w:ascii="Arial" w:cs="Arial" w:eastAsia="Arial" w:hAnsi="Arial"/>
          <w:color w:val="404040"/>
          <w:sz w:val="22"/>
          <w:szCs w:val="22"/>
        </w:rPr>
        <w:t xml:space="preserve">L'implémentation requiert Python 3, la bibliothèque aima-python (installée depuis le dépôt GitHub officiel), ainsi que networkx, matplotlib et tkinter pour l'affichage. Une attention particulière a été portée à la compatibilité des versions de la bibliothèque AIMA, dont les API ont évolué entre les différentes révisions du dépôt.</w:t>
      </w:r>
    </w:p>
    <w:p>
      <w:pPr>
        <w:spacing w:after="80" w:before="0"/>
      </w:pPr>
      <w:r>
        <w:t xml:space="preserve"/>
      </w:r>
    </w:p>
    <w:p>
      <w:pPr>
        <w:pStyle w:val="Heading1"/>
        <w:spacing w:after="160" w:before="320"/>
      </w:pPr>
      <w:r>
        <w:rPr>
          <w:rFonts w:ascii="Arial" w:cs="Arial" w:eastAsia="Arial" w:hAnsi="Arial"/>
          <w:b/>
          <w:bCs/>
          <w:color w:val="1F4E79"/>
          <w:sz w:val="32"/>
          <w:szCs w:val="32"/>
        </w:rPr>
        <w:t xml:space="preserve">5. Partie 4 : Planification Multi-Agents Centralisée</w:t>
      </w:r>
    </w:p>
    <w:p>
      <w:pPr>
        <w:pStyle w:val="Heading2"/>
        <w:spacing w:after="160" w:before="320"/>
      </w:pPr>
      <w:r>
        <w:rPr>
          <w:rFonts w:ascii="Arial" w:cs="Arial" w:eastAsia="Arial" w:hAnsi="Arial"/>
          <w:b/>
          <w:bCs/>
          <w:color w:val="1F4E79"/>
          <w:sz w:val="26"/>
          <w:szCs w:val="26"/>
        </w:rPr>
        <w:t xml:space="preserve">5.1 Présentation du Paradigme</w:t>
      </w:r>
    </w:p>
    <w:p>
      <w:pPr>
        <w:spacing w:after="80" w:before="80" w:line="320"/>
        <w:jc w:val="both"/>
      </w:pPr>
      <w:r>
        <w:rPr>
          <w:rFonts w:ascii="Arial" w:cs="Arial" w:eastAsia="Arial" w:hAnsi="Arial"/>
          <w:color w:val="404040"/>
          <w:sz w:val="22"/>
          <w:szCs w:val="22"/>
        </w:rPr>
        <w:t xml:space="preserve">La planification multi-agents centralisée pour des plans distribués est un paradigme dans lequel un agent planificateur unique (central planner) dispose d'une vue globale du système et génère un plan global, qu'il décompose ensuite en sous-tâches attribuées à des agents exécutants. Ce modèle garantit la cohérence globale du plan et évite les conflits d'allocation de ressources, au prix d'un point unique de défaillance potentiel (single point of failure).</w:t>
      </w:r>
    </w:p>
    <w:p>
      <w:pPr>
        <w:pStyle w:val="Heading2"/>
        <w:spacing w:after="160" w:before="320"/>
      </w:pPr>
      <w:r>
        <w:rPr>
          <w:rFonts w:ascii="Arial" w:cs="Arial" w:eastAsia="Arial" w:hAnsi="Arial"/>
          <w:b/>
          <w:bCs/>
          <w:color w:val="1F4E79"/>
          <w:sz w:val="26"/>
          <w:szCs w:val="26"/>
        </w:rPr>
        <w:t xml:space="preserve">5.2 Architecture du Système</w:t>
      </w:r>
    </w:p>
    <w:p>
      <w:pPr>
        <w:spacing w:after="80" w:before="80" w:line="320"/>
        <w:jc w:val="both"/>
      </w:pPr>
      <w:r>
        <w:rPr>
          <w:rFonts w:ascii="Arial" w:cs="Arial" w:eastAsia="Arial" w:hAnsi="Arial"/>
          <w:b/>
          <w:bCs/>
          <w:color w:val="1F4E79"/>
          <w:sz w:val="22"/>
          <w:szCs w:val="22"/>
        </w:rPr>
        <w:t xml:space="preserve">Agent Planificateur Central (CentralPlannerAgent) : </w:t>
      </w:r>
      <w:r>
        <w:rPr>
          <w:rFonts w:ascii="Arial" w:cs="Arial" w:eastAsia="Arial" w:hAnsi="Arial"/>
          <w:color w:val="404040"/>
          <w:sz w:val="22"/>
          <w:szCs w:val="22"/>
        </w:rPr>
        <w:t xml:space="preserve">Cet agent joue le rôle de cerveau du système. Il implémente un comportement d'attente des inscriptions des robots. Une fois que tous les robots escomptés se sont enregistrés (via des messages ACL de type INFORM), il génère un plan global, le décompose en sous-tâches et distribue à chaque robot sa séquence d'actions via des messages ACL de type REQUEST. Il gère également les accusés de réception en fin de tâche.</w:t>
      </w:r>
    </w:p>
    <w:p>
      <w:pPr>
        <w:spacing w:after="80" w:before="80" w:line="320"/>
        <w:jc w:val="both"/>
      </w:pPr>
      <w:r>
        <w:rPr>
          <w:rFonts w:ascii="Arial" w:cs="Arial" w:eastAsia="Arial" w:hAnsi="Arial"/>
          <w:b/>
          <w:bCs/>
          <w:color w:val="1F4E79"/>
          <w:sz w:val="22"/>
          <w:szCs w:val="22"/>
        </w:rPr>
        <w:t xml:space="preserve">Agents Robots (RobotAgent) : </w:t>
      </w:r>
      <w:r>
        <w:rPr>
          <w:rFonts w:ascii="Arial" w:cs="Arial" w:eastAsia="Arial" w:hAnsi="Arial"/>
          <w:color w:val="404040"/>
          <w:sz w:val="22"/>
          <w:szCs w:val="22"/>
        </w:rPr>
        <w:t xml:space="preserve">Chaque robot s'inscrit auprès du planificateur au démarrage, puis entre dans un état d'attente. À la réception de son plan, il exécute ses actions séquentiellement (simulées par un délai et un affichage console), avant d'envoyer un message INFORM au planificateur pour signaler la fin de l'exécution.</w:t>
      </w:r>
    </w:p>
    <w:p>
      <w:pPr>
        <w:pStyle w:val="Heading2"/>
        <w:spacing w:after="160" w:before="320"/>
      </w:pPr>
      <w:r>
        <w:rPr>
          <w:rFonts w:ascii="Arial" w:cs="Arial" w:eastAsia="Arial" w:hAnsi="Arial"/>
          <w:b/>
          <w:bCs/>
          <w:color w:val="1F4E79"/>
          <w:sz w:val="26"/>
          <w:szCs w:val="26"/>
        </w:rPr>
        <w:t xml:space="preserve">5.3 Protocole de Communication</w:t>
      </w:r>
    </w:p>
    <w:p>
      <w:pPr>
        <w:spacing w:after="80" w:before="80" w:line="320"/>
        <w:jc w:val="both"/>
      </w:pPr>
      <w:r>
        <w:rPr>
          <w:rFonts w:ascii="Arial" w:cs="Arial" w:eastAsia="Arial" w:hAnsi="Arial"/>
          <w:color w:val="404040"/>
          <w:sz w:val="22"/>
          <w:szCs w:val="22"/>
        </w:rPr>
        <w:t xml:space="preserve">La communication entre le planificateur et les robots s'appuie sur le langage ACL (Agent Communication Language) de FIPA, en utilisant les performatifs sémantiques appropriés :</w:t>
      </w:r>
    </w:p>
    <w:p>
      <w:pPr>
        <w:pStyle w:val="ListParagraph"/>
        <w:numPr>
          <w:ilvl w:val="0"/>
          <w:numId w:val="2"/>
        </w:numPr>
        <w:spacing w:after="60" w:before="60" w:line="300"/>
        <w:jc w:val="both"/>
      </w:pPr>
      <w:r>
        <w:rPr>
          <w:rFonts w:ascii="Arial" w:cs="Arial" w:eastAsia="Arial" w:hAnsi="Arial"/>
          <w:color w:val="404040"/>
          <w:sz w:val="22"/>
          <w:szCs w:val="22"/>
        </w:rPr>
        <w:t xml:space="preserve">INFORM : utilisé par les robots pour s'enregistrer et signaler la fin de l'exécution.</w:t>
      </w:r>
    </w:p>
    <w:p>
      <w:pPr>
        <w:pStyle w:val="ListParagraph"/>
        <w:numPr>
          <w:ilvl w:val="0"/>
          <w:numId w:val="2"/>
        </w:numPr>
        <w:spacing w:after="60" w:before="60" w:line="300"/>
        <w:jc w:val="both"/>
      </w:pPr>
      <w:r>
        <w:rPr>
          <w:rFonts w:ascii="Arial" w:cs="Arial" w:eastAsia="Arial" w:hAnsi="Arial"/>
          <w:color w:val="404040"/>
          <w:sz w:val="22"/>
          <w:szCs w:val="22"/>
        </w:rPr>
        <w:t xml:space="preserve">REQUEST : utilisé par le planificateur pour transmettre les sous-plans aux robots.</w:t>
      </w:r>
    </w:p>
    <w:p>
      <w:pPr>
        <w:pStyle w:val="ListParagraph"/>
        <w:numPr>
          <w:ilvl w:val="0"/>
          <w:numId w:val="2"/>
        </w:numPr>
        <w:spacing w:after="60" w:before="60" w:line="300"/>
        <w:jc w:val="both"/>
      </w:pPr>
      <w:r>
        <w:rPr>
          <w:rFonts w:ascii="Arial" w:cs="Arial" w:eastAsia="Arial" w:hAnsi="Arial"/>
          <w:color w:val="404040"/>
          <w:sz w:val="22"/>
          <w:szCs w:val="22"/>
        </w:rPr>
        <w:t xml:space="preserve">AGREE / REFUSE : prévus pour acquitter les requêtes dans une implémentation étendue.</w:t>
      </w:r>
    </w:p>
    <w:p>
      <w:pPr>
        <w:pStyle w:val="Heading2"/>
        <w:spacing w:after="160" w:before="320"/>
      </w:pPr>
      <w:r>
        <w:rPr>
          <w:rFonts w:ascii="Arial" w:cs="Arial" w:eastAsia="Arial" w:hAnsi="Arial"/>
          <w:b/>
          <w:bCs/>
          <w:color w:val="1F4E79"/>
          <w:sz w:val="26"/>
          <w:szCs w:val="26"/>
        </w:rPr>
        <w:t xml:space="preserve">5.4 Illustration de la Coordination et de la Délégation</w:t>
      </w:r>
    </w:p>
    <w:p>
      <w:pPr>
        <w:spacing w:after="80" w:before="80" w:line="320"/>
        <w:jc w:val="both"/>
      </w:pPr>
      <w:r>
        <w:rPr>
          <w:rFonts w:ascii="Arial" w:cs="Arial" w:eastAsia="Arial" w:hAnsi="Arial"/>
          <w:color w:val="404040"/>
          <w:sz w:val="22"/>
          <w:szCs w:val="22"/>
        </w:rPr>
        <w:t xml:space="preserve">Cette partie illustre deux concepts fondamentaux des SMA : la coordination (comment synchroniser les actions de plusieurs agents pour atteindre un objectif global cohérent) et la délégation (comment un agent de haut niveau confie l'exécution d'une tâche à un agent spécialisé). Le modèle centralisé est particulièrement adapté aux environnements où la cohérence globale prime sur la réactivité locale, comme la planification de missions robotiques ou la gestion de flux de production.</w:t>
      </w:r>
    </w:p>
    <w:p>
      <w:pPr>
        <w:spacing w:after="80" w:before="0"/>
      </w:pPr>
      <w:r>
        <w:t xml:space="preserve"/>
      </w:r>
    </w:p>
    <w:p>
      <w:pPr>
        <w:pStyle w:val="Heading1"/>
        <w:spacing w:after="160" w:before="320"/>
      </w:pPr>
      <w:r>
        <w:rPr>
          <w:rFonts w:ascii="Arial" w:cs="Arial" w:eastAsia="Arial" w:hAnsi="Arial"/>
          <w:b/>
          <w:bCs/>
          <w:color w:val="1F4E79"/>
          <w:sz w:val="32"/>
          <w:szCs w:val="32"/>
        </w:rPr>
        <w:t xml:space="preserve">6. Conclusion</w:t>
      </w:r>
    </w:p>
    <w:p>
      <w:pPr>
        <w:spacing w:after="80" w:before="80" w:line="320"/>
        <w:jc w:val="both"/>
      </w:pPr>
      <w:r>
        <w:rPr>
          <w:rFonts w:ascii="Arial" w:cs="Arial" w:eastAsia="Arial" w:hAnsi="Arial"/>
          <w:color w:val="404040"/>
          <w:sz w:val="22"/>
          <w:szCs w:val="22"/>
        </w:rPr>
        <w:t xml:space="preserve">Ce mini-projet a permis d'explorer de manière concrète et progressive les principaux paradigmes des systèmes multi-agents et de la planification artificielle. À travers quatre parties complémentaires, nous avons pu mettre en lumière la richesse et la polyvalence de ce domaine.</w:t>
      </w:r>
    </w:p>
    <w:p>
      <w:pPr>
        <w:spacing w:after="80" w:before="80" w:line="320"/>
        <w:jc w:val="both"/>
      </w:pPr>
      <w:r>
        <w:rPr>
          <w:rFonts w:ascii="Arial" w:cs="Arial" w:eastAsia="Arial" w:hAnsi="Arial"/>
          <w:color w:val="404040"/>
          <w:sz w:val="22"/>
          <w:szCs w:val="22"/>
        </w:rPr>
        <w:t xml:space="preserve">La partie 1 a démontré comment des agents autonomes peuvent négocier de manière décentralisée pour atteindre un accord, à travers le mécanisme d'enchères. La partie 2 a introduit la notion d'agent mobile, capable de se déplacer physiquement entre conteneurs pour collecter de l'information et d'appliquer une décision multicritère rationnelle. Ces deux premières parties soulignent l'importance de protocoles de communication standardisés (FIPA/JADE) pour garantir l'interopérabilité entre agents.</w:t>
      </w:r>
    </w:p>
    <w:p>
      <w:pPr>
        <w:spacing w:after="80" w:before="80" w:line="320"/>
        <w:jc w:val="both"/>
      </w:pPr>
      <w:r>
        <w:rPr>
          <w:rFonts w:ascii="Arial" w:cs="Arial" w:eastAsia="Arial" w:hAnsi="Arial"/>
          <w:color w:val="404040"/>
          <w:sz w:val="22"/>
          <w:szCs w:val="22"/>
        </w:rPr>
        <w:t xml:space="preserve">La partie 3 a permis d'appréhender la planification à ordre partiel comme une approche flexible et efficace pour résoudre des problèmes séquentiels, en tirant parti du principe de moindre engagement. La visualisation graphique du plan généré constitue une contribution pédagogique significative pour rendre ces concepts accessibles. Enfin, la partie 4 a illustré comment un planificateur central peut orchestrer un ensemble d'agents exécutants dans un système distribué, en articulant coordination et délégation.</w:t>
      </w:r>
    </w:p>
    <w:p>
      <w:pPr>
        <w:spacing w:after="80" w:before="80" w:line="320"/>
        <w:jc w:val="both"/>
      </w:pPr>
      <w:r>
        <w:rPr>
          <w:rFonts w:ascii="Arial" w:cs="Arial" w:eastAsia="Arial" w:hAnsi="Arial"/>
          <w:color w:val="404040"/>
          <w:sz w:val="22"/>
          <w:szCs w:val="22"/>
        </w:rPr>
        <w:t xml:space="preserve">En définitive, les systèmes multi-agents s'affirment comme un outil puissant pour modéliser et résoudre des problèmes complexes du monde réel. La combinaison de l'autonomie, de la réactivité et de la coopération entre agents ouvre des perspectives prometteuses dans des domaines aussi variés que la robotique, la logistique, les systèmes financiers et la gestion des réseaux intelligents.</w:t>
      </w:r>
    </w:p>
    <w:p>
      <w:pPr>
        <w:spacing w:after="80" w:before="0"/>
      </w:pPr>
      <w:r>
        <w:t xml:space="preserve"/>
      </w:r>
    </w:p>
    <w:p>
      <w:pPr>
        <w:pStyle w:val="Heading1"/>
        <w:spacing w:after="160" w:before="320"/>
      </w:pPr>
      <w:r>
        <w:rPr>
          <w:rFonts w:ascii="Arial" w:cs="Arial" w:eastAsia="Arial" w:hAnsi="Arial"/>
          <w:b/>
          <w:bCs/>
          <w:color w:val="1F4E79"/>
          <w:sz w:val="32"/>
          <w:szCs w:val="32"/>
        </w:rPr>
        <w:t xml:space="preserve">Références</w:t>
      </w:r>
    </w:p>
    <w:p>
      <w:pPr>
        <w:pStyle w:val="ListParagraph"/>
        <w:numPr>
          <w:ilvl w:val="0"/>
          <w:numId w:val="2"/>
        </w:numPr>
        <w:spacing w:after="60" w:before="60" w:line="300"/>
        <w:jc w:val="both"/>
      </w:pPr>
      <w:r>
        <w:rPr>
          <w:rFonts w:ascii="Arial" w:cs="Arial" w:eastAsia="Arial" w:hAnsi="Arial"/>
          <w:color w:val="404040"/>
          <w:sz w:val="22"/>
          <w:szCs w:val="22"/>
        </w:rPr>
        <w:t xml:space="preserve">Russell, S., &amp; Norvig, P. (2020). Artificial Intelligence: A Modern Approach (4th ed.). Pearson.</w:t>
      </w:r>
    </w:p>
    <w:p>
      <w:pPr>
        <w:pStyle w:val="ListParagraph"/>
        <w:numPr>
          <w:ilvl w:val="0"/>
          <w:numId w:val="2"/>
        </w:numPr>
        <w:spacing w:after="60" w:before="60" w:line="300"/>
        <w:jc w:val="both"/>
      </w:pPr>
      <w:r>
        <w:rPr>
          <w:rFonts w:ascii="Arial" w:cs="Arial" w:eastAsia="Arial" w:hAnsi="Arial"/>
          <w:color w:val="404040"/>
          <w:sz w:val="22"/>
          <w:szCs w:val="22"/>
        </w:rPr>
        <w:t xml:space="preserve">Bellifemine, F., Caire, G., &amp; Greenwood, D. (2007). Developing Multi-Agent Systems with JADE. Wiley.</w:t>
      </w:r>
    </w:p>
    <w:p>
      <w:pPr>
        <w:pStyle w:val="ListParagraph"/>
        <w:numPr>
          <w:ilvl w:val="0"/>
          <w:numId w:val="2"/>
        </w:numPr>
        <w:spacing w:after="60" w:before="60" w:line="300"/>
        <w:jc w:val="both"/>
      </w:pPr>
      <w:r>
        <w:rPr>
          <w:rFonts w:ascii="Arial" w:cs="Arial" w:eastAsia="Arial" w:hAnsi="Arial"/>
          <w:color w:val="404040"/>
          <w:sz w:val="22"/>
          <w:szCs w:val="22"/>
        </w:rPr>
        <w:t xml:space="preserve">JADE Framework Documentation. (2025). JADE — Java Agent DEvelopment Framework. https://jade.tilab.com/</w:t>
      </w:r>
    </w:p>
    <w:p>
      <w:pPr>
        <w:pStyle w:val="ListParagraph"/>
        <w:numPr>
          <w:ilvl w:val="0"/>
          <w:numId w:val="2"/>
        </w:numPr>
        <w:spacing w:after="60" w:before="60" w:line="300"/>
        <w:jc w:val="both"/>
      </w:pPr>
      <w:r>
        <w:rPr>
          <w:rFonts w:ascii="Arial" w:cs="Arial" w:eastAsia="Arial" w:hAnsi="Arial"/>
          <w:color w:val="404040"/>
          <w:sz w:val="22"/>
          <w:szCs w:val="22"/>
        </w:rPr>
        <w:t xml:space="preserve">AIMA Python Repository. (2025). aima-python — Planning Partial Order Planner. https://github.com/aimacode/aima-python</w:t>
      </w:r>
    </w:p>
    <w:p>
      <w:pPr>
        <w:pStyle w:val="ListParagraph"/>
        <w:numPr>
          <w:ilvl w:val="0"/>
          <w:numId w:val="2"/>
        </w:numPr>
        <w:spacing w:after="60" w:before="60" w:line="300"/>
        <w:jc w:val="both"/>
      </w:pPr>
      <w:r>
        <w:rPr>
          <w:rFonts w:ascii="Arial" w:cs="Arial" w:eastAsia="Arial" w:hAnsi="Arial"/>
          <w:color w:val="404040"/>
          <w:sz w:val="22"/>
          <w:szCs w:val="22"/>
        </w:rPr>
        <w:t xml:space="preserve">FIPA (Foundation for Intelligent Physical Agents). (2002). FIPA ACL Message Structure Specification. http://www.fipa.org/</w:t>
      </w:r>
    </w:p>
    <w:p>
      <w:pPr>
        <w:pStyle w:val="ListParagraph"/>
        <w:numPr>
          <w:ilvl w:val="0"/>
          <w:numId w:val="2"/>
        </w:numPr>
        <w:spacing w:after="60" w:before="60" w:line="300"/>
        <w:jc w:val="both"/>
      </w:pPr>
      <w:r>
        <w:rPr>
          <w:rFonts w:ascii="Arial" w:cs="Arial" w:eastAsia="Arial" w:hAnsi="Arial"/>
          <w:color w:val="404040"/>
          <w:sz w:val="22"/>
          <w:szCs w:val="22"/>
        </w:rPr>
        <w:t xml:space="preserve">Dellal-Hedjazi, B. (2025-2026). Cours Technologies des Agents, M1 SII. USTHB, Faculté d'Informatique.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	Module : Technologies des Agents — Prof. B. Dellal-Hedjazi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Mini-Projet : Systèmes Multi-Agents &amp; Planification  |  USTHB — M1 SII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2026-05-09T01:31:16.969Z</dcterms:created>
  <dcterms:modified xsi:type="dcterms:W3CDTF">2026-05-09T01:31:16.969Z</dcterms:modified>
</cp:coreProperties>
</file>

<file path=docProps/custom.xml><?xml version="1.0" encoding="utf-8"?>
<Properties xmlns="http://schemas.openxmlformats.org/officeDocument/2006/custom-properties" xmlns:vt="http://schemas.openxmlformats.org/officeDocument/2006/docPropsVTypes"/>
</file>