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ACUAN KELOMPOK PEMOHON</w:t>
      </w:r>
    </w:p>
    <w:p>
      <w:pPr>
        <w:spacing w:after="80"/>
        <w:jc w:val="center"/>
      </w:pPr>
      <w:r>
        <w:rPr>
          <w:rFonts w:ascii="Arial" w:cs="Arial" w:eastAsia="Arial" w:hAnsi="Arial"/>
          <w:b/>
          <w:bCs/>
          <w:sz w:val="24"/>
          <w:szCs w:val="24"/>
        </w:rPr>
        <w:t xml:space="preserve">Pengujian Pasal 8 ayat (2) UU No. 13 Tahun 2011 tentang Penanganan Fakir Miskin</w:t>
      </w:r>
    </w:p>
    <w:p>
      <w:pPr>
        <w:spacing w:after="240"/>
        <w:jc w:val="center"/>
      </w:pPr>
      <w:r>
        <w:rPr>
          <w:rFonts w:ascii="Arial" w:cs="Arial" w:eastAsia="Arial" w:hAnsi="Arial"/>
          <w:i/>
          <w:iCs/>
          <w:sz w:val="20"/>
          <w:szCs w:val="20"/>
        </w:rPr>
        <w:t xml:space="preserve">Simulasi Praktik Peradilan Konstitusi · per 30 September 2026</w:t>
      </w:r>
    </w:p>
    <w:p>
      <w:pPr>
        <w:spacing w:after="120" w:line="276"/>
        <w:jc w:val="both"/>
      </w:pPr>
      <w:r>
        <w:rPr>
          <w:rFonts w:ascii="Arial" w:cs="Arial" w:eastAsia="Arial" w:hAnsi="Arial"/>
        </w:rPr>
        <w:t xml:space="preserve">Kita menguji Pasal 8 ayat (2) UU 13/2011 karena penetapan kriteria fakir miskin hanya melibatkan kementerian dan lembaga, tanpa partisipasi masyarakat. Kita meminta putusan </w:t>
      </w:r>
      <w:r>
        <w:rPr>
          <w:rFonts w:ascii="Arial" w:cs="Arial" w:eastAsia="Arial" w:hAnsi="Arial"/>
          <w:b/>
          <w:bCs/>
        </w:rPr>
        <w:t xml:space="preserve">inkonstitusional bersyarat</w:t>
      </w:r>
      <w:r>
        <w:rPr>
          <w:rFonts w:ascii="Arial" w:cs="Arial" w:eastAsia="Arial" w:hAnsi="Arial"/>
        </w:rPr>
        <w:t xml:space="preserve">, dan memakai polemik desil DTSEN sebagai bukti.</w:t>
      </w:r>
    </w:p>
    <w:p>
      <w:pPr>
        <w:spacing w:after="120" w:line="276"/>
        <w:jc w:val="both"/>
      </w:pPr>
      <w:r>
        <w:rPr>
          <w:rFonts w:ascii="Arial" w:cs="Arial" w:eastAsia="Arial" w:hAnsi="Arial"/>
          <w:b/>
          <w:bCs/>
          <w:i/>
          <w:iCs/>
        </w:rPr>
        <w:t xml:space="preserve">Catatan:</w:t>
      </w:r>
      <w:r>
        <w:rPr>
          <w:rFonts w:ascii="Arial" w:cs="Arial" w:eastAsia="Arial" w:hAnsi="Arial"/>
          <w:i/>
          <w:iCs/>
        </w:rPr>
        <w:t xml:space="preserve"> semua nama dan identitas di dokumen ini fiktif, untuk simulasi sidang.</w:t>
      </w:r>
    </w:p>
    <w:p>
      <w:pPr>
        <w:pStyle w:val="Heading1"/>
      </w:pPr>
      <w:r>
        <w:rPr>
          <w:rFonts w:ascii="Arial" w:cs="Arial" w:eastAsia="Arial" w:hAnsi="Arial"/>
        </w:rPr>
        <w:t xml:space="preserve">1. Pokok Perkara</w:t>
      </w:r>
    </w:p>
    <w:p>
      <w:pPr>
        <w:spacing w:after="120" w:line="276"/>
        <w:jc w:val="both"/>
      </w:pPr>
      <w:r>
        <w:rPr>
          <w:rFonts w:ascii="Arial" w:cs="Arial" w:eastAsia="Arial" w:hAnsi="Arial"/>
        </w:rPr>
        <w:t xml:space="preserve">Objek permohonan hanya satu: </w:t>
      </w:r>
      <w:r>
        <w:rPr>
          <w:rFonts w:ascii="Arial" w:cs="Arial" w:eastAsia="Arial" w:hAnsi="Arial"/>
          <w:b/>
          <w:bCs/>
        </w:rPr>
        <w:t xml:space="preserve">Pasal 8 ayat (2) UU 13/2011</w:t>
      </w:r>
      <w:r>
        <w:rPr>
          <w:rFonts w:ascii="Arial" w:cs="Arial" w:eastAsia="Arial" w:hAnsi="Arial"/>
        </w:rPr>
        <w:t xml:space="preserve">. Kita tidak mencabut kewenangan Menteri; kita meminta proses penetapan kriteria dibuka untuk masyarakat.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Unsur</w:t>
            </w:r>
          </w:p>
        </w:tc>
        <w:tc>
          <w:tcPr>
            <w:tcW w:type="dxa" w:w="7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Isi</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Objek</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8 ayat (2): “Dalam menetapkan kriteria sebagaimana dimaksud pada ayat (1), Menteri berkoordinasi dengan kementerian dan lembaga terkait.”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Masalah norma</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Daftar pihaknya limitatif (hanya K/L), sehingga masyarakat, termasuk fakir miskin, tertutup dari penetapan kriteria</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Bingkai dalil</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Partisipasi masyarakat yang bermakna: hak didengar, dipertimbangkan, dan diberi penjelasan (analogi Putusan MK 91/PUU-XVIII/2020)</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Batu uji inti</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28C ayat (2), Pasal 28D ayat (3), Pasal 34 ayat (2) UUD 1945</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Batu uji pendukung</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28D ayat (1), Pasal 28F, Pasal 28I ayat (2)</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Bukti empiris utama</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Polemik desil DTSEN 2025–2026</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Jenis putusan yang diminta</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Inkonstitusional bersyarat</w:t>
            </w:r>
          </w:p>
        </w:tc>
      </w:tr>
    </w:tbl>
    <w:p>
      <w:pPr>
        <w:spacing w:after="60" w:before="120"/>
      </w:pPr>
      <w:r>
        <w:rPr>
          <w:rFonts w:ascii="Arial" w:cs="Arial" w:eastAsia="Arial" w:hAnsi="Arial"/>
          <w:b/>
          <w:bCs/>
        </w:rPr>
        <w:t xml:space="preserve">Petitum yang diajukan:</w:t>
      </w:r>
    </w:p>
    <w:p>
      <w:pPr>
        <w:pStyle w:val="ListParagraph"/>
        <w:numPr>
          <w:ilvl w:val="0"/>
          <w:numId w:val="2"/>
        </w:numPr>
        <w:spacing w:after="60"/>
      </w:pPr>
      <w:r>
        <w:rPr>
          <w:rFonts w:ascii="Arial" w:cs="Arial" w:eastAsia="Arial" w:hAnsi="Arial"/>
        </w:rPr>
        <w:t xml:space="preserve">Mengabulkan permohonan para Pemohon untuk seluruhnya.</w:t>
      </w:r>
    </w:p>
    <w:p>
      <w:pPr>
        <w:pStyle w:val="ListParagraph"/>
        <w:numPr>
          <w:ilvl w:val="0"/>
          <w:numId w:val="2"/>
        </w:numPr>
        <w:spacing w:after="60"/>
      </w:pPr>
      <w:r>
        <w:rPr>
          <w:rFonts w:ascii="Arial" w:cs="Arial" w:eastAsia="Arial" w:hAnsi="Arial"/>
        </w:rPr>
        <w:t xml:space="preserve">Menyatakan Pasal 8 ayat (2) Undang-Undang Nomor 13 Tahun 2011 tentang Penanganan Fakir Miskin (Lembaran Negara Republik Indonesia Tahun 2011 Nomor 83, Tambahan Lembaran Negara Republik Indonesia Nomor 5235) bertentangan dengan Undang-Undang Dasar Negara Republik Indonesia Tahun 1945 dan tidak mempunyai kekuatan hukum mengikat </w:t>
      </w:r>
      <w:r>
        <w:rPr>
          <w:rFonts w:ascii="Arial" w:cs="Arial" w:eastAsia="Arial" w:hAnsi="Arial"/>
          <w:b/>
          <w:bCs/>
        </w:rPr>
        <w:t xml:space="preserve">secara bersyarat sepanjang tidak dimaknai</w:t>
      </w:r>
      <w:r>
        <w:rPr>
          <w:rFonts w:ascii="Arial" w:cs="Arial" w:eastAsia="Arial" w:hAnsi="Arial"/>
        </w:rPr>
        <w:t xml:space="preserve"> “Dalam menetapkan kriteria sebagaimana dimaksud pada ayat (1), Menteri berkoordinasi dengan kementerian dan lembaga terkait serta melibatkan partisipasi masyarakat, termasuk fakir miskin, secara bermakna”.</w:t>
      </w:r>
    </w:p>
    <w:p>
      <w:pPr>
        <w:pStyle w:val="ListParagraph"/>
        <w:numPr>
          <w:ilvl w:val="0"/>
          <w:numId w:val="2"/>
        </w:numPr>
        <w:spacing w:after="60"/>
      </w:pPr>
      <w:r>
        <w:rPr>
          <w:rFonts w:ascii="Arial" w:cs="Arial" w:eastAsia="Arial" w:hAnsi="Arial"/>
        </w:rPr>
        <w:t xml:space="preserve">Memerintahkan pemuatan putusan ini dalam Berita Negara Republik Indonesia sebagaimana mestinya.</w:t>
      </w:r>
    </w:p>
    <w:p>
      <w:pPr>
        <w:pStyle w:val="ListParagraph"/>
        <w:numPr>
          <w:ilvl w:val="0"/>
          <w:numId w:val="2"/>
        </w:numPr>
        <w:spacing w:after="60"/>
      </w:pPr>
      <w:r>
        <w:rPr>
          <w:rFonts w:ascii="Arial" w:cs="Arial" w:eastAsia="Arial" w:hAnsi="Arial"/>
        </w:rPr>
        <w:t xml:space="preserve">Atau, apabila Mahkamah berpendapat lain, mohon putusan yang seadil-adilnya (ex aequo et bono).</w:t>
      </w:r>
    </w:p>
    <w:p>
      <w:pPr>
        <w:spacing w:after="120" w:line="276"/>
        <w:jc w:val="both"/>
      </w:pPr>
      <w:r>
        <w:rPr>
          <w:rFonts w:ascii="Arial" w:cs="Arial" w:eastAsia="Arial" w:hAnsi="Arial"/>
          <w:b/>
          <w:bCs/>
        </w:rPr>
        <w:t xml:space="preserve">Alasan memilih bersyarat:</w:t>
      </w:r>
      <w:r>
        <w:rPr>
          <w:rFonts w:ascii="Arial" w:cs="Arial" w:eastAsia="Arial" w:hAnsi="Arial"/>
        </w:rPr>
        <w:t xml:space="preserve"> norma koordinasi dengan K/L tetap perlu, cacatnya hanya makna yang kurang. Pembatalan penuh akan menimbulkan kekosongan hukum, dan MK bukan pembentuk undang-undang (positive legislator).</w:t>
      </w:r>
    </w:p>
    <w:p>
      <w:pPr>
        <w:pStyle w:val="Heading1"/>
      </w:pPr>
      <w:r>
        <w:rPr>
          <w:rFonts w:ascii="Arial" w:cs="Arial" w:eastAsia="Arial" w:hAnsi="Arial"/>
        </w:rPr>
        <w:t xml:space="preserve">2. Kronologi Perkara</w:t>
      </w:r>
    </w:p>
    <w:p>
      <w:pPr>
        <w:spacing w:after="120" w:line="276"/>
        <w:jc w:val="both"/>
      </w:pPr>
      <w:r>
        <w:rPr>
          <w:rFonts w:ascii="Arial" w:cs="Arial" w:eastAsia="Arial" w:hAnsi="Arial"/>
        </w:rPr>
        <w:t xml:space="preserve">Sejak 2011 kriteria fakir miskin selalu ditetapkan di lingkaran K/L, dan puncak masalahnya terlihat pada polemik desil Agustus–September 2026. Urutan di bawah dari yang terlama ke yang terbaru.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238"/>
        <w:gridCol w:w="360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Waktu</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Peristiwa</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Arti untuk perkara kita</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18 Agustus 2011</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UU 13/2011 disahkan. Pasal 8 ayat (2): Menteri berkoordinasi hanya dengan K/L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Awal norma yang kita uji</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2013</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Kepmensos 146/HUK/2013: 14 kriteria fakir miskin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Kriteria ditetapkan lewat Keputusan, tanpa jaminan partisipasi</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2022</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Kepmensos 262/HUK/2022: 9 indikator (lantai, dinding, jamban, pekerjaan, pangan)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Kriteria berganti atas kehendak eksekutif</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2025</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Inpres 4/2025 dan Peraturan BPS 6/2025: DTSEN, BPS menjadi penentu tunggal desil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Penentu dan ukuran bergeser tanpa masyarakat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 Januari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Putusan MK 218/PUU-XXIII/2025 ditolak; yang diuji Pasal 2, 5, 12–18</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8 belum pernah diuji, aman dari ne bis in idem</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PKH dan BPNT hanya untuk desil 1–4; data diperbarui tiap 3 bulan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Ambang desil menjadi gerbang hak</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Mensos: kepala daerah dan pendamping bukan penentu; “yang menentukan adalah BPS”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Pengakuan resmi bahwa prosesnya tertutup</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Agustus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Pak Timbul, tukang becak Kulon Progo, naik dari desil 1 ke desil 9; setelah viral dikoreksi ke desil 3</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Koreksi bergantung pada viral</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Agustus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Menkeu: anaknya desil 7, ada tukang becak desil 10; disiapkan ±Rp7 triliun untuk benahi DTSEN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Pemerintah mengakui masalah</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 September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Komisi XI DPR memberi BPS tenggat 2 minggu untuk sanggahan desil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Pembentuk UU mengakui masalah</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 September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Kemensos: desil bukan penentu kaya atau miskin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Kontradiksi dengan pemakaian desil untuk bansos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 September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BPS: desil hanya posisi relatif, bukan ukuran kemiskinan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Kontradiksi dengan definisi Pasal 1 angka 1 UU 13/2011</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 September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Kemensos, BPS, dan Celios berdiskusi terbuka di Politeknik STIS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Partisipasi baru muncul setelah krisis, tidak dilembagakan</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September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CORE Indonesia: exclusion error lebih dari 70% (PKH, BPNT, PIP), inclusion error 36–46%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Bukti kuantitatif</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September 2026</w:t>
            </w:r>
          </w:p>
        </w:tc>
        <w:tc>
          <w:tcPr>
            <w:tcW w:type="dxa" w:w="4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Pemerintah akan mengkaji ulang parameter desil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Kajian ulang lagi-lagi tanpa kanal partisipasi yang dijamin UU</w:t>
            </w:r>
          </w:p>
        </w:tc>
      </w:tr>
    </w:tbl>
    <w:p>
      <w:pPr>
        <w:spacing w:after="120"/>
      </w:pPr>
    </w:p>
    <w:p>
      <w:pPr>
        <w:spacing w:after="120" w:line="276"/>
        <w:jc w:val="both"/>
      </w:pPr>
      <w:r>
        <w:rPr>
          <w:rFonts w:ascii="Arial" w:cs="Arial" w:eastAsia="Arial" w:hAnsi="Arial"/>
          <w:i/>
          <w:iCs/>
        </w:rPr>
        <w:t xml:space="preserve">Fakta 2026 masih bergerak; perbarui menjelang sidang simulasi.</w:t>
      </w:r>
    </w:p>
    <w:p>
      <w:pPr>
        <w:pStyle w:val="Heading1"/>
      </w:pPr>
      <w:r>
        <w:rPr>
          <w:rFonts w:ascii="Arial" w:cs="Arial" w:eastAsia="Arial" w:hAnsi="Arial"/>
        </w:rPr>
        <w:t xml:space="preserve">3. Para Pemohon</w:t>
      </w:r>
    </w:p>
    <w:p>
      <w:pPr>
        <w:spacing w:after="120" w:line="276"/>
        <w:jc w:val="both"/>
      </w:pPr>
      <w:r>
        <w:rPr>
          <w:rFonts w:ascii="Arial" w:cs="Arial" w:eastAsia="Arial" w:hAnsi="Arial"/>
        </w:rPr>
        <w:t xml:space="preserve">Empat pemohon mewakili empat wajah masalah: warga yang tercoret desil, petugas lapangan, warga wilayah pesisir, dan organisasi advokasi. Semua fiktif; NIK ditulis bertanda 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650"/>
        <w:gridCol w:w="3288"/>
        <w:gridCol w:w="1600"/>
        <w:gridCol w:w="22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Pemohon</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Nama</w:t>
            </w:r>
          </w:p>
        </w:tc>
        <w:tc>
          <w:tcPr>
            <w:tcW w:type="dxa" w:w="32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Identitas</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Kategori Pasal 51 UU MK</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Wajah masalah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Siti Rohmah</w:t>
            </w:r>
          </w:p>
        </w:tc>
        <w:tc>
          <w:tcPr>
            <w:tcW w:type="dxa" w:w="3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44 tahun, buruh cuci harian, orang tua tunggal 3 anak; kontrakan di Kel. Sukapura, Kota Bandung; NIK 3273xxxxxxxxxxxx</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Perorangan WNI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Tercoret desil tanpa penjelasan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II</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Dedi Kurniawan</w:t>
            </w:r>
          </w:p>
        </w:tc>
        <w:tc>
          <w:tcPr>
            <w:tcW w:type="dxa" w:w="3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36 tahun, guru honorer; Pekerja Sosial Masyarakat (SK Dinsos Kab. Garut) dan pengurus Karang Taruna; Desa Sukamulya, Kab. Garut; NIK 3205xxxxxxxxxxxx</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Perorangan WNI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Pelaksana verifikasi yang tidak punya suara atas kriteria</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III</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La Ode Haris</w:t>
            </w:r>
          </w:p>
        </w:tc>
        <w:tc>
          <w:tcPr>
            <w:tcW w:type="dxa" w:w="3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52 tahun, nelayan tradisional tanpa mesin; pulau kecil di Kab. Kepulauan Selayar; NIK 7301xxxxxxxxxxxx</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Perorangan WNI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Kearifan lokal tidak terbaca kriteria nasional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IV</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Perkumpulan Suara Warga Berdaya (PSWB)</w:t>
            </w:r>
          </w:p>
        </w:tc>
        <w:tc>
          <w:tcPr>
            <w:tcW w:type="dxa" w:w="32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Badan hukum perkumpulan (akta notaris + SK Kemenkumham); diwakili Ketua dan Sekretaris sesuai AD/ART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Badan hukum privat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Organisasi advokasi yang pintunya tertutup di hulu</w:t>
            </w:r>
          </w:p>
        </w:tc>
      </w:tr>
    </w:tbl>
    <w:p>
      <w:pPr>
        <w:spacing w:after="120"/>
      </w:pPr>
    </w:p>
    <w:p>
      <w:pPr>
        <w:spacing w:after="120" w:line="276"/>
        <w:jc w:val="both"/>
      </w:pPr>
      <w:r>
        <w:rPr>
          <w:rFonts w:ascii="Arial" w:cs="Arial" w:eastAsia="Arial" w:hAnsi="Arial"/>
        </w:rPr>
        <w:t xml:space="preserve">Nama PSWB harus dicek agar tidak sama dengan organisasi nyata. Pak Timbul dan orang nyata lain hanya dikutip sebagai fakta berita, tidak dijadikan pemohon.</w:t>
      </w:r>
    </w:p>
    <w:p>
      <w:pPr>
        <w:pStyle w:val="Heading1"/>
      </w:pPr>
      <w:r>
        <w:rPr>
          <w:rFonts w:ascii="Arial" w:cs="Arial" w:eastAsia="Arial" w:hAnsi="Arial"/>
        </w:rPr>
        <w:t xml:space="preserve">4. Kedudukan Hukum (Legal Standing)</w:t>
      </w:r>
    </w:p>
    <w:p>
      <w:pPr>
        <w:spacing w:after="120" w:line="276"/>
        <w:jc w:val="both"/>
      </w:pPr>
      <w:r>
        <w:rPr>
          <w:rFonts w:ascii="Arial" w:cs="Arial" w:eastAsia="Arial" w:hAnsi="Arial"/>
        </w:rPr>
        <w:t xml:space="preserve">Setiap Pemohon memenuhi lima syarat kerugian konstitusional karena hak berpartisipasinya hilang langsung akibat rumusan Pasal 8 ayat (2). Dasarnya </w:t>
      </w:r>
      <w:r>
        <w:rPr>
          <w:rFonts w:ascii="Arial" w:cs="Arial" w:eastAsia="Arial" w:hAnsi="Arial"/>
          <w:b/>
          <w:bCs/>
        </w:rPr>
        <w:t xml:space="preserve">Pasal 51 ayat (1) UU MK</w:t>
      </w:r>
      <w:r>
        <w:rPr>
          <w:rFonts w:ascii="Arial" w:cs="Arial" w:eastAsia="Arial" w:hAnsi="Arial"/>
        </w:rPr>
        <w:t xml:space="preserve"> (UU 24/2003 jo. UU 8/2011 jo. UU 7/2020) serta lima syarat dalam </w:t>
      </w:r>
      <w:r>
        <w:rPr>
          <w:rFonts w:ascii="Arial" w:cs="Arial" w:eastAsia="Arial" w:hAnsi="Arial"/>
          <w:b/>
          <w:bCs/>
        </w:rPr>
        <w:t xml:space="preserve">Putusan 006/PUU-III/2005 dan 11/PUU-V/2007</w:t>
      </w:r>
      <w:r>
        <w:rPr>
          <w:rFonts w:ascii="Arial" w:cs="Arial" w:eastAsia="Arial" w:hAnsi="Arial"/>
        </w:rPr>
        <w:t xml:space="preserve"> (kini juga dimuat dalam PMK 2/2021).</w:t>
      </w:r>
    </w:p>
    <w:p>
      <w:pPr>
        <w:spacing w:after="60" w:before="120"/>
      </w:pPr>
      <w:r>
        <w:rPr>
          <w:rFonts w:ascii="Arial" w:cs="Arial" w:eastAsia="Arial" w:hAnsi="Arial"/>
          <w:b/>
          <w:bCs/>
        </w:rPr>
        <w:t xml:space="preserve">Kerugian disusun dua lapis:</w:t>
      </w:r>
    </w:p>
    <w:p>
      <w:pPr>
        <w:pStyle w:val="ListParagraph"/>
        <w:numPr>
          <w:ilvl w:val="0"/>
          <w:numId w:val="3"/>
        </w:numPr>
        <w:spacing w:after="60"/>
      </w:pPr>
      <w:r>
        <w:rPr>
          <w:rFonts w:ascii="Arial" w:cs="Arial" w:eastAsia="Arial" w:hAnsi="Arial"/>
          <w:b/>
          <w:bCs/>
        </w:rPr>
        <w:t xml:space="preserve">Lapis 1 (utama, prosedural):</w:t>
      </w:r>
      <w:r>
        <w:rPr>
          <w:rFonts w:ascii="Arial" w:cs="Arial" w:eastAsia="Arial" w:hAnsi="Arial"/>
        </w:rPr>
        <w:t xml:space="preserve"> hilangnya hak turut serta dalam penetapan kriteria. Ini akibat langsung bunyi norma, sehingga tidak bisa dibantah dengan dalih implementasi.</w:t>
      </w:r>
    </w:p>
    <w:p>
      <w:pPr>
        <w:pStyle w:val="ListParagraph"/>
        <w:numPr>
          <w:ilvl w:val="0"/>
          <w:numId w:val="3"/>
        </w:numPr>
        <w:spacing w:after="60"/>
      </w:pPr>
      <w:r>
        <w:rPr>
          <w:rFonts w:ascii="Arial" w:cs="Arial" w:eastAsia="Arial" w:hAnsi="Arial"/>
          <w:b/>
          <w:bCs/>
        </w:rPr>
        <w:t xml:space="preserve">Lapis 2 (penguat, substantif):</w:t>
      </w:r>
      <w:r>
        <w:rPr>
          <w:rFonts w:ascii="Arial" w:cs="Arial" w:eastAsia="Arial" w:hAnsi="Arial"/>
        </w:rPr>
        <w:t xml:space="preserve"> tercoret atau salah terdata, lalu kehilangan PKH, BPNT, atau PBI JKN.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8"/>
        <w:gridCol w:w="1975"/>
        <w:gridCol w:w="1975"/>
        <w:gridCol w:w="1975"/>
        <w:gridCol w:w="1975"/>
      </w:tblGrid>
      <w:tr>
        <w:trPr>
          <w:tblHeader/>
        </w:trPr>
        <w:tc>
          <w:tcPr>
            <w:tcW w:type="dxa" w:w="1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Syarat</w:t>
            </w:r>
          </w:p>
        </w:tc>
        <w:tc>
          <w:tcPr>
            <w:tcW w:type="dxa" w:w="19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Pemohon I (Siti)</w:t>
            </w:r>
          </w:p>
        </w:tc>
        <w:tc>
          <w:tcPr>
            <w:tcW w:type="dxa" w:w="19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Pemohon II (Dedi)</w:t>
            </w:r>
          </w:p>
        </w:tc>
        <w:tc>
          <w:tcPr>
            <w:tcW w:type="dxa" w:w="19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Pemohon III (La Ode)</w:t>
            </w:r>
          </w:p>
        </w:tc>
        <w:tc>
          <w:tcPr>
            <w:tcW w:type="dxa" w:w="19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Pemohon IV (PSWB)</w:t>
            </w:r>
          </w:p>
        </w:tc>
      </w:tr>
      <w:tr>
        <w:trPr>
          <w:cantSplit/>
        </w:trPr>
        <w:tc>
          <w:tcPr>
            <w:tcW w:type="dxa" w:w="1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 Hak konstitusional</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28C(2), 28D(3), 34(2), 28D(1)</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28C(2), 28D(3), 28D(1)</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28C(2), 28D(3), 28I(2), 34(2)</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28C(2), 28D(3), 28F</w:t>
            </w:r>
          </w:p>
        </w:tc>
      </w:tr>
      <w:tr>
        <w:trPr>
          <w:cantSplit/>
        </w:trPr>
        <w:tc>
          <w:tcPr>
            <w:tcW w:type="dxa" w:w="1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 Dirugikan oleh Pasal 8(2)</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Tidak didengar atas ukuran yang menentukan nasibnya</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Dibebani tugas verifikasi (Pasal 8 ayat 7) tetapi tidak boleh ikut merumuskan kriteria</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Kondisi pesisir tidak pernah didengar</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Tidak ada ruang advokasi saat kriteria ditetapkan</w:t>
            </w:r>
          </w:p>
        </w:tc>
      </w:tr>
      <w:tr>
        <w:trPr>
          <w:cantSplit/>
        </w:trPr>
        <w:tc>
          <w:tcPr>
            <w:tcW w:type="dxa" w:w="1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 Spesifik dan aktual</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Aktual: sudah tercoret dari PKH, BPNT, PBI</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Aktual: berstatus PSM aktif</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Aktual dan potensial: tiap musim paceklik</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Aktual: surat audiensi tidak dijawab</w:t>
            </w:r>
          </w:p>
        </w:tc>
      </w:tr>
      <w:tr>
        <w:trPr>
          <w:cantSplit/>
        </w:trPr>
        <w:tc>
          <w:tcPr>
            <w:tcW w:type="dxa" w:w="1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 Hubungan sebab-akibat</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8(2) → kriteria tanpa partisipasi → indikator tidak cocok → tercoret</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8(2) → hanya K/L → masukan lapangan tanpa saluran</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8(2) → kearifan lokal tidak masuk kriteria</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Pasal 8(2) → pintu advokasi tertutup</w:t>
            </w:r>
          </w:p>
        </w:tc>
      </w:tr>
      <w:tr>
        <w:trPr>
          <w:cantSplit/>
        </w:trPr>
        <w:tc>
          <w:tcPr>
            <w:tcW w:type="dxa" w:w="1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 Pulih bila dikabulkan</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Berhak didengar saat kriteria ditinjau</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Masukan lapangan punya dasar hukum</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Kondisi lokal dapat disampaikan</w:t>
            </w:r>
          </w:p>
        </w:tc>
        <w:tc>
          <w:tcPr>
            <w:tcW w:type="dxa" w:w="19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Berhak ikut konsultasi kriteria</w:t>
            </w:r>
          </w:p>
        </w:tc>
      </w:tr>
    </w:tbl>
    <w:p>
      <w:pPr>
        <w:spacing w:after="120"/>
      </w:pPr>
    </w:p>
    <w:p>
      <w:pPr>
        <w:spacing w:after="120" w:line="276"/>
        <w:jc w:val="both"/>
      </w:pPr>
      <w:r>
        <w:rPr>
          <w:rFonts w:ascii="Arial" w:cs="Arial" w:eastAsia="Arial" w:hAnsi="Arial"/>
        </w:rPr>
        <w:t xml:space="preserve">Syarat 5 jangan dijanjikan berlebihan: yang pulih adalah </w:t>
      </w:r>
      <w:r>
        <w:rPr>
          <w:rFonts w:ascii="Arial" w:cs="Arial" w:eastAsia="Arial" w:hAnsi="Arial"/>
          <w:b/>
          <w:bCs/>
        </w:rPr>
        <w:t xml:space="preserve">hak partisipasinya</w:t>
      </w:r>
      <w:r>
        <w:rPr>
          <w:rFonts w:ascii="Arial" w:cs="Arial" w:eastAsia="Arial" w:hAnsi="Arial"/>
        </w:rPr>
        <w:t xml:space="preserve">, bukan kepastian masuk data kembali.</w:t>
      </w:r>
    </w:p>
    <w:p>
      <w:pPr>
        <w:pStyle w:val="Heading1"/>
      </w:pPr>
      <w:r>
        <w:rPr>
          <w:rFonts w:ascii="Arial" w:cs="Arial" w:eastAsia="Arial" w:hAnsi="Arial"/>
        </w:rPr>
        <w:t xml:space="preserve">5. Kronologi dan Keterangan Tiap Pemohon</w:t>
      </w:r>
    </w:p>
    <w:p>
      <w:pPr>
        <w:spacing w:after="120" w:line="276"/>
        <w:jc w:val="both"/>
      </w:pPr>
      <w:r>
        <w:rPr>
          <w:rFonts w:ascii="Arial" w:cs="Arial" w:eastAsia="Arial" w:hAnsi="Arial"/>
        </w:rPr>
        <w:t xml:space="preserve">Setiap Pemohon membawa satu cerita yang berujung pada hal yang sama: ia tidak pernah punya saluran untuk ikut menentukan kriteria. Tanggal di bawah adalah skenario fiktif dan boleh disesuaikan.</w:t>
      </w:r>
    </w:p>
    <w:p>
      <w:pPr>
        <w:pStyle w:val="Heading2"/>
      </w:pPr>
      <w:r>
        <w:rPr>
          <w:rFonts w:ascii="Arial" w:cs="Arial" w:eastAsia="Arial" w:hAnsi="Arial"/>
        </w:rPr>
        <w:t xml:space="preserve">Pemohon I — Siti Rohmah</w:t>
      </w:r>
    </w:p>
    <w:p>
      <w:pPr>
        <w:spacing w:after="60" w:before="120"/>
      </w:pPr>
      <w:r>
        <w:rPr>
          <w:rFonts w:ascii="Arial" w:cs="Arial" w:eastAsia="Arial" w:hAnsi="Arial"/>
          <w:b/>
          <w:bCs/>
        </w:rPr>
        <w:t xml:space="preserve">Kronologi:</w:t>
      </w:r>
    </w:p>
    <w:p>
      <w:pPr>
        <w:pStyle w:val="ListParagraph"/>
        <w:numPr>
          <w:ilvl w:val="0"/>
          <w:numId w:val="4"/>
        </w:numPr>
        <w:spacing w:after="60"/>
      </w:pPr>
      <w:r>
        <w:rPr>
          <w:rFonts w:ascii="Arial" w:cs="Arial" w:eastAsia="Arial" w:hAnsi="Arial"/>
        </w:rPr>
        <w:t xml:space="preserve">2019: keluarganya terdaftar di DTKS dan menerima PKH serta PBI JKN.</w:t>
      </w:r>
    </w:p>
    <w:p>
      <w:pPr>
        <w:pStyle w:val="ListParagraph"/>
        <w:numPr>
          <w:ilvl w:val="0"/>
          <w:numId w:val="4"/>
        </w:numPr>
        <w:spacing w:after="60"/>
      </w:pPr>
      <w:r>
        <w:rPr>
          <w:rFonts w:ascii="Arial" w:cs="Arial" w:eastAsia="Arial" w:hAnsi="Arial"/>
        </w:rPr>
        <w:t xml:space="preserve">2025: data beralih ke DTSEN.</w:t>
      </w:r>
    </w:p>
    <w:p>
      <w:pPr>
        <w:pStyle w:val="ListParagraph"/>
        <w:numPr>
          <w:ilvl w:val="0"/>
          <w:numId w:val="4"/>
        </w:numPr>
        <w:spacing w:after="60"/>
      </w:pPr>
      <w:r>
        <w:rPr>
          <w:rFonts w:ascii="Arial" w:cs="Arial" w:eastAsia="Arial" w:hAnsi="Arial"/>
        </w:rPr>
        <w:t xml:space="preserve">Awal 2026: saat dicek, keluarganya berada di desil 8. PKH dan BPNT berhenti karena hanya untuk desil 1–4.</w:t>
      </w:r>
    </w:p>
    <w:p>
      <w:pPr>
        <w:pStyle w:val="ListParagraph"/>
        <w:numPr>
          <w:ilvl w:val="0"/>
          <w:numId w:val="4"/>
        </w:numPr>
        <w:spacing w:after="60"/>
      </w:pPr>
      <w:r>
        <w:rPr>
          <w:rFonts w:ascii="Arial" w:cs="Arial" w:eastAsia="Arial" w:hAnsi="Arial"/>
        </w:rPr>
        <w:t xml:space="preserve">Beberapa minggu kemudian: anaknya sakit, dan kartu PBI JKN ternyata nonaktif.</w:t>
      </w:r>
    </w:p>
    <w:p>
      <w:pPr>
        <w:pStyle w:val="ListParagraph"/>
        <w:numPr>
          <w:ilvl w:val="0"/>
          <w:numId w:val="4"/>
        </w:numPr>
        <w:spacing w:after="60"/>
      </w:pPr>
      <w:r>
        <w:rPr>
          <w:rFonts w:ascii="Arial" w:cs="Arial" w:eastAsia="Arial" w:hAnsi="Arial"/>
        </w:rPr>
        <w:t xml:space="preserve">Ia mengajukan sanggah lewat kelurahan dan aplikasi Cek Bansos. Tiga bulan kemudian desilnya tidak berubah dan tidak ada penjelasan.</w:t>
      </w:r>
    </w:p>
    <w:p>
      <w:pPr>
        <w:pStyle w:val="ListParagraph"/>
        <w:numPr>
          <w:ilvl w:val="0"/>
          <w:numId w:val="4"/>
        </w:numPr>
        <w:spacing w:after="60"/>
      </w:pPr>
      <w:r>
        <w:rPr>
          <w:rFonts w:ascii="Arial" w:cs="Arial" w:eastAsia="Arial" w:hAnsi="Arial"/>
        </w:rPr>
        <w:t xml:space="preserve">Dinas sosial menjawab: “kriteria dan desilnya dari pusat, kami tidak bisa apa-apa.”</w:t>
      </w:r>
    </w:p>
    <w:p>
      <w:pPr>
        <w:spacing w:after="60" w:before="120"/>
      </w:pPr>
      <w:r>
        <w:rPr>
          <w:rFonts w:ascii="Arial" w:cs="Arial" w:eastAsia="Arial" w:hAnsi="Arial"/>
          <w:b/>
          <w:bCs/>
        </w:rPr>
        <w:t xml:space="preserve">Poin keterangan di sidang:</w:t>
      </w:r>
    </w:p>
    <w:p>
      <w:pPr>
        <w:pStyle w:val="ListParagraph"/>
        <w:numPr>
          <w:ilvl w:val="0"/>
          <w:numId w:val="3"/>
        </w:numPr>
        <w:spacing w:after="60"/>
      </w:pPr>
      <w:r>
        <w:rPr>
          <w:rFonts w:ascii="Arial" w:cs="Arial" w:eastAsia="Arial" w:hAnsi="Arial"/>
        </w:rPr>
        <w:t xml:space="preserve">Rumah kontrakannya bertembok dan berlantai keramik, sehingga tidak masuk indikator fisik rumah, padahal penghasilannya tidak tetap dan di bawah garis kemiskinan Kota Bandung.</w:t>
      </w:r>
    </w:p>
    <w:p>
      <w:pPr>
        <w:pStyle w:val="ListParagraph"/>
        <w:numPr>
          <w:ilvl w:val="0"/>
          <w:numId w:val="3"/>
        </w:numPr>
        <w:spacing w:after="60"/>
      </w:pPr>
      <w:r>
        <w:rPr>
          <w:rFonts w:ascii="Arial" w:cs="Arial" w:eastAsia="Arial" w:hAnsi="Arial"/>
        </w:rPr>
        <w:t xml:space="preserve">Ia tidak tahu mengapa masuk desil 8 dan tidak pernah dijelaskan.</w:t>
      </w:r>
    </w:p>
    <w:p>
      <w:pPr>
        <w:pStyle w:val="ListParagraph"/>
        <w:numPr>
          <w:ilvl w:val="0"/>
          <w:numId w:val="3"/>
        </w:numPr>
        <w:spacing w:after="60"/>
      </w:pPr>
      <w:r>
        <w:rPr>
          <w:rFonts w:ascii="Arial" w:cs="Arial" w:eastAsia="Arial" w:hAnsi="Arial"/>
        </w:rPr>
        <w:t xml:space="preserve">Ia tidak pernah ditanya indikator apa yang cocok untuk warga miskin kota yang mengontrak.</w:t>
      </w:r>
    </w:p>
    <w:p>
      <w:pPr>
        <w:spacing w:after="120" w:line="276"/>
        <w:jc w:val="both"/>
      </w:pPr>
      <w:r>
        <w:rPr>
          <w:rFonts w:ascii="Arial" w:cs="Arial" w:eastAsia="Arial" w:hAnsi="Arial"/>
          <w:b/>
          <w:bCs/>
        </w:rPr>
        <w:t xml:space="preserve">Bukti:</w:t>
      </w:r>
      <w:r>
        <w:rPr>
          <w:rFonts w:ascii="Arial" w:cs="Arial" w:eastAsia="Arial" w:hAnsi="Arial"/>
        </w:rPr>
        <w:t xml:space="preserve"> KTP, KK, kartu PKH/KKS lama, cetakan Cek Bansos lama dan terbaru, kartu PBI nonaktif, bukti pengajuan sanggah, surat keterangan penghasilan RT/RW, perjanjian sewa dan foto kontrakan.</w:t>
      </w:r>
    </w:p>
    <w:p>
      <w:pPr>
        <w:pStyle w:val="Heading2"/>
      </w:pPr>
      <w:r>
        <w:rPr>
          <w:rFonts w:ascii="Arial" w:cs="Arial" w:eastAsia="Arial" w:hAnsi="Arial"/>
        </w:rPr>
        <w:t xml:space="preserve">Pemohon II — Dedi Kurniawan</w:t>
      </w:r>
    </w:p>
    <w:p>
      <w:pPr>
        <w:spacing w:after="60" w:before="120"/>
      </w:pPr>
      <w:r>
        <w:rPr>
          <w:rFonts w:ascii="Arial" w:cs="Arial" w:eastAsia="Arial" w:hAnsi="Arial"/>
          <w:b/>
          <w:bCs/>
        </w:rPr>
        <w:t xml:space="preserve">Kronologi:</w:t>
      </w:r>
    </w:p>
    <w:p>
      <w:pPr>
        <w:pStyle w:val="ListParagraph"/>
        <w:numPr>
          <w:ilvl w:val="0"/>
          <w:numId w:val="5"/>
        </w:numPr>
        <w:spacing w:after="60"/>
      </w:pPr>
      <w:r>
        <w:rPr>
          <w:rFonts w:ascii="Arial" w:cs="Arial" w:eastAsia="Arial" w:hAnsi="Arial"/>
        </w:rPr>
        <w:t xml:space="preserve">2020: diangkat sebagai Pekerja Sosial Masyarakat dengan SK Dinas Sosial Kabupaten Garut.</w:t>
      </w:r>
    </w:p>
    <w:p>
      <w:pPr>
        <w:pStyle w:val="ListParagraph"/>
        <w:numPr>
          <w:ilvl w:val="0"/>
          <w:numId w:val="5"/>
        </w:numPr>
        <w:spacing w:after="60"/>
      </w:pPr>
      <w:r>
        <w:rPr>
          <w:rFonts w:ascii="Arial" w:cs="Arial" w:eastAsia="Arial" w:hAnsi="Arial"/>
        </w:rPr>
        <w:t xml:space="preserve">2020–2026: rutin memverifikasi data warga dan ikut musyawarah desa.</w:t>
      </w:r>
    </w:p>
    <w:p>
      <w:pPr>
        <w:pStyle w:val="ListParagraph"/>
        <w:numPr>
          <w:ilvl w:val="0"/>
          <w:numId w:val="5"/>
        </w:numPr>
        <w:spacing w:after="60"/>
      </w:pPr>
      <w:r>
        <w:rPr>
          <w:rFonts w:ascii="Arial" w:cs="Arial" w:eastAsia="Arial" w:hAnsi="Arial"/>
        </w:rPr>
        <w:t xml:space="preserve">2026: ikut uji petik DTSEN bersama pendamping lain.</w:t>
      </w:r>
    </w:p>
    <w:p>
      <w:pPr>
        <w:pStyle w:val="ListParagraph"/>
        <w:numPr>
          <w:ilvl w:val="0"/>
          <w:numId w:val="5"/>
        </w:numPr>
        <w:spacing w:after="60"/>
      </w:pPr>
      <w:r>
        <w:rPr>
          <w:rFonts w:ascii="Arial" w:cs="Arial" w:eastAsia="Arial" w:hAnsi="Arial"/>
        </w:rPr>
        <w:t xml:space="preserve">Ia menemukan banyak kasus yang tidak cocok: lansia tanpa penghasilan yang menumpang di rumah anak yang layak, dan keluarga dengan rumah warisan layak tetapi kepala keluarganya tidak bekerja.</w:t>
      </w:r>
    </w:p>
    <w:p>
      <w:pPr>
        <w:pStyle w:val="ListParagraph"/>
        <w:numPr>
          <w:ilvl w:val="0"/>
          <w:numId w:val="5"/>
        </w:numPr>
        <w:spacing w:after="60"/>
      </w:pPr>
      <w:r>
        <w:rPr>
          <w:rFonts w:ascii="Arial" w:cs="Arial" w:eastAsia="Arial" w:hAnsi="Arial"/>
        </w:rPr>
        <w:t xml:space="preserve">Ia mengirim masukan tertulis ke dinas sosial tentang indikator yang tidak cocok. Jawabannya: kriteria ditetapkan pusat, dan tidak ada saluran untuk masukan tentang kriteria.</w:t>
      </w:r>
    </w:p>
    <w:p>
      <w:pPr>
        <w:spacing w:after="60" w:before="120"/>
      </w:pPr>
      <w:r>
        <w:rPr>
          <w:rFonts w:ascii="Arial" w:cs="Arial" w:eastAsia="Arial" w:hAnsi="Arial"/>
          <w:b/>
          <w:bCs/>
        </w:rPr>
        <w:t xml:space="preserve">Poin keterangan di sidang:</w:t>
      </w:r>
    </w:p>
    <w:p>
      <w:pPr>
        <w:pStyle w:val="ListParagraph"/>
        <w:numPr>
          <w:ilvl w:val="0"/>
          <w:numId w:val="3"/>
        </w:numPr>
        <w:spacing w:after="60"/>
      </w:pPr>
      <w:r>
        <w:rPr>
          <w:rFonts w:ascii="Arial" w:cs="Arial" w:eastAsia="Arial" w:hAnsi="Arial"/>
        </w:rPr>
        <w:t xml:space="preserve">Penjelasan Pasal 8 ayat (7) menyebut PSM dan Karang Taruna sebagai pelaksana verifikasi.</w:t>
      </w:r>
    </w:p>
    <w:p>
      <w:pPr>
        <w:pStyle w:val="ListParagraph"/>
        <w:numPr>
          <w:ilvl w:val="0"/>
          <w:numId w:val="3"/>
        </w:numPr>
        <w:spacing w:after="60"/>
      </w:pPr>
      <w:r>
        <w:rPr>
          <w:rFonts w:ascii="Arial" w:cs="Arial" w:eastAsia="Arial" w:hAnsi="Arial"/>
        </w:rPr>
        <w:t xml:space="preserve">Ia wajib menerapkan kriteria yang ia tahu tidak akurat, tetapi tidak berhak memberi masukan atasnya.</w:t>
      </w:r>
    </w:p>
    <w:p>
      <w:pPr>
        <w:pStyle w:val="ListParagraph"/>
        <w:numPr>
          <w:ilvl w:val="0"/>
          <w:numId w:val="3"/>
        </w:numPr>
        <w:spacing w:after="60"/>
      </w:pPr>
      <w:r>
        <w:rPr>
          <w:rFonts w:ascii="Arial" w:cs="Arial" w:eastAsia="Arial" w:hAnsi="Arial"/>
        </w:rPr>
        <w:t xml:space="preserve">Kanal yang ada hanya untuk memperbaiki data orang, bukan ukurannya.</w:t>
      </w:r>
    </w:p>
    <w:p>
      <w:pPr>
        <w:spacing w:after="120" w:line="276"/>
        <w:jc w:val="both"/>
      </w:pPr>
      <w:r>
        <w:rPr>
          <w:rFonts w:ascii="Arial" w:cs="Arial" w:eastAsia="Arial" w:hAnsi="Arial"/>
          <w:b/>
          <w:bCs/>
        </w:rPr>
        <w:t xml:space="preserve">Bukti:</w:t>
      </w:r>
      <w:r>
        <w:rPr>
          <w:rFonts w:ascii="Arial" w:cs="Arial" w:eastAsia="Arial" w:hAnsi="Arial"/>
        </w:rPr>
        <w:t xml:space="preserve"> KTP, SK PSM, SK pengurus Karang Taruna, surat tugas verifikasi atau uji petik, salinan surat masukan ke dinas, contoh formulir verifikasi.</w:t>
      </w:r>
    </w:p>
    <w:p>
      <w:pPr>
        <w:pStyle w:val="Heading2"/>
      </w:pPr>
      <w:r>
        <w:rPr>
          <w:rFonts w:ascii="Arial" w:cs="Arial" w:eastAsia="Arial" w:hAnsi="Arial"/>
        </w:rPr>
        <w:t xml:space="preserve">Pemohon III — La Ode Haris</w:t>
      </w:r>
    </w:p>
    <w:p>
      <w:pPr>
        <w:spacing w:after="60" w:before="120"/>
      </w:pPr>
      <w:r>
        <w:rPr>
          <w:rFonts w:ascii="Arial" w:cs="Arial" w:eastAsia="Arial" w:hAnsi="Arial"/>
          <w:b/>
          <w:bCs/>
        </w:rPr>
        <w:t xml:space="preserve">Kronologi:</w:t>
      </w:r>
    </w:p>
    <w:p>
      <w:pPr>
        <w:pStyle w:val="ListParagraph"/>
        <w:numPr>
          <w:ilvl w:val="0"/>
          <w:numId w:val="6"/>
        </w:numPr>
        <w:spacing w:after="60"/>
      </w:pPr>
      <w:r>
        <w:rPr>
          <w:rFonts w:ascii="Arial" w:cs="Arial" w:eastAsia="Arial" w:hAnsi="Arial"/>
        </w:rPr>
        <w:t xml:space="preserve">Sejak lama: hampir semua rumah di kampungnya adalah rumah panggung kayu, sesuai adat setempat.</w:t>
      </w:r>
    </w:p>
    <w:p>
      <w:pPr>
        <w:pStyle w:val="ListParagraph"/>
        <w:numPr>
          <w:ilvl w:val="0"/>
          <w:numId w:val="6"/>
        </w:numPr>
        <w:spacing w:after="60"/>
      </w:pPr>
      <w:r>
        <w:rPr>
          <w:rFonts w:ascii="Arial" w:cs="Arial" w:eastAsia="Arial" w:hAnsi="Arial"/>
        </w:rPr>
        <w:t xml:space="preserve">Setiap musim angin barat, sekitar Desember sampai Februari, ia hampir tidak bisa melaut dan penghasilannya nyaris nol.</w:t>
      </w:r>
    </w:p>
    <w:p>
      <w:pPr>
        <w:pStyle w:val="ListParagraph"/>
        <w:numPr>
          <w:ilvl w:val="0"/>
          <w:numId w:val="6"/>
        </w:numPr>
        <w:spacing w:after="60"/>
      </w:pPr>
      <w:r>
        <w:rPr>
          <w:rFonts w:ascii="Arial" w:cs="Arial" w:eastAsia="Arial" w:hAnsi="Arial"/>
        </w:rPr>
        <w:t xml:space="preserve">Data kesejahteraan di desanya tidak mencerminkan kondisi nyata: rumah kayu tidak membedakan siapa yang mampu, dan penghasilan musiman tidak terbaca.</w:t>
      </w:r>
    </w:p>
    <w:p>
      <w:pPr>
        <w:pStyle w:val="ListParagraph"/>
        <w:numPr>
          <w:ilvl w:val="0"/>
          <w:numId w:val="6"/>
        </w:numPr>
        <w:spacing w:after="60"/>
      </w:pPr>
      <w:r>
        <w:rPr>
          <w:rFonts w:ascii="Arial" w:cs="Arial" w:eastAsia="Arial" w:hAnsi="Arial"/>
        </w:rPr>
        <w:t xml:space="preserve">Ia dan kelompok nelayan tidak pernah dilibatkan dalam penyusunan kriteria.</w:t>
      </w:r>
    </w:p>
    <w:p>
      <w:pPr>
        <w:spacing w:after="60" w:before="120"/>
      </w:pPr>
      <w:r>
        <w:rPr>
          <w:rFonts w:ascii="Arial" w:cs="Arial" w:eastAsia="Arial" w:hAnsi="Arial"/>
          <w:b/>
          <w:bCs/>
        </w:rPr>
        <w:t xml:space="preserve">Poin keterangan di sidang:</w:t>
      </w:r>
    </w:p>
    <w:p>
      <w:pPr>
        <w:pStyle w:val="ListParagraph"/>
        <w:numPr>
          <w:ilvl w:val="0"/>
          <w:numId w:val="3"/>
        </w:numPr>
        <w:spacing w:after="60"/>
      </w:pPr>
      <w:r>
        <w:rPr>
          <w:rFonts w:ascii="Arial" w:cs="Arial" w:eastAsia="Arial" w:hAnsi="Arial"/>
        </w:rPr>
        <w:t xml:space="preserve">Indikator dinding papan kayu tidak mengukur kemiskinan di wilayah yang rumah kayunya adalah kearifan lokal.</w:t>
      </w:r>
    </w:p>
    <w:p>
      <w:pPr>
        <w:pStyle w:val="ListParagraph"/>
        <w:numPr>
          <w:ilvl w:val="0"/>
          <w:numId w:val="3"/>
        </w:numPr>
        <w:spacing w:after="60"/>
      </w:pPr>
      <w:r>
        <w:rPr>
          <w:rFonts w:ascii="Arial" w:cs="Arial" w:eastAsia="Arial" w:hAnsi="Arial"/>
        </w:rPr>
        <w:t xml:space="preserve">Pasal 20 dan Pasal 23 UU 13/2011 menjanjikan penanganan wilayah pesisir dengan kearifan lokal, tetapi kearifan lokal hanya bisa masuk ke kriteria bila warga setempat didengar.</w:t>
      </w:r>
    </w:p>
    <w:p>
      <w:pPr>
        <w:spacing w:after="120" w:line="276"/>
        <w:jc w:val="both"/>
      </w:pPr>
      <w:r>
        <w:rPr>
          <w:rFonts w:ascii="Arial" w:cs="Arial" w:eastAsia="Arial" w:hAnsi="Arial"/>
          <w:b/>
          <w:bCs/>
        </w:rPr>
        <w:t xml:space="preserve">Bukti:</w:t>
      </w:r>
      <w:r>
        <w:rPr>
          <w:rFonts w:ascii="Arial" w:cs="Arial" w:eastAsia="Arial" w:hAnsi="Arial"/>
        </w:rPr>
        <w:t xml:space="preserve"> KTP, KK, kartu nelayan (KUSUKA), keterangan kepala desa tentang kondisi permukiman, foto kampung.</w:t>
      </w:r>
    </w:p>
    <w:p>
      <w:pPr>
        <w:pStyle w:val="Heading2"/>
      </w:pPr>
      <w:r>
        <w:rPr>
          <w:rFonts w:ascii="Arial" w:cs="Arial" w:eastAsia="Arial" w:hAnsi="Arial"/>
        </w:rPr>
        <w:t xml:space="preserve">Pemohon IV — Perkumpulan Suara Warga Berdaya (PSWB)</w:t>
      </w:r>
    </w:p>
    <w:p>
      <w:pPr>
        <w:spacing w:after="60" w:before="120"/>
      </w:pPr>
      <w:r>
        <w:rPr>
          <w:rFonts w:ascii="Arial" w:cs="Arial" w:eastAsia="Arial" w:hAnsi="Arial"/>
          <w:b/>
          <w:bCs/>
        </w:rPr>
        <w:t xml:space="preserve">Kronologi:</w:t>
      </w:r>
    </w:p>
    <w:p>
      <w:pPr>
        <w:pStyle w:val="ListParagraph"/>
        <w:numPr>
          <w:ilvl w:val="0"/>
          <w:numId w:val="7"/>
        </w:numPr>
        <w:spacing w:after="60"/>
      </w:pPr>
      <w:r>
        <w:rPr>
          <w:rFonts w:ascii="Arial" w:cs="Arial" w:eastAsia="Arial" w:hAnsi="Arial"/>
        </w:rPr>
        <w:t xml:space="preserve">Tahun pendirian (fiktif): perkumpulan berdiri dengan akta notaris dan disahkan Kemenkumham. AD/ART memuat tujuan memperjuangkan hak kelompok miskin dan partisipasi warga dalam kebijakan perlindungan sosial.</w:t>
      </w:r>
    </w:p>
    <w:p>
      <w:pPr>
        <w:pStyle w:val="ListParagraph"/>
        <w:numPr>
          <w:ilvl w:val="0"/>
          <w:numId w:val="7"/>
        </w:numPr>
        <w:spacing w:after="60"/>
      </w:pPr>
      <w:r>
        <w:rPr>
          <w:rFonts w:ascii="Arial" w:cs="Arial" w:eastAsia="Arial" w:hAnsi="Arial"/>
        </w:rPr>
        <w:t xml:space="preserve">2024–2026: mendampingi aduan warga soal bansos yang tidak tepat sasaran.</w:t>
      </w:r>
    </w:p>
    <w:p>
      <w:pPr>
        <w:pStyle w:val="ListParagraph"/>
        <w:numPr>
          <w:ilvl w:val="0"/>
          <w:numId w:val="7"/>
        </w:numPr>
        <w:spacing w:after="60"/>
      </w:pPr>
      <w:r>
        <w:rPr>
          <w:rFonts w:ascii="Arial" w:cs="Arial" w:eastAsia="Arial" w:hAnsi="Arial"/>
        </w:rPr>
        <w:t xml:space="preserve">September 2026: mengirim surat permohonan audiensi ke Kemensos dan BPS tentang kriteria dan metodologi desil.</w:t>
      </w:r>
    </w:p>
    <w:p>
      <w:pPr>
        <w:pStyle w:val="ListParagraph"/>
        <w:numPr>
          <w:ilvl w:val="0"/>
          <w:numId w:val="7"/>
        </w:numPr>
        <w:spacing w:after="60"/>
      </w:pPr>
      <w:r>
        <w:rPr>
          <w:rFonts w:ascii="Arial" w:cs="Arial" w:eastAsia="Arial" w:hAnsi="Arial"/>
        </w:rPr>
        <w:t xml:space="preserve">Surat itu tidak ditanggapi, atau hanya dijawab soal perbaikan data individu.</w:t>
      </w:r>
    </w:p>
    <w:p>
      <w:pPr>
        <w:spacing w:after="60" w:before="120"/>
      </w:pPr>
      <w:r>
        <w:rPr>
          <w:rFonts w:ascii="Arial" w:cs="Arial" w:eastAsia="Arial" w:hAnsi="Arial"/>
          <w:b/>
          <w:bCs/>
        </w:rPr>
        <w:t xml:space="preserve">Poin keterangan di sidang:</w:t>
      </w:r>
    </w:p>
    <w:p>
      <w:pPr>
        <w:pStyle w:val="ListParagraph"/>
        <w:numPr>
          <w:ilvl w:val="0"/>
          <w:numId w:val="3"/>
        </w:numPr>
        <w:spacing w:after="60"/>
      </w:pPr>
      <w:r>
        <w:rPr>
          <w:rFonts w:ascii="Arial" w:cs="Arial" w:eastAsia="Arial" w:hAnsi="Arial"/>
        </w:rPr>
        <w:t xml:space="preserve">Pasal 41 ayat (2) UU 13/2011 mengakui LSM dan organisasi sosial sebagai pelaku peran serta, tetapi hanya di penyelenggaraan dan pengawasan.</w:t>
      </w:r>
    </w:p>
    <w:p>
      <w:pPr>
        <w:pStyle w:val="ListParagraph"/>
        <w:numPr>
          <w:ilvl w:val="0"/>
          <w:numId w:val="3"/>
        </w:numPr>
        <w:spacing w:after="60"/>
      </w:pPr>
      <w:r>
        <w:rPr>
          <w:rFonts w:ascii="Arial" w:cs="Arial" w:eastAsia="Arial" w:hAnsi="Arial"/>
        </w:rPr>
        <w:t xml:space="preserve">Kriteria disusun tertutup, tanpa rancangan yang diumumkan (Pasal 28F).</w:t>
      </w:r>
    </w:p>
    <w:p>
      <w:pPr>
        <w:spacing w:after="120" w:line="276"/>
        <w:jc w:val="both"/>
      </w:pPr>
      <w:r>
        <w:rPr>
          <w:rFonts w:ascii="Arial" w:cs="Arial" w:eastAsia="Arial" w:hAnsi="Arial"/>
          <w:b/>
          <w:bCs/>
        </w:rPr>
        <w:t xml:space="preserve">Bukti:</w:t>
      </w:r>
      <w:r>
        <w:rPr>
          <w:rFonts w:ascii="Arial" w:cs="Arial" w:eastAsia="Arial" w:hAnsi="Arial"/>
        </w:rPr>
        <w:t xml:space="preserve"> akta pendirian dan perubahan, SK Kemenkumham, AD/ART, laporan kegiatan, dokumentasi pendampingan, salinan surat audiensi.</w:t>
      </w:r>
    </w:p>
    <w:p>
      <w:pPr>
        <w:spacing w:after="120" w:line="276"/>
        <w:jc w:val="both"/>
      </w:pPr>
      <w:r>
        <w:rPr>
          <w:rFonts w:ascii="Arial" w:cs="Arial" w:eastAsia="Arial" w:hAnsi="Arial"/>
          <w:b/>
          <w:bCs/>
        </w:rPr>
        <w:t xml:space="preserve">Perhatikan:</w:t>
      </w:r>
      <w:r>
        <w:rPr>
          <w:rFonts w:ascii="Arial" w:cs="Arial" w:eastAsia="Arial" w:hAnsi="Arial"/>
        </w:rPr>
        <w:t xml:space="preserve"> yang menandatangani kuasa harus sesuai AD/ART. Jika AD/ART mengatur Ketua bersama Sekretaris, keduanya harus menandatangani.</w:t>
      </w:r>
    </w:p>
    <w:p>
      <w:pPr>
        <w:pStyle w:val="Heading1"/>
      </w:pPr>
      <w:r>
        <w:rPr>
          <w:rFonts w:ascii="Arial" w:cs="Arial" w:eastAsia="Arial" w:hAnsi="Arial"/>
        </w:rPr>
        <w:t xml:space="preserve">6. Saksi dan Ahli Pihak Pemohon</w:t>
      </w:r>
    </w:p>
    <w:p>
      <w:pPr>
        <w:spacing w:after="120" w:line="276"/>
        <w:jc w:val="both"/>
      </w:pPr>
      <w:r>
        <w:rPr>
          <w:rFonts w:ascii="Arial" w:cs="Arial" w:eastAsia="Arial" w:hAnsi="Arial"/>
        </w:rPr>
        <w:t xml:space="preserve">Saksi membuktikan fakta bahwa masyarakat hanya menjadi pengirim data. Ahli membuktikan bahwa norma itu cacat dan partisipasi bisa dijalankan. Pemohon tidak boleh merangkap saksi, dan ahli harus independen (tanpa hubungan keluarga atau kerja dengan Pemohon).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300"/>
        <w:gridCol w:w="4038"/>
        <w:gridCol w:w="22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Peran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Nama (fiktif)</w:t>
            </w:r>
          </w:p>
        </w:tc>
        <w:tc>
          <w:tcPr>
            <w:tcW w:type="dxa" w:w="4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Pokok keterangan</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Dalil yang dibuktikan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Saksi 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 Asep Saepudin, Kepala Desa Sukamulya, Kab. Garut</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Musyawarah desa hanya mengusulkan data; usulan sering tidak mengubah desil; desa tidak pernah dimintai pendapat soal variabel atau kriteria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Masyarakat hanya kurir data; hak dipertimbangkan tidak terpenuhi</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Saksi 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Rina Marlina, S.Sos., pendamping PKH di Kota Bandung</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Menyaksikan keluarga miskin tercoret, termasuk keluarga Pemohon I; tidak ada forum resmi untuk masukan indikator; kriteria berganti tanpa uji publik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Dampak nyata kriteria tertutup</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Saksi 3 (opsional)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Warga lain yang pernah mengajukan sanggah</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Proses sanggah dan tidak adanya penjelasan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Hak mendapat penjelasan tidak terpenuhi</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Ahli 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Prof. Dr. Aryani Kusumastuti, S.H., M.H. (Hukum Tata Negara)</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Partisipasi bermakna (Putusan 91/PUU-XVIII/2020) secara analogis; expressio unius est exclusio alterius; kontradiksi Pasal 4 huruf c dan Pasal 8 ayat (7) dengan Pasal 8 ayat (2); alasan putusan bersyarat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Inti konstitusionalitas</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Ahli 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Dr. Bonifasius Tarigan, S.H., LL.M. (Hukum Administrasi Negara)</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Kriteria bersifat mengatur tetapi berbentuk Keputusan, sehingga lolos dari jaminan partisipasi Pasal 96 UU 12/2011; asas keterbukaan; pembanding kewajiban partisipasi dalam standar pelayanan UU 25/2009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Kekosongan jaminan partisipasi</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Ahli 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Dr. Maya Anggraini, M.Sc. (statistik dan kebijakan kemiskinan)</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Cara kerja Proxy Means Test dan batasnya; desil relatif vs garis kemiskinan absolut; penargetan berbasis komunitas (Alatas dkk. 2012) dengan kelebihan dan kekurangannya; pentingnya publikasi variabel dan bobot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Bukti empiris desil</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Ahli 4 (opsional)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Dr. Yosephine Wattimena, S.H., M.A. (HAM)</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Hak orang miskin berpartisipasi menurut Kovenan Hak Ekosob (UU 11/2005) dan UN Guiding Principles on Extreme Poverty (2012)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Standar HAM internasional</w:t>
            </w:r>
          </w:p>
        </w:tc>
      </w:tr>
    </w:tbl>
    <w:p>
      <w:pPr>
        <w:spacing w:after="120"/>
      </w:pPr>
    </w:p>
    <w:p>
      <w:pPr>
        <w:spacing w:after="120" w:line="276"/>
        <w:jc w:val="both"/>
      </w:pPr>
      <w:r>
        <w:rPr>
          <w:rFonts w:ascii="Arial" w:cs="Arial" w:eastAsia="Arial" w:hAnsi="Arial"/>
        </w:rPr>
        <w:t xml:space="preserve">Ahli 3 wajib menyebut kedua sisi riset Alatas dkk.: berbasis komunitas lebih sesuai persepsi lokal, tetapi sedikit kalah akurat menurut konsumsi. Posisi kita: partisipasi </w:t>
      </w:r>
      <w:r>
        <w:rPr>
          <w:rFonts w:ascii="Arial" w:cs="Arial" w:eastAsia="Arial" w:hAnsi="Arial"/>
          <w:b/>
          <w:bCs/>
        </w:rPr>
        <w:t xml:space="preserve">melengkapi</w:t>
      </w:r>
      <w:r>
        <w:rPr>
          <w:rFonts w:ascii="Arial" w:cs="Arial" w:eastAsia="Arial" w:hAnsi="Arial"/>
        </w:rPr>
        <w:t xml:space="preserve"> metode statistik, bukan menggantikannya.</w:t>
      </w:r>
    </w:p>
    <w:p>
      <w:pPr>
        <w:pStyle w:val="Heading1"/>
      </w:pPr>
      <w:r>
        <w:rPr>
          <w:rFonts w:ascii="Arial" w:cs="Arial" w:eastAsia="Arial" w:hAnsi="Arial"/>
        </w:rPr>
        <w:t xml:space="preserve">7. Yang Perlu Diputuskan Bersama</w:t>
      </w:r>
    </w:p>
    <w:p>
      <w:pPr>
        <w:spacing w:after="120" w:line="276"/>
        <w:jc w:val="both"/>
      </w:pPr>
      <w:r>
        <w:rPr>
          <w:rFonts w:ascii="Arial" w:cs="Arial" w:eastAsia="Arial" w:hAnsi="Arial"/>
        </w:rPr>
        <w:t xml:space="preserve">Enam hal ini perlu disepakati kelompok sebelum naskah permohonan ditulis.</w:t>
      </w:r>
    </w:p>
    <w:p>
      <w:pPr>
        <w:spacing w:after="60"/>
        <w:ind w:left="360"/>
      </w:pPr>
      <w:r>
        <w:rPr>
          <w:rFonts w:ascii="Arial" w:cs="Arial" w:eastAsia="Arial" w:hAnsi="Arial"/>
        </w:rPr>
        <w:t xml:space="preserve">☐  </w:t>
      </w:r>
      <w:r>
        <w:rPr>
          <w:rFonts w:ascii="Arial" w:cs="Arial" w:eastAsia="Arial" w:hAnsi="Arial"/>
        </w:rPr>
        <w:t xml:space="preserve">Pembagian 16 anggota: kuasa hukum, Pemohon I–IV, saksi, ahli, dan penyusun naskah</w:t>
      </w:r>
    </w:p>
    <w:p>
      <w:pPr>
        <w:spacing w:after="60"/>
        <w:ind w:left="360"/>
      </w:pPr>
      <w:r>
        <w:rPr>
          <w:rFonts w:ascii="Arial" w:cs="Arial" w:eastAsia="Arial" w:hAnsi="Arial"/>
        </w:rPr>
        <w:t xml:space="preserve">☐  </w:t>
      </w:r>
      <w:r>
        <w:rPr>
          <w:rFonts w:ascii="Arial" w:cs="Arial" w:eastAsia="Arial" w:hAnsi="Arial"/>
        </w:rPr>
        <w:t xml:space="preserve">Konfirmasi ke dosen: cukup masyarakat (Opsi A) atau ditambah pemerintah daerah (Opsi B) dalam petitum</w:t>
      </w:r>
    </w:p>
    <w:p>
      <w:pPr>
        <w:spacing w:after="60"/>
        <w:ind w:left="360"/>
      </w:pPr>
      <w:r>
        <w:rPr>
          <w:rFonts w:ascii="Arial" w:cs="Arial" w:eastAsia="Arial" w:hAnsi="Arial"/>
        </w:rPr>
        <w:t xml:space="preserve">☐  </w:t>
      </w:r>
      <w:r>
        <w:rPr>
          <w:rFonts w:ascii="Arial" w:cs="Arial" w:eastAsia="Arial" w:hAnsi="Arial"/>
        </w:rPr>
        <w:t xml:space="preserve">Konfirmasi ke dosen: frasa “termasuk fakir miskin” dalam petitum dipertahankan atau dihapus</w:t>
      </w:r>
    </w:p>
    <w:p>
      <w:pPr>
        <w:spacing w:after="60"/>
        <w:ind w:left="360"/>
      </w:pPr>
      <w:r>
        <w:rPr>
          <w:rFonts w:ascii="Arial" w:cs="Arial" w:eastAsia="Arial" w:hAnsi="Arial"/>
        </w:rPr>
        <w:t xml:space="preserve">☐  </w:t>
      </w:r>
      <w:r>
        <w:rPr>
          <w:rFonts w:ascii="Arial" w:cs="Arial" w:eastAsia="Arial" w:hAnsi="Arial"/>
        </w:rPr>
        <w:t xml:space="preserve">Perlu tidaknya Pemohon V, misalnya ibu rumah tangga di kontrakan yang tercatat desil 10, jika peran masih tersisa</w:t>
      </w:r>
    </w:p>
    <w:p>
      <w:pPr>
        <w:spacing w:after="60"/>
        <w:ind w:left="360"/>
      </w:pPr>
      <w:r>
        <w:rPr>
          <w:rFonts w:ascii="Arial" w:cs="Arial" w:eastAsia="Arial" w:hAnsi="Arial"/>
        </w:rPr>
        <w:t xml:space="preserve">☐  </w:t>
      </w:r>
      <w:r>
        <w:rPr>
          <w:rFonts w:ascii="Arial" w:cs="Arial" w:eastAsia="Arial" w:hAnsi="Arial"/>
        </w:rPr>
        <w:t xml:space="preserve">Pembagian tugas mengumpulkan bukti: teks Kepmensos 146/2013 dan 262/2022, Inpres 4/2025, Peraturan BPS 6/2025, Putusan MK 218/PUU-XXIII/2025, berita polemik desil</w:t>
      </w:r>
    </w:p>
    <w:p>
      <w:pPr>
        <w:spacing w:after="60"/>
        <w:ind w:left="360"/>
      </w:pPr>
      <w:r>
        <w:rPr>
          <w:rFonts w:ascii="Arial" w:cs="Arial" w:eastAsia="Arial" w:hAnsi="Arial"/>
        </w:rPr>
        <w:t xml:space="preserve">☐  </w:t>
      </w:r>
      <w:r>
        <w:rPr>
          <w:rFonts w:ascii="Arial" w:cs="Arial" w:eastAsia="Arial" w:hAnsi="Arial"/>
        </w:rPr>
        <w:t xml:space="preserve">Pembaruan fakta desil seminggu sebelum sidang simulasi</w:t>
      </w:r>
    </w:p>
    <w:p>
      <w:pPr>
        <w:pStyle w:val="Heading1"/>
      </w:pPr>
      <w:r>
        <w:rPr>
          <w:rFonts w:ascii="Arial" w:cs="Arial" w:eastAsia="Arial" w:hAnsi="Arial"/>
        </w:rPr>
        <w:t xml:space="preserve">8. Sumber dan Catatan Verifikasi</w:t>
      </w:r>
    </w:p>
    <w:p>
      <w:pPr>
        <w:spacing w:after="120" w:line="276"/>
        <w:jc w:val="both"/>
      </w:pPr>
      <w:r>
        <w:rPr>
          <w:rFonts w:ascii="Arial" w:cs="Arial" w:eastAsia="Arial" w:hAnsi="Arial"/>
        </w:rPr>
        <w:t xml:space="preserve">Teks UU 13/2011 sudah dicek langsung dari PDF resmi (LN 2011 No. 83, TLN 5235). Fakta desil diambil dari hasil pencarian berita; sebagian halaman tidak bisa dibuka saat penyusunan, jadi buka dan cocokkan sebelum dikutip.</w:t>
      </w:r>
    </w:p>
    <w:p>
      <w:pPr>
        <w:spacing w:after="60" w:before="120"/>
      </w:pPr>
      <w:r>
        <w:rPr>
          <w:rFonts w:ascii="Arial" w:cs="Arial" w:eastAsia="Arial" w:hAnsi="Arial"/>
          <w:b/>
          <w:bCs/>
        </w:rPr>
        <w:t xml:space="preserve">Perlu dicek ulang:</w:t>
      </w:r>
    </w:p>
    <w:p>
      <w:pPr>
        <w:pStyle w:val="ListParagraph"/>
        <w:numPr>
          <w:ilvl w:val="0"/>
          <w:numId w:val="3"/>
        </w:numPr>
        <w:spacing w:after="60"/>
      </w:pPr>
      <w:r>
        <w:rPr>
          <w:rFonts w:ascii="Arial" w:cs="Arial" w:eastAsia="Arial" w:hAnsi="Arial"/>
        </w:rPr>
        <w:t xml:space="preserve">Isi lengkap Kepmensos 262/HUK/2022 (daftar 9 indikator)</w:t>
      </w:r>
    </w:p>
    <w:p>
      <w:pPr>
        <w:pStyle w:val="ListParagraph"/>
        <w:numPr>
          <w:ilvl w:val="0"/>
          <w:numId w:val="3"/>
        </w:numPr>
        <w:spacing w:after="60"/>
      </w:pPr>
      <w:r>
        <w:rPr>
          <w:rFonts w:ascii="Arial" w:cs="Arial" w:eastAsia="Arial" w:hAnsi="Arial"/>
        </w:rPr>
        <w:t xml:space="preserve">Nomor pasal UU 25/2009 tentang pelibatan masyarakat dalam penyusunan standar pelayanan</w:t>
      </w:r>
    </w:p>
    <w:p>
      <w:pPr>
        <w:pStyle w:val="ListParagraph"/>
        <w:numPr>
          <w:ilvl w:val="0"/>
          <w:numId w:val="3"/>
        </w:numPr>
        <w:spacing w:after="60"/>
      </w:pPr>
      <w:r>
        <w:rPr>
          <w:rFonts w:ascii="Arial" w:cs="Arial" w:eastAsia="Arial" w:hAnsi="Arial"/>
        </w:rPr>
        <w:t xml:space="preserve">Apakah pemeringkatan desil dilakukan secara nasional atau per wilayah</w:t>
      </w:r>
    </w:p>
    <w:p>
      <w:pPr>
        <w:pStyle w:val="ListParagraph"/>
        <w:numPr>
          <w:ilvl w:val="0"/>
          <w:numId w:val="3"/>
        </w:numPr>
        <w:spacing w:after="60"/>
      </w:pPr>
      <w:r>
        <w:rPr>
          <w:rFonts w:ascii="Arial" w:cs="Arial" w:eastAsia="Arial" w:hAnsi="Arial"/>
        </w:rPr>
        <w:t xml:space="preserve">Belum adanya pengujian Pasal 8–11 UU 13/2011 di MK (cek daftar perkara di mkri.id)</w:t>
      </w:r>
    </w:p>
    <w:p>
      <w:pPr>
        <w:spacing w:after="60" w:before="120"/>
      </w:pPr>
      <w:r>
        <w:rPr>
          <w:rFonts w:ascii="Arial" w:cs="Arial" w:eastAsia="Arial" w:hAnsi="Arial"/>
          <w:b/>
          <w:bCs/>
        </w:rPr>
        <w:t xml:space="preserve">Sumber:</w:t>
      </w:r>
    </w:p>
    <w:p>
      <w:pPr>
        <w:pStyle w:val="ListParagraph"/>
        <w:numPr>
          <w:ilvl w:val="0"/>
          <w:numId w:val="3"/>
        </w:numPr>
        <w:spacing w:after="40"/>
      </w:pPr>
      <w:hyperlink w:history="1" r:id="rIdgkgpjmuploh2vdarlhu5k">
        <w:r>
          <w:rPr>
            <w:rStyle w:val="Hyperlink"/>
            <w:rFonts w:ascii="Arial" w:cs="Arial" w:eastAsia="Arial" w:hAnsi="Arial"/>
            <w:sz w:val="20"/>
            <w:szCs w:val="20"/>
          </w:rPr>
          <w:t xml:space="preserve">Ikhtisar Putusan MK 218/PUU-XXIII/2025</w:t>
        </w:r>
      </w:hyperlink>
    </w:p>
    <w:p>
      <w:pPr>
        <w:pStyle w:val="ListParagraph"/>
        <w:numPr>
          <w:ilvl w:val="0"/>
          <w:numId w:val="3"/>
        </w:numPr>
        <w:spacing w:after="40"/>
      </w:pPr>
      <w:hyperlink w:history="1" r:id="rIdusxgsz84_3kawmef7itvx">
        <w:r>
          <w:rPr>
            <w:rStyle w:val="Hyperlink"/>
            <w:rFonts w:ascii="Arial" w:cs="Arial" w:eastAsia="Arial" w:hAnsi="Arial"/>
            <w:sz w:val="20"/>
            <w:szCs w:val="20"/>
          </w:rPr>
          <w:t xml:space="preserve">Perwali Samarinda 66/2023 tentang Kriteria Rumah Tangga Miskin di Daerah</w:t>
        </w:r>
      </w:hyperlink>
    </w:p>
    <w:p>
      <w:pPr>
        <w:pStyle w:val="ListParagraph"/>
        <w:numPr>
          <w:ilvl w:val="0"/>
          <w:numId w:val="3"/>
        </w:numPr>
        <w:spacing w:after="40"/>
      </w:pPr>
      <w:hyperlink w:history="1" r:id="rIdcztbrial3qitzbitokkvt">
        <w:r>
          <w:rPr>
            <w:rStyle w:val="Hyperlink"/>
            <w:rFonts w:ascii="Arial" w:cs="Arial" w:eastAsia="Arial" w:hAnsi="Arial"/>
            <w:sz w:val="20"/>
            <w:szCs w:val="20"/>
          </w:rPr>
          <w:t xml:space="preserve">Mensos: penerima bansos ditentukan BPS – iNews</w:t>
        </w:r>
      </w:hyperlink>
    </w:p>
    <w:p>
      <w:pPr>
        <w:pStyle w:val="ListParagraph"/>
        <w:numPr>
          <w:ilvl w:val="0"/>
          <w:numId w:val="3"/>
        </w:numPr>
        <w:spacing w:after="40"/>
      </w:pPr>
      <w:hyperlink w:history="1" r:id="rIduedalicel1gde2ztibyhe">
        <w:r>
          <w:rPr>
            <w:rStyle w:val="Hyperlink"/>
            <w:rFonts w:ascii="Arial" w:cs="Arial" w:eastAsia="Arial" w:hAnsi="Arial"/>
            <w:sz w:val="20"/>
            <w:szCs w:val="20"/>
          </w:rPr>
          <w:t xml:space="preserve">DTSEN jadi rujukan bersama, BPS jelaskan arti desil – BPS</w:t>
        </w:r>
      </w:hyperlink>
    </w:p>
    <w:p>
      <w:pPr>
        <w:pStyle w:val="ListParagraph"/>
        <w:numPr>
          <w:ilvl w:val="0"/>
          <w:numId w:val="3"/>
        </w:numPr>
        <w:spacing w:after="40"/>
      </w:pPr>
      <w:hyperlink w:history="1" r:id="rId5b2s7ailxtzsgwkvwv2mq">
        <w:r>
          <w:rPr>
            <w:rStyle w:val="Hyperlink"/>
            <w:rFonts w:ascii="Arial" w:cs="Arial" w:eastAsia="Arial" w:hAnsi="Arial"/>
            <w:sz w:val="20"/>
            <w:szCs w:val="20"/>
          </w:rPr>
          <w:t xml:space="preserve">BPS ungkap polemik desil karena data belum sesuai – Tempo</w:t>
        </w:r>
      </w:hyperlink>
    </w:p>
    <w:p>
      <w:pPr>
        <w:pStyle w:val="ListParagraph"/>
        <w:numPr>
          <w:ilvl w:val="0"/>
          <w:numId w:val="3"/>
        </w:numPr>
        <w:spacing w:after="40"/>
      </w:pPr>
      <w:hyperlink w:history="1" r:id="rIdmgxuxhtyi4wvogsabowlu">
        <w:r>
          <w:rPr>
            <w:rStyle w:val="Hyperlink"/>
            <w:rFonts w:ascii="Arial" w:cs="Arial" w:eastAsia="Arial" w:hAnsi="Arial"/>
            <w:sz w:val="20"/>
            <w:szCs w:val="20"/>
          </w:rPr>
          <w:t xml:space="preserve">Respons BPS tindak lanjuti data Timbul – RCTI+</w:t>
        </w:r>
      </w:hyperlink>
    </w:p>
    <w:p>
      <w:pPr>
        <w:pStyle w:val="ListParagraph"/>
        <w:numPr>
          <w:ilvl w:val="0"/>
          <w:numId w:val="3"/>
        </w:numPr>
        <w:spacing w:after="40"/>
      </w:pPr>
      <w:hyperlink w:history="1" r:id="rIdn6rwavndl6stmktnyz7qx">
        <w:r>
          <w:rPr>
            <w:rStyle w:val="Hyperlink"/>
            <w:rFonts w:ascii="Arial" w:cs="Arial" w:eastAsia="Arial" w:hAnsi="Arial"/>
            <w:sz w:val="20"/>
            <w:szCs w:val="20"/>
          </w:rPr>
          <w:t xml:space="preserve">Purbaya bingung akurasi desil BPS – Katadata</w:t>
        </w:r>
      </w:hyperlink>
    </w:p>
    <w:p>
      <w:pPr>
        <w:pStyle w:val="ListParagraph"/>
        <w:numPr>
          <w:ilvl w:val="0"/>
          <w:numId w:val="3"/>
        </w:numPr>
        <w:spacing w:after="40"/>
      </w:pPr>
      <w:hyperlink w:history="1" r:id="rIdwl6e04e8zw0ebuwlxgz9a">
        <w:r>
          <w:rPr>
            <w:rStyle w:val="Hyperlink"/>
            <w:rFonts w:ascii="Arial" w:cs="Arial" w:eastAsia="Arial" w:hAnsi="Arial"/>
            <w:sz w:val="20"/>
            <w:szCs w:val="20"/>
          </w:rPr>
          <w:t xml:space="preserve">Purbaya siapkan Rp7 triliun untuk benahi DTSEN – Republika</w:t>
        </w:r>
      </w:hyperlink>
    </w:p>
    <w:p>
      <w:pPr>
        <w:pStyle w:val="ListParagraph"/>
        <w:numPr>
          <w:ilvl w:val="0"/>
          <w:numId w:val="3"/>
        </w:numPr>
        <w:spacing w:after="40"/>
      </w:pPr>
      <w:hyperlink w:history="1" r:id="rId2dbyol2pdtow438kvjd_2">
        <w:r>
          <w:rPr>
            <w:rStyle w:val="Hyperlink"/>
            <w:rFonts w:ascii="Arial" w:cs="Arial" w:eastAsia="Arial" w:hAnsi="Arial"/>
            <w:sz w:val="20"/>
            <w:szCs w:val="20"/>
          </w:rPr>
          <w:t xml:space="preserve">DPR minta BPS bereskan data desil dalam 2 minggu – CNBC Indonesia</w:t>
        </w:r>
      </w:hyperlink>
    </w:p>
    <w:p>
      <w:pPr>
        <w:pStyle w:val="ListParagraph"/>
        <w:numPr>
          <w:ilvl w:val="0"/>
          <w:numId w:val="3"/>
        </w:numPr>
        <w:spacing w:after="40"/>
      </w:pPr>
      <w:hyperlink w:history="1" r:id="rIdj35qlz8vstpgzrzosxgze">
        <w:r>
          <w:rPr>
            <w:rStyle w:val="Hyperlink"/>
            <w:rFonts w:ascii="Arial" w:cs="Arial" w:eastAsia="Arial" w:hAnsi="Arial"/>
            <w:sz w:val="20"/>
            <w:szCs w:val="20"/>
          </w:rPr>
          <w:t xml:space="preserve">Kemensos: desil bukan penentu kaya atau miskin – CNBC Indonesia</w:t>
        </w:r>
      </w:hyperlink>
    </w:p>
    <w:p>
      <w:pPr>
        <w:pStyle w:val="ListParagraph"/>
        <w:numPr>
          <w:ilvl w:val="0"/>
          <w:numId w:val="3"/>
        </w:numPr>
        <w:spacing w:after="40"/>
      </w:pPr>
      <w:hyperlink w:history="1" r:id="rIdp21ddjm7v2ouvglvvv-pz">
        <w:r>
          <w:rPr>
            <w:rStyle w:val="Hyperlink"/>
            <w:rFonts w:ascii="Arial" w:cs="Arial" w:eastAsia="Arial" w:hAnsi="Arial"/>
            <w:sz w:val="20"/>
            <w:szCs w:val="20"/>
          </w:rPr>
          <w:t xml:space="preserve">BPS pertegas sistem desil bukan untuk turunkan kemiskinan – CNBC Indonesia</w:t>
        </w:r>
      </w:hyperlink>
    </w:p>
    <w:p>
      <w:pPr>
        <w:pStyle w:val="ListParagraph"/>
        <w:numPr>
          <w:ilvl w:val="0"/>
          <w:numId w:val="3"/>
        </w:numPr>
        <w:spacing w:after="40"/>
      </w:pPr>
      <w:hyperlink w:history="1" r:id="rIduhhucswe6niwyitcu4hji">
        <w:r>
          <w:rPr>
            <w:rStyle w:val="Hyperlink"/>
            <w:rFonts w:ascii="Arial" w:cs="Arial" w:eastAsia="Arial" w:hAnsi="Arial"/>
            <w:sz w:val="20"/>
            <w:szCs w:val="20"/>
          </w:rPr>
          <w:t xml:space="preserve">Kemensos dan Celios bahas polemik desil – RRI</w:t>
        </w:r>
      </w:hyperlink>
    </w:p>
    <w:p>
      <w:pPr>
        <w:pStyle w:val="ListParagraph"/>
        <w:numPr>
          <w:ilvl w:val="0"/>
          <w:numId w:val="3"/>
        </w:numPr>
        <w:spacing w:after="40"/>
      </w:pPr>
      <w:hyperlink w:history="1" r:id="rIdpqhffsoo7ydlfpjao5v3b">
        <w:r>
          <w:rPr>
            <w:rStyle w:val="Hyperlink"/>
            <w:rFonts w:ascii="Arial" w:cs="Arial" w:eastAsia="Arial" w:hAnsi="Arial"/>
            <w:sz w:val="20"/>
            <w:szCs w:val="20"/>
          </w:rPr>
          <w:t xml:space="preserve">CORE Insight: Ketika Data Menjadi Vonis</w:t>
        </w:r>
      </w:hyperlink>
    </w:p>
    <w:p>
      <w:pPr>
        <w:pStyle w:val="ListParagraph"/>
        <w:numPr>
          <w:ilvl w:val="0"/>
          <w:numId w:val="3"/>
        </w:numPr>
        <w:spacing w:after="40"/>
      </w:pPr>
      <w:hyperlink w:history="1" r:id="rId8kfgh_xip7tp_3_e6nuft">
        <w:r>
          <w:rPr>
            <w:rStyle w:val="Hyperlink"/>
            <w:rFonts w:ascii="Arial" w:cs="Arial" w:eastAsia="Arial" w:hAnsi="Arial"/>
            <w:sz w:val="20"/>
            <w:szCs w:val="20"/>
          </w:rPr>
          <w:t xml:space="preserve">Pemerintah akan kaji ulang penentuan desil – Kontan</w:t>
        </w:r>
      </w:hyperlink>
    </w:p>
    <w:p>
      <w:pPr>
        <w:pStyle w:val="ListParagraph"/>
        <w:numPr>
          <w:ilvl w:val="0"/>
          <w:numId w:val="3"/>
        </w:numPr>
        <w:spacing w:after="40"/>
      </w:pPr>
      <w:hyperlink w:history="1" r:id="rIdatpl-fdvnj4wvirftipxw">
        <w:r>
          <w:rPr>
            <w:rStyle w:val="Hyperlink"/>
            <w:rFonts w:ascii="Arial" w:cs="Arial" w:eastAsia="Arial" w:hAnsi="Arial"/>
            <w:sz w:val="20"/>
            <w:szCs w:val="20"/>
          </w:rPr>
          <w:t xml:space="preserve">Uji petik DTSEN libatkan 33 ribu pendamping PKH – Kemensos</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Acuan Kelompok Pemohon – Uji UU 13/2011 · hal.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kgpjmuploh2vdarlhu5k" Type="http://schemas.openxmlformats.org/officeDocument/2006/relationships/hyperlink" Target="https://s.mkri.id/public/content/persidangan/sinopsis/ikhtisar_4776_2865_4a.%20Ikhtisar%20218-PUU-XXIII-2025%20UU%20Pekerja%20Sosial%20dan%20Fakir%20Miskin%20(ACC%20PM%20III).pdf" TargetMode="External"/><Relationship Id="rIdusxgsz84_3kawmef7itvx" Type="http://schemas.openxmlformats.org/officeDocument/2006/relationships/hyperlink" Target="https://peraturan.bpk.go.id/Download/349034/Perwali%20samarinda%2066-2023%20ttg%20kriteria%20rumah%20tangga%20miskin%20di%20daerah.pdf" TargetMode="External"/><Relationship Id="rIdcztbrial3qitzbitokkvt" Type="http://schemas.openxmlformats.org/officeDocument/2006/relationships/hyperlink" Target="https://www.inews.id/news/nasional/mensos-tegaskan-penerima-bansos-ditentukan-bps-bukan-kepala-daerah-ada-yang-salah-paham" TargetMode="External"/><Relationship Id="rIduedalicel1gde2ztibyhe" Type="http://schemas.openxmlformats.org/officeDocument/2006/relationships/hyperlink" Target="https://www.bps.go.id/en/news/2026/08/22/938/dtsen-jadi-rujukan-bersama--bps-jelaskan-arti-desil.html" TargetMode="External"/><Relationship Id="rId5b2s7ailxtzsgwkvwv2mq" Type="http://schemas.openxmlformats.org/officeDocument/2006/relationships/hyperlink" Target="https://www.tempo.co/ekonomi/bps-ungkap-polemik-desil-karena-data-belum-sesuai-2286760" TargetMode="External"/><Relationship Id="rIdmgxuxhtyi4wvogsabowlu" Type="http://schemas.openxmlformats.org/officeDocument/2006/relationships/hyperlink" Target="https://www.rctiplus.com/news/detail/ekonomi/5461593/respons-cepat-bps-tindak-lanjuti-data-timbul--tukang-becak-yang-sempat-masuk-desil-9" TargetMode="External"/><Relationship Id="rIdn6rwavndl6stmktnyz7qx" Type="http://schemas.openxmlformats.org/officeDocument/2006/relationships/hyperlink" Target="https://katadata.co.id/finansial/makro/6aa0f6800cabb/purbaya-bingung-akurasi-desil-bps-anaknya-masuk-desil-7-tukang-becak-desil-10" TargetMode="External"/><Relationship Id="rIdwl6e04e8zw0ebuwlxgz9a" Type="http://schemas.openxmlformats.org/officeDocument/2006/relationships/hyperlink" Target="https://ekonomi.republika.co.id/berita/tkdb24370/purbaya-siapkan-rp7-triliun-untuk-benahi-data-dtsen" TargetMode="External"/><Relationship Id="rId2dbyol2pdtow438kvjd_2" Type="http://schemas.openxmlformats.org/officeDocument/2006/relationships/hyperlink" Target="https://cnbcindonesia.com/news/20260903175540-4-764788/dpr-minta-bps-bereskan-data-desil-dalam-2-minggu" TargetMode="External"/><Relationship Id="rIdj35qlz8vstpgzrzosxgze" Type="http://schemas.openxmlformats.org/officeDocument/2006/relationships/hyperlink" Target="https://cnbcindonesia.com/news/20260904181422-4-765090/kemensos-desil-bukan-penentu-kaya-atau-miskin" TargetMode="External"/><Relationship Id="rIdp21ddjm7v2ouvglvvv-pz" Type="http://schemas.openxmlformats.org/officeDocument/2006/relationships/hyperlink" Target="https://www.cnbcindonesia.com/news/20260909110743-4-766453/bps-pertegas-sistem-desil-bukan-untuk-turunkan-tingkat-kemiskinan" TargetMode="External"/><Relationship Id="rIduhhucswe6niwyitcu4hji" Type="http://schemas.openxmlformats.org/officeDocument/2006/relationships/hyperlink" Target="https://rri.co.id/nasional/2725358/kemensos-dan-celios-bahas-polemik-desil" TargetMode="External"/><Relationship Id="rIdpqhffsoo7ydlfpjao5v3b" Type="http://schemas.openxmlformats.org/officeDocument/2006/relationships/hyperlink" Target="https://core-indonesia.com/wp-content/uploads/2026/09/COREInsight22-Ketika-Data-Menjadi-Vonis.pdf" TargetMode="External"/><Relationship Id="rId8kfgh_xip7tp_3_e6nuft" Type="http://schemas.openxmlformats.org/officeDocument/2006/relationships/hyperlink" Target="https://nasional.kontan.co.id/news/banyak-polemik-pemerintah-akan-kaji-ulang-penentuan-desil" TargetMode="External"/><Relationship Id="rIdatpl-fdvnj4wvirftipxw" Type="http://schemas.openxmlformats.org/officeDocument/2006/relationships/hyperlink" Target="https://kemensos.go.id/en/latest-news/social-minister/DTSEN-Spotlight-Test-Involves-More-Than-33-Thousand-PKH-Companion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Acuan Kelompok Pemohon Uji UU 13/2011</dc:title>
  <dc:creator>Kelompok Pemohon</dc:creator>
  <cp:lastModifiedBy>Un-named</cp:lastModifiedBy>
  <cp:revision>1</cp:revision>
  <dcterms:created xsi:type="dcterms:W3CDTF">2026-09-30T05:42:26.981Z</dcterms:created>
  <dcterms:modified xsi:type="dcterms:W3CDTF">2026-09-30T05:42:26.981Z</dcterms:modified>
</cp:coreProperties>
</file>

<file path=docProps/custom.xml><?xml version="1.0" encoding="utf-8"?>
<Properties xmlns="http://schemas.openxmlformats.org/officeDocument/2006/custom-properties" xmlns:vt="http://schemas.openxmlformats.org/officeDocument/2006/docPropsVTypes"/>
</file>