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80"/>
        <w:jc w:val="center"/>
      </w:pPr>
      <w:r>
        <w:rPr>
          <w:rFonts w:ascii="Times New Roman" w:cs="Times New Roman" w:eastAsia="Times New Roman" w:hAnsi="Times New Roman"/>
          <w:b/>
          <w:bCs/>
          <w:i w:val="false"/>
          <w:iCs w:val="false"/>
          <w:sz w:val="28"/>
          <w:szCs w:val="28"/>
        </w:rPr>
        <w:t xml:space="preserve">LAPORAN PEMERIKSAAN DAN PENDAPAT AHLI</w:t>
      </w:r>
    </w:p>
    <w:p>
      <w:pPr>
        <w:spacing w:after="60" w:before="0" w:line="280"/>
        <w:jc w:val="center"/>
      </w:pPr>
      <w:r>
        <w:rPr>
          <w:rFonts w:ascii="Times New Roman" w:cs="Times New Roman" w:eastAsia="Times New Roman" w:hAnsi="Times New Roman"/>
          <w:b/>
          <w:bCs/>
          <w:i w:val="false"/>
          <w:iCs w:val="false"/>
          <w:sz w:val="23"/>
          <w:szCs w:val="23"/>
        </w:rPr>
        <w:t xml:space="preserve">BIDANG KONSTRUKSI DAN PENAKSIRAN PEKERJAAN</w:t>
      </w:r>
    </w:p>
    <w:p>
      <w:pPr>
        <w:spacing w:after="40" w:before="0" w:line="280"/>
        <w:jc w:val="center"/>
      </w:pPr>
      <w:r>
        <w:rPr>
          <w:rFonts w:ascii="Times New Roman" w:cs="Times New Roman" w:eastAsia="Times New Roman" w:hAnsi="Times New Roman"/>
          <w:b w:val="false"/>
          <w:bCs w:val="false"/>
          <w:i w:val="false"/>
          <w:iCs w:val="false"/>
          <w:sz w:val="20"/>
          <w:szCs w:val="20"/>
        </w:rPr>
        <w:t xml:space="preserve">Nomor: 01/LPA-F/XI/2026</w:t>
      </w:r>
    </w:p>
    <w:p>
      <w:pPr>
        <w:spacing w:after="240" w:before="0" w:line="280"/>
        <w:jc w:val="center"/>
      </w:pPr>
      <w:r>
        <w:rPr>
          <w:rFonts w:ascii="Times New Roman" w:cs="Times New Roman" w:eastAsia="Times New Roman" w:hAnsi="Times New Roman"/>
          <w:b w:val="false"/>
          <w:bCs w:val="false"/>
          <w:i/>
          <w:iCs/>
          <w:sz w:val="20"/>
          <w:szCs w:val="20"/>
        </w:rPr>
        <w:t xml:space="preserve">dalam perkara perdata Nomor ......../Pdt.G/2026/PN Skt</w:t>
      </w:r>
    </w:p>
    <w:p>
      <w:pPr>
        <w:spacing w:after="140" w:before="320" w:line="280"/>
        <w:jc w:val="left"/>
      </w:pPr>
      <w:r>
        <w:rPr>
          <w:rFonts w:ascii="Times New Roman" w:cs="Times New Roman" w:eastAsia="Times New Roman" w:hAnsi="Times New Roman"/>
          <w:b/>
          <w:bCs/>
          <w:i w:val="false"/>
          <w:iCs w:val="false"/>
          <w:sz w:val="24"/>
          <w:szCs w:val="24"/>
        </w:rPr>
        <w:t xml:space="preserve">I. IDENTITAS AHLI</w:t>
      </w:r>
    </w:p>
    <w:tbl>
      <w:tblPr>
        <w:tblW w:type="dxa" w:w="9354"/>
        <w:tblBorders>
          <w:top w:val="none" w:color="FFFFFF" w:sz="0"/>
          <w:left w:val="none" w:color="FFFFFF" w:sz="0"/>
          <w:bottom w:val="none" w:color="FFFFFF" w:sz="0"/>
          <w:right w:val="none" w:color="FFFFFF" w:sz="0"/>
          <w:insideH w:val="single" w:color="auto" w:sz="4"/>
          <w:insideV w:val="single" w:color="auto" w:sz="4"/>
        </w:tblBorders>
      </w:tblPr>
      <w:tblGrid>
        <w:gridCol w:w="2900"/>
        <w:gridCol w:w="300"/>
        <w:gridCol w:w="6154"/>
      </w:tblGrid>
      <w:tr>
        <w:tc>
          <w:tcPr>
            <w:tcW w:type="dxa" w:w="2900"/>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Nama</w:t>
            </w:r>
          </w:p>
        </w:tc>
        <w:tc>
          <w:tcPr>
            <w:tcW w:type="dxa" w:w="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w:t>
            </w:r>
          </w:p>
        </w:tc>
        <w:tc>
          <w:tcPr>
            <w:tcW w:type="dxa" w:w="61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Fauzi, S.T., M.T.</w:t>
            </w:r>
          </w:p>
        </w:tc>
      </w:tr>
      <w:tr>
        <w:tc>
          <w:tcPr>
            <w:tcW w:type="dxa" w:w="2900"/>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Tempat/Tanggal Lahir</w:t>
            </w:r>
          </w:p>
        </w:tc>
        <w:tc>
          <w:tcPr>
            <w:tcW w:type="dxa" w:w="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w:t>
            </w:r>
          </w:p>
        </w:tc>
        <w:tc>
          <w:tcPr>
            <w:tcW w:type="dxa" w:w="61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 ..............................</w:t>
            </w:r>
          </w:p>
        </w:tc>
      </w:tr>
      <w:tr>
        <w:tc>
          <w:tcPr>
            <w:tcW w:type="dxa" w:w="2900"/>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Pekerjaan</w:t>
            </w:r>
          </w:p>
        </w:tc>
        <w:tc>
          <w:tcPr>
            <w:tcW w:type="dxa" w:w="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w:t>
            </w:r>
          </w:p>
        </w:tc>
        <w:tc>
          <w:tcPr>
            <w:tcW w:type="dxa" w:w="61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Konsultan manajemen konstruksi dan penaksir pekerjaan</w:t>
            </w:r>
          </w:p>
        </w:tc>
      </w:tr>
      <w:tr>
        <w:tc>
          <w:tcPr>
            <w:tcW w:type="dxa" w:w="2900"/>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Pendidikan</w:t>
            </w:r>
          </w:p>
        </w:tc>
        <w:tc>
          <w:tcPr>
            <w:tcW w:type="dxa" w:w="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w:t>
            </w:r>
          </w:p>
        </w:tc>
        <w:tc>
          <w:tcPr>
            <w:tcW w:type="dxa" w:w="61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Sarjana Teknik Sipil; Magister Teknik bidang Manajemen Konstruksi</w:t>
            </w:r>
          </w:p>
        </w:tc>
      </w:tr>
      <w:tr>
        <w:tc>
          <w:tcPr>
            <w:tcW w:type="dxa" w:w="2900"/>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Sertifikat Kompetensi</w:t>
            </w:r>
          </w:p>
        </w:tc>
        <w:tc>
          <w:tcPr>
            <w:tcW w:type="dxa" w:w="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w:t>
            </w:r>
          </w:p>
        </w:tc>
        <w:tc>
          <w:tcPr>
            <w:tcW w:type="dxa" w:w="61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SKK Konstruksi Ahli Manajemen Konstruksi Jenjang 8, Nomor ........................</w:t>
            </w:r>
          </w:p>
        </w:tc>
      </w:tr>
      <w:tr>
        <w:tc>
          <w:tcPr>
            <w:tcW w:type="dxa" w:w="2900"/>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Pengalaman</w:t>
            </w:r>
          </w:p>
        </w:tc>
        <w:tc>
          <w:tcPr>
            <w:tcW w:type="dxa" w:w="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w:t>
            </w:r>
          </w:p>
        </w:tc>
        <w:tc>
          <w:tcPr>
            <w:tcW w:type="dxa" w:w="61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15 (lima belas) tahun dalam pelaksanaan, pengawasan, dan penilaian pekerjaan konstruksi bangunan gedung</w:t>
            </w:r>
          </w:p>
        </w:tc>
      </w:tr>
      <w:tr>
        <w:tc>
          <w:tcPr>
            <w:tcW w:type="dxa" w:w="2900"/>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Alamat</w:t>
            </w:r>
          </w:p>
        </w:tc>
        <w:tc>
          <w:tcPr>
            <w:tcW w:type="dxa" w:w="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w:t>
            </w:r>
          </w:p>
        </w:tc>
        <w:tc>
          <w:tcPr>
            <w:tcW w:type="dxa" w:w="61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 Kota Surakarta</w:t>
            </w:r>
          </w:p>
        </w:tc>
      </w:tr>
    </w:tbl>
    <w:p>
      <w:pPr>
        <w:spacing w:after="140" w:before="320" w:line="280"/>
        <w:jc w:val="left"/>
      </w:pPr>
      <w:r>
        <w:rPr>
          <w:rFonts w:ascii="Times New Roman" w:cs="Times New Roman" w:eastAsia="Times New Roman" w:hAnsi="Times New Roman"/>
          <w:b/>
          <w:bCs/>
          <w:i w:val="false"/>
          <w:iCs w:val="false"/>
          <w:sz w:val="24"/>
          <w:szCs w:val="24"/>
        </w:rPr>
        <w:t xml:space="preserve">II. DASAR PENUNJUKAN</w:t>
      </w:r>
    </w:p>
    <w:p>
      <w:pPr>
        <w:spacing w:after="100" w:before="0" w:line="280"/>
        <w:jc w:val="both"/>
      </w:pPr>
      <w:r>
        <w:rPr>
          <w:rFonts w:ascii="Times New Roman" w:cs="Times New Roman" w:eastAsia="Times New Roman" w:hAnsi="Times New Roman"/>
          <w:b w:val="false"/>
          <w:bCs w:val="false"/>
          <w:i w:val="false"/>
          <w:iCs w:val="false"/>
          <w:sz w:val="21"/>
          <w:szCs w:val="21"/>
        </w:rPr>
        <w:t xml:space="preserve">Laporan ini disusun berdasarkan Penetapan Majelis Hakim Pengadilan Negeri Surakarta Nomor ......../Pdt.G/2026/PN Skt tanggal .............................., yang menunjuk Ahli untuk melakukan pemeriksaan dan memberikan pendapat atas hal-hal teknis dalam perkara antara Raka sebagai Penggugat melawan PT Arunika Kreasi sebagai Tergugat.</w:t>
      </w:r>
    </w:p>
    <w:p>
      <w:pPr>
        <w:spacing w:after="100" w:before="0" w:line="280"/>
        <w:jc w:val="both"/>
      </w:pPr>
      <w:r>
        <w:rPr>
          <w:rFonts w:ascii="Times New Roman" w:cs="Times New Roman" w:eastAsia="Times New Roman" w:hAnsi="Times New Roman"/>
          <w:b w:val="false"/>
          <w:bCs w:val="false"/>
          <w:i w:val="false"/>
          <w:iCs w:val="false"/>
          <w:sz w:val="21"/>
          <w:szCs w:val="21"/>
        </w:rPr>
        <w:t xml:space="preserve">Penunjukan tersebut didasarkan pada Pasal 154 Reglemen Indonesia yang Diperbaharui, yang memberi kewenangan kepada Majelis Hakim untuk meminta pendapat ahli, baik atas permintaan para pihak maupun karena jabatan, apabila Majelis memandang perlu memperoleh keterangan atas hal yang menuntut keahlian khusus.</w:t>
      </w:r>
    </w:p>
    <w:p>
      <w:pPr>
        <w:spacing w:after="140" w:before="320" w:line="280"/>
        <w:jc w:val="left"/>
      </w:pPr>
      <w:r>
        <w:rPr>
          <w:rFonts w:ascii="Times New Roman" w:cs="Times New Roman" w:eastAsia="Times New Roman" w:hAnsi="Times New Roman"/>
          <w:b/>
          <w:bCs/>
          <w:i w:val="false"/>
          <w:iCs w:val="false"/>
          <w:sz w:val="24"/>
          <w:szCs w:val="24"/>
        </w:rPr>
        <w:t xml:space="preserve">III. PERTANYAAN YANG DIAJUKAN KEPADA AHLI</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Bagaimana metode pengukuran realisasi progres pekerjaan yang lazim digunakan dalam praktik pelaksanaan pekerjaan konstruksi?</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Berapa realisasi progres pekerjaan renovasi pada tanggal 1 Mei 2026 dan pada tanggal 25 Juni 2026?</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Apakah keramik lantai yang terpasang sesuai dengan spesifikasi teknis yang diperjanjikan, dan apabila tidak sesuai, apa konsekuensi teknis serta biayanya?</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Apakah pekerjaan yang ditagih sebesar Rp85.000.000,00 merupakan pekerjaan di dalam atau di luar lingkup Rencana Anggaran Biaya?</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Berapa taksiran biaya yang diperlukan untuk menyelesaikan sisa pekerjaan?</w:t>
      </w:r>
    </w:p>
    <w:p>
      <w:pPr>
        <w:spacing w:after="140" w:before="320" w:line="280"/>
        <w:jc w:val="left"/>
      </w:pPr>
      <w:r>
        <w:rPr>
          <w:rFonts w:ascii="Times New Roman" w:cs="Times New Roman" w:eastAsia="Times New Roman" w:hAnsi="Times New Roman"/>
          <w:b/>
          <w:bCs/>
          <w:i w:val="false"/>
          <w:iCs w:val="false"/>
          <w:sz w:val="24"/>
          <w:szCs w:val="24"/>
        </w:rPr>
        <w:t xml:space="preserve">IV. DOKUMEN DAN BAHAN YANG DIPERIKSA</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Perjanjian Pemborongan Pekerjaan Nomor 001/PPP/AK-RK/I/2026 tanggal 12 Januari 2026 beserta seluruh lampirannya;</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Rencana Anggaran Biaya sebagai Lampiran I Perjanjian, memuat 14 item pekerjaan dengan jumlah Dasar Pengenaan Pajak Rp765.765.766,00, Pajak Pertambahan Nilai 11% sebesar Rp84.234.234,00, dan nilai kontrak Rp850.000.000,00 termasuk pajak;</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Lampiran Spesifikasi Teknis, khususnya spesifikasi keramik lantai area utama;</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Gambar kerja awal dan gambar revisi yang dibuat pelaksana pekerjaan;</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Bukti pembayaran Termin I sampai dengan Termin III seluruhnya Rp600.000.000,00 beserta nota yang diterbitkan pelaksana pekerjaan;</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Percakapan pesan elektronik antara para pihak pada 16 Januari 2026 dan 20 Februari 2026;</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Surat tagihan pelaksana pekerjaan tanggal 8 Mei 2026 sebesar Rp185.000.000,00;</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Surat penolakan pemberi tugas tanggal 15 Mei 2026 dan surat-surat somasi;</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Dokumentasi foto pekerjaan yang memuat penanda tanggal;</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Hasil pemeriksaan lapangan yang dilakukan Ahli pada tanggal .............................. di lokasi pekerjaan.</w:t>
      </w:r>
    </w:p>
    <w:p>
      <w:pPr>
        <w:spacing w:after="140" w:before="320" w:line="280"/>
        <w:jc w:val="left"/>
      </w:pPr>
      <w:r>
        <w:rPr>
          <w:rFonts w:ascii="Times New Roman" w:cs="Times New Roman" w:eastAsia="Times New Roman" w:hAnsi="Times New Roman"/>
          <w:b/>
          <w:bCs/>
          <w:i w:val="false"/>
          <w:iCs w:val="false"/>
          <w:sz w:val="24"/>
          <w:szCs w:val="24"/>
        </w:rPr>
        <w:t xml:space="preserve">V. METODE PENILAIAN</w:t>
      </w:r>
    </w:p>
    <w:p>
      <w:pPr>
        <w:spacing w:after="100" w:before="0" w:line="280"/>
        <w:jc w:val="both"/>
      </w:pPr>
      <w:r>
        <w:rPr>
          <w:rFonts w:ascii="Times New Roman" w:cs="Times New Roman" w:eastAsia="Times New Roman" w:hAnsi="Times New Roman"/>
          <w:b w:val="false"/>
          <w:bCs w:val="false"/>
          <w:i w:val="false"/>
          <w:iCs w:val="false"/>
          <w:sz w:val="21"/>
          <w:szCs w:val="21"/>
        </w:rPr>
        <w:t xml:space="preserve">Penilaian realisasi progres pekerjaan dilakukan dengan metode bobot pekerjaan, yaitu metode yang mengukur capaian setiap item pekerjaan terhadap bobotnya di dalam Rencana Anggaran Biaya. Bobot setiap item dihitung dari perbandingan nilai item tersebut terhadap jumlah Dasar Pengenaan Pajak, sehingga jumlah seluruh bobot adalah 100%.</w:t>
      </w:r>
    </w:p>
    <w:p>
      <w:pPr>
        <w:spacing w:after="100" w:before="0" w:line="280"/>
        <w:jc w:val="both"/>
      </w:pPr>
      <w:r>
        <w:rPr>
          <w:rFonts w:ascii="Times New Roman" w:cs="Times New Roman" w:eastAsia="Times New Roman" w:hAnsi="Times New Roman"/>
          <w:b w:val="false"/>
          <w:bCs w:val="false"/>
          <w:i w:val="false"/>
          <w:iCs w:val="false"/>
          <w:sz w:val="21"/>
          <w:szCs w:val="21"/>
        </w:rPr>
        <w:t xml:space="preserve">Metode ini dipilih karena metode persentase datar terhadap nilai kontrak tidak memiliki tolok ukur yang dapat diuji. Dengan metode persentase datar, angka progres apa pun dapat dinyatakan tanpa dapat diperiksa kebenarannya. Sebaliknya, dengan metode bobot, setiap angka dapat diuji baris per baris terhadap item pekerjaan yang bersangkutan.</w:t>
      </w:r>
    </w:p>
    <w:p>
      <w:pPr>
        <w:spacing w:after="100" w:before="220" w:line="280"/>
        <w:jc w:val="left"/>
      </w:pPr>
      <w:r>
        <w:rPr>
          <w:rFonts w:ascii="Times New Roman" w:cs="Times New Roman" w:eastAsia="Times New Roman" w:hAnsi="Times New Roman"/>
          <w:b/>
          <w:bCs/>
          <w:i w:val="false"/>
          <w:iCs w:val="false"/>
          <w:sz w:val="21"/>
          <w:szCs w:val="21"/>
        </w:rPr>
        <w:t xml:space="preserve">Prinsip penilaian yang diterapkan</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Harga satuan yang digunakan untuk menilai pekerjaan terpasang adalah harga satuan yang tercantum dalam Rencana Anggaran Biaya, yaitu harga satuan yang disusun pelaksana pekerjaan sendiri dan disetujui pemberi tugas. Ahli tidak menggunakan harga satuan sendiri untuk menilai pekerjaan terpasang, guna menghindari perdebatan mengenai kewajaran harga.</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Pekerjaan yang dilaksanakan tidak sesuai dengan spesifikasi teknis yang diperjanjikan dan karena itu harus dibongkar, tidak diperhitungkan sebagai realisasi progres. Pekerjaan demikian tidak memberikan manfaat kepada pemberi tugas, bahkan menimbulkan biaya pembongkaran. Memperhitungkannya sebagai progres berarti membebankan biaya pekerjaan yang gagal kepada pemberi tugas dua kali.</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Item 14 bukan merupakan pekerjaan fisik sehingga tidak dapat diukur melalui pengamatan lapangan. Item tersebut diakui secara proporsional terhadap realisasi fisik Item 1 sampai dengan Item 13, karena manfaat biaya penunjang melekat pada penyelesaian pekerjaan fisik.</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Pekerjaan yang secara urutan pelaksanaan belum dapat dimulai karena pekerjaan pendahulunya belum selesai, dinilai 0%.</w:t>
      </w:r>
    </w:p>
    <w:p>
      <w:pPr>
        <w:spacing w:after="140" w:before="320" w:line="280"/>
        <w:jc w:val="left"/>
      </w:pPr>
      <w:r>
        <w:rPr>
          <w:rFonts w:ascii="Times New Roman" w:cs="Times New Roman" w:eastAsia="Times New Roman" w:hAnsi="Times New Roman"/>
          <w:b/>
          <w:bCs/>
          <w:i w:val="false"/>
          <w:iCs w:val="false"/>
          <w:sz w:val="24"/>
          <w:szCs w:val="24"/>
        </w:rPr>
        <w:t xml:space="preserve">VI. HASIL PEMERIKSAAN DAN ANALISIS</w:t>
      </w:r>
    </w:p>
    <w:p>
      <w:pPr>
        <w:spacing w:after="100" w:before="220" w:line="280"/>
        <w:jc w:val="left"/>
      </w:pPr>
      <w:r>
        <w:rPr>
          <w:rFonts w:ascii="Times New Roman" w:cs="Times New Roman" w:eastAsia="Times New Roman" w:hAnsi="Times New Roman"/>
          <w:b/>
          <w:bCs/>
          <w:i w:val="false"/>
          <w:iCs w:val="false"/>
          <w:sz w:val="21"/>
          <w:szCs w:val="21"/>
        </w:rPr>
        <w:t xml:space="preserve">A. Bobot pekerjaan berdasarkan Rencana Anggaran Biaya</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20"/>
        <w:gridCol w:w="4934"/>
        <w:gridCol w:w="1900"/>
        <w:gridCol w:w="1900"/>
      </w:tblGrid>
      <w:tr>
        <w:trPr>
          <w:tblHeader/>
        </w:trPr>
        <w:tc>
          <w:tcPr>
            <w:tcW w:type="dxa" w:w="620"/>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Item</w:t>
            </w:r>
          </w:p>
        </w:tc>
        <w:tc>
          <w:tcPr>
            <w:tcW w:type="dxa" w:w="4934"/>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Uraian Pekerjaan</w:t>
            </w:r>
          </w:p>
        </w:tc>
        <w:tc>
          <w:tcPr>
            <w:tcW w:type="dxa" w:w="1900"/>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Nilai (DPP)</w:t>
            </w:r>
          </w:p>
        </w:tc>
        <w:tc>
          <w:tcPr>
            <w:tcW w:type="dxa" w:w="1900"/>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Bobot</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w:t>
            </w:r>
          </w:p>
        </w:tc>
        <w:tc>
          <w:tcPr>
            <w:tcW w:type="dxa" w:w="49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Pembongkaran interior lama</w:t>
            </w:r>
          </w:p>
        </w:tc>
        <w:tc>
          <w:tcPr>
            <w:tcW w:type="dxa" w:w="19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Rp45.000.000</w:t>
            </w:r>
          </w:p>
        </w:tc>
        <w:tc>
          <w:tcPr>
            <w:tcW w:type="dxa" w:w="19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5,88%</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2</w:t>
            </w:r>
          </w:p>
        </w:tc>
        <w:tc>
          <w:tcPr>
            <w:tcW w:type="dxa" w:w="49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Penyesuaian struktur bangunan</w:t>
            </w:r>
          </w:p>
        </w:tc>
        <w:tc>
          <w:tcPr>
            <w:tcW w:type="dxa" w:w="19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Rp108.000.000</w:t>
            </w:r>
          </w:p>
        </w:tc>
        <w:tc>
          <w:tcPr>
            <w:tcW w:type="dxa" w:w="19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14,10%</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3</w:t>
            </w:r>
          </w:p>
        </w:tc>
        <w:tc>
          <w:tcPr>
            <w:tcW w:type="dxa" w:w="49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Pekerjaan dinding, plester dan finishing</w:t>
            </w:r>
          </w:p>
        </w:tc>
        <w:tc>
          <w:tcPr>
            <w:tcW w:type="dxa" w:w="19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Rp54.000.000</w:t>
            </w:r>
          </w:p>
        </w:tc>
        <w:tc>
          <w:tcPr>
            <w:tcW w:type="dxa" w:w="19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7,05%</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4</w:t>
            </w:r>
          </w:p>
        </w:tc>
        <w:tc>
          <w:tcPr>
            <w:tcW w:type="dxa" w:w="49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Pekerjaan lantai dan keramik</w:t>
            </w:r>
          </w:p>
        </w:tc>
        <w:tc>
          <w:tcPr>
            <w:tcW w:type="dxa" w:w="19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Rp80.000.000</w:t>
            </w:r>
          </w:p>
        </w:tc>
        <w:tc>
          <w:tcPr>
            <w:tcW w:type="dxa" w:w="19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10,45%</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5</w:t>
            </w:r>
          </w:p>
        </w:tc>
        <w:tc>
          <w:tcPr>
            <w:tcW w:type="dxa" w:w="49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Pekerjaan plafon</w:t>
            </w:r>
          </w:p>
        </w:tc>
        <w:tc>
          <w:tcPr>
            <w:tcW w:type="dxa" w:w="19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Rp58.000.000</w:t>
            </w:r>
          </w:p>
        </w:tc>
        <w:tc>
          <w:tcPr>
            <w:tcW w:type="dxa" w:w="19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7,57%</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6</w:t>
            </w:r>
          </w:p>
        </w:tc>
        <w:tc>
          <w:tcPr>
            <w:tcW w:type="dxa" w:w="49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Pintu dan jendela</w:t>
            </w:r>
          </w:p>
        </w:tc>
        <w:tc>
          <w:tcPr>
            <w:tcW w:type="dxa" w:w="19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Rp36.000.000</w:t>
            </w:r>
          </w:p>
        </w:tc>
        <w:tc>
          <w:tcPr>
            <w:tcW w:type="dxa" w:w="19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4,70%</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7</w:t>
            </w:r>
          </w:p>
        </w:tc>
        <w:tc>
          <w:tcPr>
            <w:tcW w:type="dxa" w:w="49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Instalasi listrik dan pencahayaan</w:t>
            </w:r>
          </w:p>
        </w:tc>
        <w:tc>
          <w:tcPr>
            <w:tcW w:type="dxa" w:w="19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Rp58.000.000</w:t>
            </w:r>
          </w:p>
        </w:tc>
        <w:tc>
          <w:tcPr>
            <w:tcW w:type="dxa" w:w="19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7,57%</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8</w:t>
            </w:r>
          </w:p>
        </w:tc>
        <w:tc>
          <w:tcPr>
            <w:tcW w:type="dxa" w:w="49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Plumbing dan sanitasi</w:t>
            </w:r>
          </w:p>
        </w:tc>
        <w:tc>
          <w:tcPr>
            <w:tcW w:type="dxa" w:w="19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Rp36.000.000</w:t>
            </w:r>
          </w:p>
        </w:tc>
        <w:tc>
          <w:tcPr>
            <w:tcW w:type="dxa" w:w="19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4,70%</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9</w:t>
            </w:r>
          </w:p>
        </w:tc>
        <w:tc>
          <w:tcPr>
            <w:tcW w:type="dxa" w:w="49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Kitchen dan bar</w:t>
            </w:r>
          </w:p>
        </w:tc>
        <w:tc>
          <w:tcPr>
            <w:tcW w:type="dxa" w:w="19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Rp80.000.000</w:t>
            </w:r>
          </w:p>
        </w:tc>
        <w:tc>
          <w:tcPr>
            <w:tcW w:type="dxa" w:w="19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10,45%</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10</w:t>
            </w:r>
          </w:p>
        </w:tc>
        <w:tc>
          <w:tcPr>
            <w:tcW w:type="dxa" w:w="49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Pengecatan</w:t>
            </w:r>
          </w:p>
        </w:tc>
        <w:tc>
          <w:tcPr>
            <w:tcW w:type="dxa" w:w="19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Rp40.000.000</w:t>
            </w:r>
          </w:p>
        </w:tc>
        <w:tc>
          <w:tcPr>
            <w:tcW w:type="dxa" w:w="19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5,22%</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11</w:t>
            </w:r>
          </w:p>
        </w:tc>
        <w:tc>
          <w:tcPr>
            <w:tcW w:type="dxa" w:w="49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Fasad dan area luar</w:t>
            </w:r>
          </w:p>
        </w:tc>
        <w:tc>
          <w:tcPr>
            <w:tcW w:type="dxa" w:w="19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Rp31.000.000</w:t>
            </w:r>
          </w:p>
        </w:tc>
        <w:tc>
          <w:tcPr>
            <w:tcW w:type="dxa" w:w="19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4,05%</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12</w:t>
            </w:r>
          </w:p>
        </w:tc>
        <w:tc>
          <w:tcPr>
            <w:tcW w:type="dxa" w:w="49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Furniture/built-in</w:t>
            </w:r>
          </w:p>
        </w:tc>
        <w:tc>
          <w:tcPr>
            <w:tcW w:type="dxa" w:w="19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Rp49.000.000</w:t>
            </w:r>
          </w:p>
        </w:tc>
        <w:tc>
          <w:tcPr>
            <w:tcW w:type="dxa" w:w="19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6,40%</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13</w:t>
            </w:r>
          </w:p>
        </w:tc>
        <w:tc>
          <w:tcPr>
            <w:tcW w:type="dxa" w:w="49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Finishing akhir dan pembersihan</w:t>
            </w:r>
          </w:p>
        </w:tc>
        <w:tc>
          <w:tcPr>
            <w:tcW w:type="dxa" w:w="19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Rp31.000.000</w:t>
            </w:r>
          </w:p>
        </w:tc>
        <w:tc>
          <w:tcPr>
            <w:tcW w:type="dxa" w:w="19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4,05%</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14</w:t>
            </w:r>
          </w:p>
        </w:tc>
        <w:tc>
          <w:tcPr>
            <w:tcW w:type="dxa" w:w="49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Desain, engineering, mobilisasi, overhead dan manajemen proyek</w:t>
            </w:r>
          </w:p>
        </w:tc>
        <w:tc>
          <w:tcPr>
            <w:tcW w:type="dxa" w:w="19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Rp59.765.766</w:t>
            </w:r>
          </w:p>
        </w:tc>
        <w:tc>
          <w:tcPr>
            <w:tcW w:type="dxa" w:w="19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7,81%</w:t>
            </w:r>
          </w:p>
        </w:tc>
      </w:tr>
      <w:tr>
        <w:tc>
          <w:tcPr>
            <w:tcW w:type="dxa" w:w="5554"/>
            <w:gridSpan w:val="2"/>
            <w:shd w:fill="E8E8E8"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JUMLAH (DPP)</w:t>
            </w:r>
          </w:p>
        </w:tc>
        <w:tc>
          <w:tcPr>
            <w:tcW w:type="dxa" w:w="1900"/>
            <w:shd w:fill="E8E8E8"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Rp765.765.766</w:t>
            </w:r>
          </w:p>
        </w:tc>
        <w:tc>
          <w:tcPr>
            <w:tcW w:type="dxa" w:w="1900"/>
            <w:shd w:fill="E8E8E8"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100,00%</w:t>
            </w:r>
          </w:p>
        </w:tc>
      </w:tr>
    </w:tbl>
    <w:p>
      <w:pPr>
        <w:spacing w:after="100" w:before="100" w:line="280"/>
        <w:jc w:val="left"/>
      </w:pPr>
      <w:r>
        <w:rPr>
          <w:rFonts w:ascii="Times New Roman" w:cs="Times New Roman" w:eastAsia="Times New Roman" w:hAnsi="Times New Roman"/>
          <w:b w:val="false"/>
          <w:bCs w:val="false"/>
          <w:i/>
          <w:iCs/>
          <w:sz w:val="19"/>
          <w:szCs w:val="19"/>
        </w:rPr>
        <w:t xml:space="preserve">Bobot Item 14 memikul sisa pembulatan sehingga kolom bobot berjumlah tepat 100,00%. Bobot pekerjaan fisik Item 1 sampai dengan Item 13 seluruhnya 92,19%.</w:t>
      </w:r>
    </w:p>
    <w:p>
      <w:pPr>
        <w:spacing w:after="100" w:before="220" w:line="280"/>
        <w:jc w:val="left"/>
      </w:pPr>
      <w:r>
        <w:rPr>
          <w:rFonts w:ascii="Times New Roman" w:cs="Times New Roman" w:eastAsia="Times New Roman" w:hAnsi="Times New Roman"/>
          <w:b/>
          <w:bCs/>
          <w:i w:val="false"/>
          <w:iCs w:val="false"/>
          <w:sz w:val="21"/>
          <w:szCs w:val="21"/>
        </w:rPr>
        <w:t xml:space="preserve">B. Realisasi progres pekerjaan pada tanggal 1 Mei 2026</w:t>
      </w:r>
    </w:p>
    <w:p>
      <w:pPr>
        <w:spacing w:after="100" w:before="0" w:line="280"/>
        <w:jc w:val="both"/>
      </w:pPr>
      <w:r>
        <w:rPr>
          <w:rFonts w:ascii="Times New Roman" w:cs="Times New Roman" w:eastAsia="Times New Roman" w:hAnsi="Times New Roman"/>
          <w:b w:val="false"/>
          <w:bCs w:val="false"/>
          <w:i w:val="false"/>
          <w:iCs w:val="false"/>
          <w:sz w:val="21"/>
          <w:szCs w:val="21"/>
        </w:rPr>
        <w:t xml:space="preserve">Tanggal 1 Mei 2026 adalah tanggal batas akhir penyerahan pekerjaan menurut Perjanjian, yaitu 105 hari kalender terhitung sejak dimulainya pekerjaan pada 16 Januari 2026.</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20"/>
        <w:gridCol w:w="3634"/>
        <w:gridCol w:w="1300"/>
        <w:gridCol w:w="1400"/>
        <w:gridCol w:w="2400"/>
      </w:tblGrid>
      <w:tr>
        <w:trPr>
          <w:tblHeader/>
        </w:trPr>
        <w:tc>
          <w:tcPr>
            <w:tcW w:type="dxa" w:w="620"/>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Item</w:t>
            </w:r>
          </w:p>
        </w:tc>
        <w:tc>
          <w:tcPr>
            <w:tcW w:type="dxa" w:w="3634"/>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Uraian Pekerjaan</w:t>
            </w:r>
          </w:p>
        </w:tc>
        <w:tc>
          <w:tcPr>
            <w:tcW w:type="dxa" w:w="1300"/>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Bobot</w:t>
            </w:r>
          </w:p>
        </w:tc>
        <w:tc>
          <w:tcPr>
            <w:tcW w:type="dxa" w:w="1400"/>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Realisasi</w:t>
            </w:r>
          </w:p>
        </w:tc>
        <w:tc>
          <w:tcPr>
            <w:tcW w:type="dxa" w:w="2400"/>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Bobot x Realisasi</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Pembongkaran interior lama</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5,88%</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100%</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5,88</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2</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Penyesuaian struktur bangunan</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14,10%</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100%</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14,10</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3</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Pekerjaan dinding, plester dan finishing</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7,05%</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100%</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7,05</w:t>
            </w:r>
          </w:p>
        </w:tc>
      </w:tr>
      <w:tr>
        <w:tc>
          <w:tcPr>
            <w:tcW w:type="dxa" w:w="62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4</w:t>
            </w:r>
          </w:p>
        </w:tc>
        <w:tc>
          <w:tcPr>
            <w:tcW w:type="dxa" w:w="3634"/>
            <w:shd w:fill="FFF2CC" w:color="auto" w:val="clear"/>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Pekerjaan lantai dan keramik</w:t>
            </w:r>
          </w:p>
        </w:tc>
        <w:tc>
          <w:tcPr>
            <w:tcW w:type="dxa" w:w="130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10,45%</w:t>
            </w:r>
          </w:p>
        </w:tc>
        <w:tc>
          <w:tcPr>
            <w:tcW w:type="dxa" w:w="140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0%</w:t>
            </w:r>
          </w:p>
        </w:tc>
        <w:tc>
          <w:tcPr>
            <w:tcW w:type="dxa" w:w="2400"/>
            <w:shd w:fill="FFF2CC"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0,00</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5</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Pekerjaan plafon</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7,57%</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85%</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6,43</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6</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Pintu dan jendela</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4,70%</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80%</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3,76</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7</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Instalasi listrik dan pencahayaan</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7,57%</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75%</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5,68</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8</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Plumbing dan sanitasi</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4,70%</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90%</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4,23</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9</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Kitchen dan bar</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10,45%</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55%</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5,75</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10</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Pengecatan</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5,22%</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45%</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2,35</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11</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Fasad dan area luar</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4,05%</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30%</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1,22</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12</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Furniture/built-in</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6,40%</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50%</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3,20</w:t>
            </w:r>
          </w:p>
        </w:tc>
      </w:tr>
      <w:tr>
        <w:tc>
          <w:tcPr>
            <w:tcW w:type="dxa" w:w="62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13</w:t>
            </w:r>
          </w:p>
        </w:tc>
        <w:tc>
          <w:tcPr>
            <w:tcW w:type="dxa" w:w="3634"/>
            <w:shd w:fill="FFF2CC" w:color="auto" w:val="clear"/>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Finishing akhir dan pembersihan</w:t>
            </w:r>
          </w:p>
        </w:tc>
        <w:tc>
          <w:tcPr>
            <w:tcW w:type="dxa" w:w="130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4,05%</w:t>
            </w:r>
          </w:p>
        </w:tc>
        <w:tc>
          <w:tcPr>
            <w:tcW w:type="dxa" w:w="140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0%</w:t>
            </w:r>
          </w:p>
        </w:tc>
        <w:tc>
          <w:tcPr>
            <w:tcW w:type="dxa" w:w="2400"/>
            <w:shd w:fill="FFF2CC"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0,00</w:t>
            </w:r>
          </w:p>
        </w:tc>
      </w:tr>
      <w:tr>
        <w:tc>
          <w:tcPr>
            <w:tcW w:type="dxa" w:w="6954"/>
            <w:gridSpan w:val="4"/>
            <w:shd w:fill="E8E8E8"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Subtotal realisasi fisik Item 1 s.d. 13 (bobot 92,19%)</w:t>
            </w:r>
          </w:p>
        </w:tc>
        <w:tc>
          <w:tcPr>
            <w:tcW w:type="dxa" w:w="2400"/>
            <w:shd w:fill="E8E8E8"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59,65</w:t>
            </w:r>
          </w:p>
        </w:tc>
      </w:tr>
      <w:tr>
        <w:tc>
          <w:tcPr>
            <w:tcW w:type="dxa" w:w="6954"/>
            <w:gridSpan w:val="4"/>
            <w:shd w:fill="E8E8E8"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Item 14 diakui pro rata: 64,70% x 7,81%</w:t>
            </w:r>
          </w:p>
        </w:tc>
        <w:tc>
          <w:tcPr>
            <w:tcW w:type="dxa" w:w="2400"/>
            <w:shd w:fill="E8E8E8"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5,05</w:t>
            </w:r>
          </w:p>
        </w:tc>
      </w:tr>
      <w:tr>
        <w:tc>
          <w:tcPr>
            <w:tcW w:type="dxa" w:w="6954"/>
            <w:gridSpan w:val="4"/>
            <w:shd w:fill="D9D9D9"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REALISASI PROGRES PEKERJAAN</w:t>
            </w:r>
          </w:p>
        </w:tc>
        <w:tc>
          <w:tcPr>
            <w:tcW w:type="dxa" w:w="2400"/>
            <w:shd w:fill="D9D9D9"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64,70%</w:t>
            </w:r>
          </w:p>
        </w:tc>
      </w:tr>
    </w:tbl>
    <w:p>
      <w:pPr>
        <w:spacing w:after="100" w:before="120" w:line="280"/>
        <w:jc w:val="both"/>
      </w:pPr>
      <w:r>
        <w:rPr>
          <w:rFonts w:ascii="Times New Roman" w:cs="Times New Roman" w:eastAsia="Times New Roman" w:hAnsi="Times New Roman"/>
          <w:b w:val="false"/>
          <w:bCs w:val="false"/>
          <w:i w:val="false"/>
          <w:iCs w:val="false"/>
          <w:sz w:val="21"/>
          <w:szCs w:val="21"/>
        </w:rPr>
        <w:t xml:space="preserve">Realisasi progres pekerjaan pada tanggal 1 Mei 2026 adalah 64,70%. Nilai pekerjaan terpasang pada tanggal tersebut adalah 64,70% x Rp850.000.000,00 = Rp549.950.000.</w:t>
      </w:r>
    </w:p>
    <w:p>
      <w:pPr>
        <w:spacing w:after="100" w:before="220" w:line="280"/>
        <w:jc w:val="left"/>
      </w:pPr>
      <w:r>
        <w:rPr>
          <w:rFonts w:ascii="Times New Roman" w:cs="Times New Roman" w:eastAsia="Times New Roman" w:hAnsi="Times New Roman"/>
          <w:b/>
          <w:bCs/>
          <w:i w:val="false"/>
          <w:iCs w:val="false"/>
          <w:sz w:val="21"/>
          <w:szCs w:val="21"/>
        </w:rPr>
        <w:t xml:space="preserve">C. Realisasi progres pekerjaan pada tanggal 25 Juni 2026</w:t>
      </w:r>
    </w:p>
    <w:p>
      <w:pPr>
        <w:spacing w:after="100" w:before="0" w:line="280"/>
        <w:jc w:val="both"/>
      </w:pPr>
      <w:r>
        <w:rPr>
          <w:rFonts w:ascii="Times New Roman" w:cs="Times New Roman" w:eastAsia="Times New Roman" w:hAnsi="Times New Roman"/>
          <w:b w:val="false"/>
          <w:bCs w:val="false"/>
          <w:i w:val="false"/>
          <w:iCs w:val="false"/>
          <w:sz w:val="21"/>
          <w:szCs w:val="21"/>
        </w:rPr>
        <w:t xml:space="preserve">Tanggal 25 Juni 2026 adalah tanggal pelaksana pekerjaan menghentikan seluruh pekerjaan dan menarik para pekerjanya dari lokasi. Pada rentang 1 Mei 2026 sampai dengan 25 Juni 2026, penambahan realisasi terbatas pada tiga item, yaitu pintu dan jendela, pengecatan, serta furniture built-in, sejalan dengan berkurangnya aktivitas dan jumlah pekerja di lokasi.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20"/>
        <w:gridCol w:w="3634"/>
        <w:gridCol w:w="1300"/>
        <w:gridCol w:w="1400"/>
        <w:gridCol w:w="2400"/>
      </w:tblGrid>
      <w:tr>
        <w:trPr>
          <w:tblHeader/>
        </w:trPr>
        <w:tc>
          <w:tcPr>
            <w:tcW w:type="dxa" w:w="620"/>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Item</w:t>
            </w:r>
          </w:p>
        </w:tc>
        <w:tc>
          <w:tcPr>
            <w:tcW w:type="dxa" w:w="3634"/>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Uraian Pekerjaan</w:t>
            </w:r>
          </w:p>
        </w:tc>
        <w:tc>
          <w:tcPr>
            <w:tcW w:type="dxa" w:w="1300"/>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Bobot</w:t>
            </w:r>
          </w:p>
        </w:tc>
        <w:tc>
          <w:tcPr>
            <w:tcW w:type="dxa" w:w="1400"/>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Realisasi</w:t>
            </w:r>
          </w:p>
        </w:tc>
        <w:tc>
          <w:tcPr>
            <w:tcW w:type="dxa" w:w="2400"/>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Bobot x Realisasi</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Pembongkaran interior lama</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5,88%</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100%</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5,88</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2</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Penyesuaian struktur bangunan</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14,10%</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100%</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14,10</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3</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Pekerjaan dinding, plester dan finishing</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7,05%</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100%</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7,05</w:t>
            </w:r>
          </w:p>
        </w:tc>
      </w:tr>
      <w:tr>
        <w:tc>
          <w:tcPr>
            <w:tcW w:type="dxa" w:w="62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4</w:t>
            </w:r>
          </w:p>
        </w:tc>
        <w:tc>
          <w:tcPr>
            <w:tcW w:type="dxa" w:w="3634"/>
            <w:shd w:fill="FFF2CC" w:color="auto" w:val="clear"/>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Pekerjaan lantai dan keramik</w:t>
            </w:r>
          </w:p>
        </w:tc>
        <w:tc>
          <w:tcPr>
            <w:tcW w:type="dxa" w:w="130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10,45%</w:t>
            </w:r>
          </w:p>
        </w:tc>
        <w:tc>
          <w:tcPr>
            <w:tcW w:type="dxa" w:w="140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0%</w:t>
            </w:r>
          </w:p>
        </w:tc>
        <w:tc>
          <w:tcPr>
            <w:tcW w:type="dxa" w:w="2400"/>
            <w:shd w:fill="FFF2CC"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0,00</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5</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Pekerjaan plafon</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7,57%</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85%</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6,43</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6</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Pintu dan jendela</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4,70%</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85%</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4,00</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7</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Instalasi listrik dan pencahayaan</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7,57%</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75%</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5,68</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8</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Plumbing dan sanitasi</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4,70%</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90%</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4,23</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9</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Kitchen dan bar</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10,45%</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55%</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5,75</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10</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Pengecatan</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5,22%</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60%</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3,13</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11</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Fasad dan area luar</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4,05%</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30%</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1,22</w:t>
            </w:r>
          </w:p>
        </w:tc>
      </w:tr>
      <w:tr>
        <w:tc>
          <w:tcPr>
            <w:tcW w:type="dxa" w:w="62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12</w:t>
            </w:r>
          </w:p>
        </w:tc>
        <w:tc>
          <w:tcPr>
            <w:tcW w:type="dxa" w:w="363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Furniture/built-in</w:t>
            </w:r>
          </w:p>
        </w:tc>
        <w:tc>
          <w:tcPr>
            <w:tcW w:type="dxa" w:w="13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6,40%</w:t>
            </w:r>
          </w:p>
        </w:tc>
        <w:tc>
          <w:tcPr>
            <w:tcW w:type="dxa" w:w="14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55%</w:t>
            </w:r>
          </w:p>
        </w:tc>
        <w:tc>
          <w:tcPr>
            <w:tcW w:type="dxa" w:w="24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3,52</w:t>
            </w:r>
          </w:p>
        </w:tc>
      </w:tr>
      <w:tr>
        <w:tc>
          <w:tcPr>
            <w:tcW w:type="dxa" w:w="62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13</w:t>
            </w:r>
          </w:p>
        </w:tc>
        <w:tc>
          <w:tcPr>
            <w:tcW w:type="dxa" w:w="3634"/>
            <w:shd w:fill="FFF2CC" w:color="auto" w:val="clear"/>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Finishing akhir dan pembersihan</w:t>
            </w:r>
          </w:p>
        </w:tc>
        <w:tc>
          <w:tcPr>
            <w:tcW w:type="dxa" w:w="130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4,05%</w:t>
            </w:r>
          </w:p>
        </w:tc>
        <w:tc>
          <w:tcPr>
            <w:tcW w:type="dxa" w:w="140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0%</w:t>
            </w:r>
          </w:p>
        </w:tc>
        <w:tc>
          <w:tcPr>
            <w:tcW w:type="dxa" w:w="2400"/>
            <w:shd w:fill="FFF2CC"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0,00</w:t>
            </w:r>
          </w:p>
        </w:tc>
      </w:tr>
      <w:tr>
        <w:tc>
          <w:tcPr>
            <w:tcW w:type="dxa" w:w="6954"/>
            <w:gridSpan w:val="4"/>
            <w:shd w:fill="E8E8E8"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Subtotal realisasi fisik Item 1 s.d. 13 (bobot 92,19%)</w:t>
            </w:r>
          </w:p>
        </w:tc>
        <w:tc>
          <w:tcPr>
            <w:tcW w:type="dxa" w:w="2400"/>
            <w:shd w:fill="E8E8E8"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60,99</w:t>
            </w:r>
          </w:p>
        </w:tc>
      </w:tr>
      <w:tr>
        <w:tc>
          <w:tcPr>
            <w:tcW w:type="dxa" w:w="6954"/>
            <w:gridSpan w:val="4"/>
            <w:shd w:fill="E8E8E8"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Item 14 diakui pro rata: 66,16% x 7,81%</w:t>
            </w:r>
          </w:p>
        </w:tc>
        <w:tc>
          <w:tcPr>
            <w:tcW w:type="dxa" w:w="2400"/>
            <w:shd w:fill="E8E8E8"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5,17</w:t>
            </w:r>
          </w:p>
        </w:tc>
      </w:tr>
      <w:tr>
        <w:tc>
          <w:tcPr>
            <w:tcW w:type="dxa" w:w="6954"/>
            <w:gridSpan w:val="4"/>
            <w:shd w:fill="D9D9D9"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REALISASI PROGRES PEKERJAAN</w:t>
            </w:r>
          </w:p>
        </w:tc>
        <w:tc>
          <w:tcPr>
            <w:tcW w:type="dxa" w:w="2400"/>
            <w:shd w:fill="D9D9D9"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66,16%</w:t>
            </w:r>
          </w:p>
        </w:tc>
      </w:tr>
    </w:tbl>
    <w:p>
      <w:pPr>
        <w:spacing w:after="100" w:before="120" w:line="280"/>
        <w:jc w:val="both"/>
      </w:pPr>
      <w:r>
        <w:rPr>
          <w:rFonts w:ascii="Times New Roman" w:cs="Times New Roman" w:eastAsia="Times New Roman" w:hAnsi="Times New Roman"/>
          <w:b w:val="false"/>
          <w:bCs w:val="false"/>
          <w:i w:val="false"/>
          <w:iCs w:val="false"/>
          <w:sz w:val="21"/>
          <w:szCs w:val="21"/>
        </w:rPr>
        <w:t xml:space="preserve">Realisasi progres pekerjaan pada tanggal 25 Juni 2026 adalah 66,16%, dengan nilai pekerjaan terpasang Rp562.360.000. Dalam rentang 55 hari tersebut penambahan realisasi hanya 1,46 poin.</w:t>
      </w:r>
    </w:p>
    <w:p>
      <w:pPr>
        <w:spacing w:after="100" w:before="220" w:line="280"/>
        <w:jc w:val="left"/>
      </w:pPr>
      <w:r>
        <w:rPr>
          <w:rFonts w:ascii="Times New Roman" w:cs="Times New Roman" w:eastAsia="Times New Roman" w:hAnsi="Times New Roman"/>
          <w:b/>
          <w:bCs/>
          <w:i w:val="false"/>
          <w:iCs w:val="false"/>
          <w:sz w:val="21"/>
          <w:szCs w:val="21"/>
        </w:rPr>
        <w:t xml:space="preserve">D. Metode alternatif atas Item 14</w:t>
      </w:r>
    </w:p>
    <w:p>
      <w:pPr>
        <w:spacing w:after="100" w:before="0" w:line="280"/>
        <w:jc w:val="both"/>
      </w:pPr>
      <w:r>
        <w:rPr>
          <w:rFonts w:ascii="Times New Roman" w:cs="Times New Roman" w:eastAsia="Times New Roman" w:hAnsi="Times New Roman"/>
          <w:b w:val="false"/>
          <w:bCs w:val="false"/>
          <w:i w:val="false"/>
          <w:iCs w:val="false"/>
          <w:sz w:val="21"/>
          <w:szCs w:val="21"/>
        </w:rPr>
        <w:t xml:space="preserve">Ahli memandang perlu menyampaikan bahwa terhadap Item 14 terbuka perlakuan lain yang juga dapat dipertanggungjawabkan secara teknis. Sub-item 14.1 berupa jasa desain interior dan gambar kerja, sub-item 14.2 berupa gambar revisi dan penyesuaian desain lapangan, serta sub-item 14.3 berupa engineering dan perhitungan struktur, seluruhnya Rp27.850.000 atau bobot 3,64%, secara teknis memang telah selesai. Gambar kerja telah dibuat, gambar revisi telah dibuat, dan perhitungan struktur telah dilaksanakan.</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5354"/>
        <w:gridCol w:w="4000"/>
      </w:tblGrid>
      <w:tr>
        <w:tc>
          <w:tcPr>
            <w:tcW w:type="dxa" w:w="53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Realisasi fisik Item 1 s.d. 13</w:t>
            </w:r>
          </w:p>
        </w:tc>
        <w:tc>
          <w:tcPr>
            <w:tcW w:type="dxa" w:w="40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59,65</w:t>
            </w:r>
          </w:p>
        </w:tc>
      </w:tr>
      <w:tr>
        <w:tc>
          <w:tcPr>
            <w:tcW w:type="dxa" w:w="53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Sub-item 14.1 s.d. 14.3 diakui 100% (bobot 3,64%)</w:t>
            </w:r>
          </w:p>
        </w:tc>
        <w:tc>
          <w:tcPr>
            <w:tcW w:type="dxa" w:w="40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3,64</w:t>
            </w:r>
          </w:p>
        </w:tc>
      </w:tr>
      <w:tr>
        <w:tc>
          <w:tcPr>
            <w:tcW w:type="dxa" w:w="53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Sisa Item 14 (bobot 4,17%) diakui pro rata 64,70%</w:t>
            </w:r>
          </w:p>
        </w:tc>
        <w:tc>
          <w:tcPr>
            <w:tcW w:type="dxa" w:w="40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2,70</w:t>
            </w:r>
          </w:p>
        </w:tc>
      </w:tr>
      <w:tr>
        <w:tc>
          <w:tcPr>
            <w:tcW w:type="dxa" w:w="5354"/>
            <w:shd w:fill="D9D9D9" w:color="auto" w:val="clear"/>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REALISASI MENURUT METODE ALTERNATIF</w:t>
            </w:r>
          </w:p>
        </w:tc>
        <w:tc>
          <w:tcPr>
            <w:tcW w:type="dxa" w:w="4000"/>
            <w:shd w:fill="D9D9D9"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65,99%</w:t>
            </w:r>
          </w:p>
        </w:tc>
      </w:tr>
    </w:tbl>
    <w:p>
      <w:pPr>
        <w:spacing w:after="100" w:before="120" w:line="280"/>
        <w:jc w:val="both"/>
      </w:pPr>
      <w:r>
        <w:rPr>
          <w:rFonts w:ascii="Times New Roman" w:cs="Times New Roman" w:eastAsia="Times New Roman" w:hAnsi="Times New Roman"/>
          <w:b w:val="false"/>
          <w:bCs w:val="false"/>
          <w:i w:val="false"/>
          <w:iCs w:val="false"/>
          <w:sz w:val="21"/>
          <w:szCs w:val="21"/>
        </w:rPr>
        <w:t xml:space="preserve">Metode utama menghasilkan 64,70% dan metode alternatif menghasilkan 65,99%. Selisih kedua metode hanya 1,29 poin. Kedua metode menempatkan realisasi progres pada kisaran 65%, dan tidak satu pun mendekati 85%.</w:t>
      </w:r>
    </w:p>
    <w:p>
      <w:pPr>
        <w:spacing w:after="100" w:before="220" w:line="280"/>
        <w:jc w:val="left"/>
      </w:pPr>
      <w:r>
        <w:rPr>
          <w:rFonts w:ascii="Times New Roman" w:cs="Times New Roman" w:eastAsia="Times New Roman" w:hAnsi="Times New Roman"/>
          <w:b/>
          <w:bCs/>
          <w:i w:val="false"/>
          <w:iCs w:val="false"/>
          <w:sz w:val="21"/>
          <w:szCs w:val="21"/>
        </w:rPr>
        <w:t xml:space="preserve">E. Pengujian terhadap klaim progres 85%</w:t>
      </w:r>
    </w:p>
    <w:p>
      <w:pPr>
        <w:spacing w:after="100" w:before="0" w:line="280"/>
        <w:jc w:val="both"/>
      </w:pPr>
      <w:r>
        <w:rPr>
          <w:rFonts w:ascii="Times New Roman" w:cs="Times New Roman" w:eastAsia="Times New Roman" w:hAnsi="Times New Roman"/>
          <w:b w:val="false"/>
          <w:bCs w:val="false"/>
          <w:i w:val="false"/>
          <w:iCs w:val="false"/>
          <w:sz w:val="21"/>
          <w:szCs w:val="21"/>
        </w:rPr>
        <w:t xml:space="preserve">Ahli menguji apakah angka 85% dapat dicapai dengan metode bobot. Pengujian dilakukan sebagai berikut.</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Apabila Item 4 berupa pekerjaan lantai dan keramik dengan bobot 10,45% tidak diperhitungkan karena harus dibongkar, maka bobot seluruh item lainnya adalah 89,55%.</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Agar tercapai realisasi 85% dari bobot 89,55% tersebut, seluruh item lain harus terealisasi rata-rata 94,9%.</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Item 13 berupa finishing akhir dan pembersihan dengan bobot 4,05% secara urutan pelaksanaan tidak dapat dimulai sebelum seluruh pekerjaan pendahulunya selesai, sehingga pada 1 Mei 2026 item tersebut belum dapat dikerjakan.</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Dengan Item 4 dan Item 13 dikeluarkan dari perhitungan, batas maksimum realisasi yang secara teknis mungkin dicapai adalah 85,50%. Angka tersebut hanya dapat dicapai apabila kedua belas item lainnya terealisasi 100% tanpa kecuali.</w:t>
      </w:r>
    </w:p>
    <w:p>
      <w:pPr>
        <w:spacing w:after="100" w:before="60" w:line="280"/>
        <w:jc w:val="both"/>
      </w:pPr>
      <w:r>
        <w:rPr>
          <w:rFonts w:ascii="Times New Roman" w:cs="Times New Roman" w:eastAsia="Times New Roman" w:hAnsi="Times New Roman"/>
          <w:b w:val="false"/>
          <w:bCs w:val="false"/>
          <w:i w:val="false"/>
          <w:iCs w:val="false"/>
          <w:sz w:val="21"/>
          <w:szCs w:val="21"/>
        </w:rPr>
        <w:t xml:space="preserve">Keadaan kedua belas item terealisasi 100% tanpa kecuali tidak mungkin terjadi pada bangunan yang belum dapat digunakan sebagai kafe. Menurut pendapat Ahli, angka progres 85% hanya dapat diperoleh apabila pekerjaan keramik yang tidak sesuai spesifikasi diperhitungkan sebagai prestasi yang sah, disertai pembulatan item-item yang belum tuntas menjadi selesai.</w:t>
      </w:r>
    </w:p>
    <w:p>
      <w:pPr>
        <w:spacing w:after="100" w:before="220" w:line="280"/>
        <w:jc w:val="left"/>
      </w:pPr>
      <w:r>
        <w:rPr>
          <w:rFonts w:ascii="Times New Roman" w:cs="Times New Roman" w:eastAsia="Times New Roman" w:hAnsi="Times New Roman"/>
          <w:b/>
          <w:bCs/>
          <w:i w:val="false"/>
          <w:iCs w:val="false"/>
          <w:sz w:val="21"/>
          <w:szCs w:val="21"/>
        </w:rPr>
        <w:t xml:space="preserve">F. Kesesuaian spesifikasi keramik lantai dan konsekuensi teknisnya</w:t>
      </w:r>
    </w:p>
    <w:p>
      <w:pPr>
        <w:spacing w:after="100" w:before="0" w:line="280"/>
        <w:jc w:val="both"/>
      </w:pPr>
      <w:r>
        <w:rPr>
          <w:rFonts w:ascii="Times New Roman" w:cs="Times New Roman" w:eastAsia="Times New Roman" w:hAnsi="Times New Roman"/>
          <w:b w:val="false"/>
          <w:bCs w:val="false"/>
          <w:i w:val="false"/>
          <w:iCs w:val="false"/>
          <w:sz w:val="21"/>
          <w:szCs w:val="21"/>
        </w:rPr>
        <w:t xml:space="preserve">Spesifikasi keramik lantai area utama menurut Rencana Anggaran Biaya butir 4.4 adalah keramik berukuran 60 cm x 60 cm, berwarna cokelat, permukaan matte, harga satuan Rp185.000,00 per meter persegi, volume pengadaan 105 meter persegi termasuk cadangan 5%. Keramik yang terpasang di lokasi berwarna hitam.</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Warna keramik merupakan sifat bahan yang tidak dapat diubah setelah terpasang. Tidak terdapat metode perbaikan yang dapat menyesuaikan warna keramik terpasang kepada spesifikasi yang diperjanjikan.</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Satu-satunya cara memenuhi spesifikasi adalah pembongkaran seluruh keramik terpasang, perbaikan lapisan dasar, dan pemasangan ulang dengan keramik yang sesuai spesifikasi.</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Keramik berukuran 60 cm x 60 cm berwarna cokelat dengan permukaan matte merupakan produk reguler yang diproduksi beberapa produsen nasional dan tersedia melalui jaringan distributor. Untuk volume 105 meter persegi, yang termasuk volume kecil, waktu pengadaan yang lazim adalah 2 sampai dengan 4 minggu. Ahli tidak menemukan dasar teknis bagi waktu pengadaan yang tidak dapat ditentukan.</w:t>
      </w:r>
    </w:p>
    <w:p>
      <w:pPr>
        <w:spacing w:after="80" w:before="160" w:line="280"/>
        <w:jc w:val="left"/>
      </w:pPr>
      <w:r>
        <w:rPr>
          <w:rFonts w:ascii="Times New Roman" w:cs="Times New Roman" w:eastAsia="Times New Roman" w:hAnsi="Times New Roman"/>
          <w:b/>
          <w:bCs/>
          <w:i w:val="false"/>
          <w:iCs w:val="false"/>
          <w:sz w:val="21"/>
          <w:szCs w:val="21"/>
        </w:rPr>
        <w:t xml:space="preserve">Taksiran biaya pembongkaran dan pemasangan ulang keramik</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3554"/>
        <w:gridCol w:w="900"/>
        <w:gridCol w:w="800"/>
        <w:gridCol w:w="1600"/>
        <w:gridCol w:w="1600"/>
        <w:gridCol w:w="900"/>
      </w:tblGrid>
      <w:tr>
        <w:trPr>
          <w:tblHeader/>
        </w:trPr>
        <w:tc>
          <w:tcPr>
            <w:tcW w:type="dxa" w:w="3554"/>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Uraian</w:t>
            </w:r>
          </w:p>
        </w:tc>
        <w:tc>
          <w:tcPr>
            <w:tcW w:type="dxa" w:w="900"/>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Volume</w:t>
            </w:r>
          </w:p>
        </w:tc>
        <w:tc>
          <w:tcPr>
            <w:tcW w:type="dxa" w:w="800"/>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Satuan</w:t>
            </w:r>
          </w:p>
        </w:tc>
        <w:tc>
          <w:tcPr>
            <w:tcW w:type="dxa" w:w="1600"/>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Harga Satuan</w:t>
            </w:r>
          </w:p>
        </w:tc>
        <w:tc>
          <w:tcPr>
            <w:tcW w:type="dxa" w:w="1600"/>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Jumlah</w:t>
            </w:r>
          </w:p>
        </w:tc>
        <w:tc>
          <w:tcPr>
            <w:tcW w:type="dxa" w:w="900"/>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Sifat</w:t>
            </w:r>
          </w:p>
        </w:tc>
      </w:tr>
      <w:tr>
        <w:tc>
          <w:tcPr>
            <w:tcW w:type="dxa" w:w="3554"/>
            <w:shd w:fill="FFF2CC" w:color="auto" w:val="clear"/>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Bongkar keramik hitam terpasang</w:t>
            </w:r>
          </w:p>
        </w:tc>
        <w:tc>
          <w:tcPr>
            <w:tcW w:type="dxa" w:w="90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100</w:t>
            </w:r>
          </w:p>
        </w:tc>
        <w:tc>
          <w:tcPr>
            <w:tcW w:type="dxa" w:w="80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m²</w:t>
            </w:r>
          </w:p>
        </w:tc>
        <w:tc>
          <w:tcPr>
            <w:tcW w:type="dxa" w:w="1600"/>
            <w:shd w:fill="FFF2CC"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Rp45.000</w:t>
            </w:r>
          </w:p>
        </w:tc>
        <w:tc>
          <w:tcPr>
            <w:tcW w:type="dxa" w:w="1600"/>
            <w:shd w:fill="FFF2CC"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Rp4.500.000</w:t>
            </w:r>
          </w:p>
        </w:tc>
        <w:tc>
          <w:tcPr>
            <w:tcW w:type="dxa" w:w="90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tambahan</w:t>
            </w:r>
          </w:p>
        </w:tc>
      </w:tr>
      <w:tr>
        <w:tc>
          <w:tcPr>
            <w:tcW w:type="dxa" w:w="3554"/>
            <w:shd w:fill="FFF2CC" w:color="auto" w:val="clear"/>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Angkut dan buang puing</w:t>
            </w:r>
          </w:p>
        </w:tc>
        <w:tc>
          <w:tcPr>
            <w:tcW w:type="dxa" w:w="90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w:t>
            </w:r>
          </w:p>
        </w:tc>
        <w:tc>
          <w:tcPr>
            <w:tcW w:type="dxa" w:w="80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ls</w:t>
            </w:r>
          </w:p>
        </w:tc>
        <w:tc>
          <w:tcPr>
            <w:tcW w:type="dxa" w:w="1600"/>
            <w:shd w:fill="FFF2CC"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Rp2.000.000</w:t>
            </w:r>
          </w:p>
        </w:tc>
        <w:tc>
          <w:tcPr>
            <w:tcW w:type="dxa" w:w="1600"/>
            <w:shd w:fill="FFF2CC"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Rp2.000.000</w:t>
            </w:r>
          </w:p>
        </w:tc>
        <w:tc>
          <w:tcPr>
            <w:tcW w:type="dxa" w:w="90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tambahan</w:t>
            </w:r>
          </w:p>
        </w:tc>
      </w:tr>
      <w:tr>
        <w:tc>
          <w:tcPr>
            <w:tcW w:type="dxa" w:w="3554"/>
            <w:shd w:fill="FFF2CC" w:color="auto" w:val="clear"/>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Perbaikan dan leveling screed</w:t>
            </w:r>
          </w:p>
        </w:tc>
        <w:tc>
          <w:tcPr>
            <w:tcW w:type="dxa" w:w="90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100</w:t>
            </w:r>
          </w:p>
        </w:tc>
        <w:tc>
          <w:tcPr>
            <w:tcW w:type="dxa" w:w="80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m²</w:t>
            </w:r>
          </w:p>
        </w:tc>
        <w:tc>
          <w:tcPr>
            <w:tcW w:type="dxa" w:w="1600"/>
            <w:shd w:fill="FFF2CC"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Rp35.000</w:t>
            </w:r>
          </w:p>
        </w:tc>
        <w:tc>
          <w:tcPr>
            <w:tcW w:type="dxa" w:w="1600"/>
            <w:shd w:fill="FFF2CC"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Rp3.500.000</w:t>
            </w:r>
          </w:p>
        </w:tc>
        <w:tc>
          <w:tcPr>
            <w:tcW w:type="dxa" w:w="900"/>
            <w:shd w:fill="FFF2CC"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tambahan</w:t>
            </w:r>
          </w:p>
        </w:tc>
      </w:tr>
      <w:tr>
        <w:tc>
          <w:tcPr>
            <w:tcW w:type="dxa" w:w="35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Pengadaan keramik cokelat 60x60 matte</w:t>
            </w:r>
          </w:p>
        </w:tc>
        <w:tc>
          <w:tcPr>
            <w:tcW w:type="dxa" w:w="9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105</w:t>
            </w:r>
          </w:p>
        </w:tc>
        <w:tc>
          <w:tcPr>
            <w:tcW w:type="dxa" w:w="8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m²</w:t>
            </w:r>
          </w:p>
        </w:tc>
        <w:tc>
          <w:tcPr>
            <w:tcW w:type="dxa" w:w="16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Rp185.000</w:t>
            </w:r>
          </w:p>
        </w:tc>
        <w:tc>
          <w:tcPr>
            <w:tcW w:type="dxa" w:w="16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Rp19.425.000</w:t>
            </w:r>
          </w:p>
        </w:tc>
        <w:tc>
          <w:tcPr>
            <w:tcW w:type="dxa" w:w="9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lingkup</w:t>
            </w:r>
          </w:p>
        </w:tc>
      </w:tr>
      <w:tr>
        <w:tc>
          <w:tcPr>
            <w:tcW w:type="dxa" w:w="35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Perekat dan grouting</w:t>
            </w:r>
          </w:p>
        </w:tc>
        <w:tc>
          <w:tcPr>
            <w:tcW w:type="dxa" w:w="9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100</w:t>
            </w:r>
          </w:p>
        </w:tc>
        <w:tc>
          <w:tcPr>
            <w:tcW w:type="dxa" w:w="8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m²</w:t>
            </w:r>
          </w:p>
        </w:tc>
        <w:tc>
          <w:tcPr>
            <w:tcW w:type="dxa" w:w="16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Rp30.000</w:t>
            </w:r>
          </w:p>
        </w:tc>
        <w:tc>
          <w:tcPr>
            <w:tcW w:type="dxa" w:w="16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Rp3.000.000</w:t>
            </w:r>
          </w:p>
        </w:tc>
        <w:tc>
          <w:tcPr>
            <w:tcW w:type="dxa" w:w="9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lingkup</w:t>
            </w:r>
          </w:p>
        </w:tc>
      </w:tr>
      <w:tr>
        <w:tc>
          <w:tcPr>
            <w:tcW w:type="dxa" w:w="35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Upah pemasangan keramik</w:t>
            </w:r>
          </w:p>
        </w:tc>
        <w:tc>
          <w:tcPr>
            <w:tcW w:type="dxa" w:w="9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100</w:t>
            </w:r>
          </w:p>
        </w:tc>
        <w:tc>
          <w:tcPr>
            <w:tcW w:type="dxa" w:w="8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m²</w:t>
            </w:r>
          </w:p>
        </w:tc>
        <w:tc>
          <w:tcPr>
            <w:tcW w:type="dxa" w:w="16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Rp65.000</w:t>
            </w:r>
          </w:p>
        </w:tc>
        <w:tc>
          <w:tcPr>
            <w:tcW w:type="dxa" w:w="16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Rp6.500.000</w:t>
            </w:r>
          </w:p>
        </w:tc>
        <w:tc>
          <w:tcPr>
            <w:tcW w:type="dxa" w:w="9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lingkup</w:t>
            </w:r>
          </w:p>
        </w:tc>
      </w:tr>
      <w:tr>
        <w:tc>
          <w:tcPr>
            <w:tcW w:type="dxa" w:w="6854"/>
            <w:gridSpan w:val="4"/>
            <w:shd w:fill="E8E8E8"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JUMLAH (DPP)</w:t>
            </w:r>
          </w:p>
        </w:tc>
        <w:tc>
          <w:tcPr>
            <w:tcW w:type="dxa" w:w="1600"/>
            <w:shd w:fill="E8E8E8"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Rp38.925.000</w:t>
            </w:r>
          </w:p>
        </w:tc>
        <w:tc>
          <w:tcPr>
            <w:tcW w:type="dxa" w:w="900"/>
            <w:shd w:fill="E8E8E8" w:color="auto" w:val="clear"/>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
            </w:r>
          </w:p>
        </w:tc>
      </w:tr>
    </w:tbl>
    <w:p>
      <w:pPr>
        <w:spacing w:after="100" w:before="120" w:line="280"/>
        <w:jc w:val="both"/>
      </w:pPr>
      <w:r>
        <w:rPr>
          <w:rFonts w:ascii="Times New Roman" w:cs="Times New Roman" w:eastAsia="Times New Roman" w:hAnsi="Times New Roman"/>
          <w:b w:val="false"/>
          <w:bCs w:val="false"/>
          <w:i w:val="false"/>
          <w:iCs w:val="false"/>
          <w:sz w:val="21"/>
          <w:szCs w:val="21"/>
        </w:rPr>
        <w:t xml:space="preserve">Dari jumlah Rp38.925.000 tersebut Ahli membedakan dua sifat biaya. Pertama, Rp10.000.000 berupa pembongkaran keramik terpasang, pengangkutan puing, dan perbaikan lapisan dasar, merupakan biaya yang tidak akan timbul apabila keramik dipasang sesuai spesifikasi sejak semula. Kedua, Rp28.925.000 berupa pengadaan keramik, perekat, dan upah pemasangan, merupakan biaya yang memang menjadi bagian dari lingkup pekerjaan sebagaimana telah dianggarkan dalam Item 4, sehingga tidak boleh diperhitungkan dua kali.</w:t>
      </w:r>
    </w:p>
    <w:p>
      <w:pPr>
        <w:spacing w:after="100" w:before="220" w:line="280"/>
        <w:jc w:val="left"/>
      </w:pPr>
      <w:r>
        <w:rPr>
          <w:rFonts w:ascii="Times New Roman" w:cs="Times New Roman" w:eastAsia="Times New Roman" w:hAnsi="Times New Roman"/>
          <w:b/>
          <w:bCs/>
          <w:i w:val="false"/>
          <w:iCs w:val="false"/>
          <w:sz w:val="21"/>
          <w:szCs w:val="21"/>
        </w:rPr>
        <w:t xml:space="preserve">G. Analisis lingkup pekerjaan yang ditagih sebesar Rp85.000.000,00</w:t>
      </w:r>
    </w:p>
    <w:p>
      <w:pPr>
        <w:spacing w:after="100" w:before="0" w:line="280"/>
        <w:jc w:val="both"/>
      </w:pPr>
      <w:r>
        <w:rPr>
          <w:rFonts w:ascii="Times New Roman" w:cs="Times New Roman" w:eastAsia="Times New Roman" w:hAnsi="Times New Roman"/>
          <w:b w:val="false"/>
          <w:bCs w:val="false"/>
          <w:i w:val="false"/>
          <w:iCs w:val="false"/>
          <w:sz w:val="21"/>
          <w:szCs w:val="21"/>
        </w:rPr>
        <w:t xml:space="preserve">Ahli memeriksa apakah komponen pekerjaan yang ditagih berada di dalam atau di luar lingkup Rencana Anggaran Biaya.</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4254"/>
        <w:gridCol w:w="1600"/>
        <w:gridCol w:w="2000"/>
        <w:gridCol w:w="1500"/>
      </w:tblGrid>
      <w:tr>
        <w:trPr>
          <w:tblHeader/>
        </w:trPr>
        <w:tc>
          <w:tcPr>
            <w:tcW w:type="dxa" w:w="4254"/>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Komponen yang ditagih</w:t>
            </w:r>
          </w:p>
        </w:tc>
        <w:tc>
          <w:tcPr>
            <w:tcW w:type="dxa" w:w="1600"/>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Item RAB</w:t>
            </w:r>
          </w:p>
        </w:tc>
        <w:tc>
          <w:tcPr>
            <w:tcW w:type="dxa" w:w="2000"/>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Nilai Dianggarkan</w:t>
            </w:r>
          </w:p>
        </w:tc>
        <w:tc>
          <w:tcPr>
            <w:tcW w:type="dxa" w:w="1500"/>
            <w:shd w:fill="D9D9D9" w:color="auto" w:val="clear"/>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bCs/>
                <w:i w:val="false"/>
                <w:iCs w:val="false"/>
                <w:sz w:val="21"/>
                <w:szCs w:val="21"/>
              </w:rPr>
              <w:t xml:space="preserve">Status</w:t>
            </w:r>
          </w:p>
        </w:tc>
      </w:tr>
      <w:tr>
        <w:tc>
          <w:tcPr>
            <w:tcW w:type="dxa" w:w="42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Perubahan rancangan plafon</w:t>
            </w:r>
          </w:p>
        </w:tc>
        <w:tc>
          <w:tcPr>
            <w:tcW w:type="dxa" w:w="16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Item 5</w:t>
            </w:r>
          </w:p>
        </w:tc>
        <w:tc>
          <w:tcPr>
            <w:tcW w:type="dxa" w:w="20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Rp58.000.000</w:t>
            </w:r>
          </w:p>
        </w:tc>
        <w:tc>
          <w:tcPr>
            <w:tcW w:type="dxa" w:w="15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di dalam lingkup</w:t>
            </w:r>
          </w:p>
        </w:tc>
      </w:tr>
      <w:tr>
        <w:tc>
          <w:tcPr>
            <w:tcW w:type="dxa" w:w="42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Penambahan titik dan fixture pencahayaan</w:t>
            </w:r>
          </w:p>
        </w:tc>
        <w:tc>
          <w:tcPr>
            <w:tcW w:type="dxa" w:w="16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Item 7</w:t>
            </w:r>
          </w:p>
        </w:tc>
        <w:tc>
          <w:tcPr>
            <w:tcW w:type="dxa" w:w="20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Rp58.000.000</w:t>
            </w:r>
          </w:p>
        </w:tc>
        <w:tc>
          <w:tcPr>
            <w:tcW w:type="dxa" w:w="15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di dalam lingkup</w:t>
            </w:r>
          </w:p>
        </w:tc>
      </w:tr>
      <w:tr>
        <w:tc>
          <w:tcPr>
            <w:tcW w:type="dxa" w:w="42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Perubahan tata ruang dan perkerasan area luar</w:t>
            </w:r>
          </w:p>
        </w:tc>
        <w:tc>
          <w:tcPr>
            <w:tcW w:type="dxa" w:w="16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Item 11</w:t>
            </w:r>
          </w:p>
        </w:tc>
        <w:tc>
          <w:tcPr>
            <w:tcW w:type="dxa" w:w="20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Rp31.000.000</w:t>
            </w:r>
          </w:p>
        </w:tc>
        <w:tc>
          <w:tcPr>
            <w:tcW w:type="dxa" w:w="15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di dalam lingkup</w:t>
            </w:r>
          </w:p>
        </w:tc>
      </w:tr>
      <w:tr>
        <w:tc>
          <w:tcPr>
            <w:tcW w:type="dxa" w:w="42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Penyesuaian desain dan gambar revisi</w:t>
            </w:r>
          </w:p>
        </w:tc>
        <w:tc>
          <w:tcPr>
            <w:tcW w:type="dxa" w:w="16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Item 14.2</w:t>
            </w:r>
          </w:p>
        </w:tc>
        <w:tc>
          <w:tcPr>
            <w:tcW w:type="dxa" w:w="20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Rp4.500.000</w:t>
            </w:r>
          </w:p>
        </w:tc>
        <w:tc>
          <w:tcPr>
            <w:tcW w:type="dxa" w:w="1500"/>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di dalam lingkup</w:t>
            </w:r>
          </w:p>
        </w:tc>
      </w:tr>
      <w:tr>
        <w:tc>
          <w:tcPr>
            <w:tcW w:type="dxa" w:w="5854"/>
            <w:gridSpan w:val="2"/>
            <w:shd w:fill="E8E8E8"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JUMLAH YANG TELAH DIANGGARKAN DALAM RAB</w:t>
            </w:r>
          </w:p>
        </w:tc>
        <w:tc>
          <w:tcPr>
            <w:tcW w:type="dxa" w:w="2000"/>
            <w:shd w:fill="E8E8E8"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Rp151.500.000</w:t>
            </w:r>
          </w:p>
        </w:tc>
        <w:tc>
          <w:tcPr>
            <w:tcW w:type="dxa" w:w="1500"/>
            <w:shd w:fill="E8E8E8" w:color="auto" w:val="clear"/>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
            </w:r>
          </w:p>
        </w:tc>
      </w:tr>
    </w:tbl>
    <w:p>
      <w:pPr>
        <w:spacing w:after="100" w:before="120" w:line="280"/>
        <w:jc w:val="both"/>
      </w:pPr>
      <w:r>
        <w:rPr>
          <w:rFonts w:ascii="Times New Roman" w:cs="Times New Roman" w:eastAsia="Times New Roman" w:hAnsi="Times New Roman"/>
          <w:b w:val="false"/>
          <w:bCs w:val="false"/>
          <w:i w:val="false"/>
          <w:iCs w:val="false"/>
          <w:sz w:val="21"/>
          <w:szCs w:val="21"/>
        </w:rPr>
        <w:t xml:space="preserve">Keempat komponen yang ditagih berada di dalam lingkup Rencana Anggaran Biaya, dengan nilai yang telah dianggarkan seluruhnya Rp151.500.000. Karena itu, untuk dapat dinilai sebagai pekerjaan tambahan, yang harus ditunjukkan bukanlah adanya perubahan, melainkan adanya selisih volume atau selisih spesifikasi di atas volume dan spesifikasi yang telah dianggarkan, disertai perhitungan yang dapat diperiksa.</w:t>
      </w:r>
    </w:p>
    <w:p>
      <w:pPr>
        <w:spacing w:after="80" w:before="140" w:line="280"/>
        <w:jc w:val="left"/>
      </w:pPr>
      <w:r>
        <w:rPr>
          <w:rFonts w:ascii="Times New Roman" w:cs="Times New Roman" w:eastAsia="Times New Roman" w:hAnsi="Times New Roman"/>
          <w:b w:val="false"/>
          <w:bCs w:val="false"/>
          <w:i w:val="false"/>
          <w:iCs w:val="false"/>
          <w:sz w:val="21"/>
          <w:szCs w:val="21"/>
        </w:rPr>
        <w:t xml:space="preserve">Volume menurut Rencana Anggaran Biaya yang dapat digunakan sebagai tolok ukur pengujian:</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Item 5: plafon gypsum 108 meter persegi, plafon kalsiboard 22 meter persegi, drop ceiling dan up-stand ornamen 32 meter lari, list profil gypsum 96 meter lari;</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Item 7: 48 titik lampu, 36 titik stop kontak dan saklar, 22 unit spotlight LED track, 12 unit lampu dekoratif gantung, 18 unit downlight LED, 8 unit lampu area luar;</w:t>
      </w:r>
    </w:p>
    <w:p>
      <w:pPr>
        <w:pStyle w:val="ListParagraph"/>
        <w:numPr>
          <w:ilvl w:val="0"/>
          <w:numId w:val="3"/>
        </w:numPr>
        <w:spacing w:after="60" w:before="40" w:line="280"/>
        <w:jc w:val="both"/>
      </w:pPr>
      <w:r>
        <w:rPr>
          <w:rFonts w:ascii="Times New Roman" w:cs="Times New Roman" w:eastAsia="Times New Roman" w:hAnsi="Times New Roman"/>
          <w:b w:val="false"/>
          <w:bCs w:val="false"/>
          <w:i w:val="false"/>
          <w:iCs w:val="false"/>
          <w:sz w:val="21"/>
          <w:szCs w:val="21"/>
        </w:rPr>
        <w:t xml:space="preserve">Item 11: panel fasad 24 meter persegi, kanopi 14 meter persegi, pagar pembatas 8 meter lari.</w:t>
      </w:r>
    </w:p>
    <w:p>
      <w:pPr>
        <w:spacing w:after="100" w:before="100" w:line="280"/>
        <w:jc w:val="both"/>
      </w:pPr>
      <w:r>
        <w:rPr>
          <w:rFonts w:ascii="Times New Roman" w:cs="Times New Roman" w:eastAsia="Times New Roman" w:hAnsi="Times New Roman"/>
          <w:b w:val="false"/>
          <w:bCs w:val="false"/>
          <w:i w:val="false"/>
          <w:iCs w:val="false"/>
          <w:sz w:val="21"/>
          <w:szCs w:val="21"/>
        </w:rPr>
        <w:t xml:space="preserve">Sampai dengan selesainya pemeriksaan ini, Ahli tidak menemukan berita acara perubahan pekerjaan, addendum, gambar perubahan yang ditandatangani kedua pihak, maupun perhitungan volume tambahan yang menunjukkan selisih di atas volume tersebut.</w:t>
      </w:r>
    </w:p>
    <w:p>
      <w:pPr>
        <w:spacing w:after="100" w:before="220" w:line="280"/>
        <w:jc w:val="left"/>
      </w:pPr>
      <w:r>
        <w:rPr>
          <w:rFonts w:ascii="Times New Roman" w:cs="Times New Roman" w:eastAsia="Times New Roman" w:hAnsi="Times New Roman"/>
          <w:b/>
          <w:bCs/>
          <w:i w:val="false"/>
          <w:iCs w:val="false"/>
          <w:sz w:val="21"/>
          <w:szCs w:val="21"/>
        </w:rPr>
        <w:t xml:space="preserve">H. Taksiran biaya penyelesaian sisa pekerjaan</w:t>
      </w:r>
    </w:p>
    <w:p>
      <w:pPr>
        <w:spacing w:after="100" w:before="0" w:line="280"/>
        <w:jc w:val="both"/>
      </w:pPr>
      <w:r>
        <w:rPr>
          <w:rFonts w:ascii="Times New Roman" w:cs="Times New Roman" w:eastAsia="Times New Roman" w:hAnsi="Times New Roman"/>
          <w:b w:val="false"/>
          <w:bCs w:val="false"/>
          <w:i w:val="false"/>
          <w:iCs w:val="false"/>
          <w:sz w:val="21"/>
          <w:szCs w:val="21"/>
        </w:rPr>
        <w:t xml:space="preserve">Taksiran disusun atas dasar keadaan pekerjaan pada tanggal 25 Juni 2026, yaitu keadaan pada saat pelaksana pekerjaan meninggalkan lokasi.</w:t>
      </w:r>
    </w:p>
    <w:tbl>
      <w:tblPr>
        <w:tblW w:type="dxa" w:w="9354"/>
        <w:tblBorders>
          <w:top w:val="single" w:color="auto" w:sz="4"/>
          <w:left w:val="single" w:color="auto" w:sz="4"/>
          <w:bottom w:val="single" w:color="auto" w:sz="4"/>
          <w:right w:val="single" w:color="auto" w:sz="4"/>
          <w:insideH w:val="single" w:color="auto" w:sz="4"/>
          <w:insideV w:val="single" w:color="auto" w:sz="4"/>
        </w:tblBorders>
      </w:tblPr>
      <w:tblGrid>
        <w:gridCol w:w="6354"/>
        <w:gridCol w:w="3000"/>
      </w:tblGrid>
      <w:tr>
        <w:tc>
          <w:tcPr>
            <w:tcW w:type="dxa" w:w="63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Nilai sisa pekerjaan: 33,84% x Rp765.765.766</w:t>
            </w:r>
          </w:p>
        </w:tc>
        <w:tc>
          <w:tcPr>
            <w:tcW w:type="dxa" w:w="30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Rp259.135.135</w:t>
            </w:r>
          </w:p>
        </w:tc>
      </w:tr>
      <w:tr>
        <w:tc>
          <w:tcPr>
            <w:tcW w:type="dxa" w:w="63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Biaya pembongkaran keramik, pengangkutan puing, dan perbaikan lapisan dasar</w:t>
            </w:r>
          </w:p>
        </w:tc>
        <w:tc>
          <w:tcPr>
            <w:tcW w:type="dxa" w:w="30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Rp10.000.000</w:t>
            </w:r>
          </w:p>
        </w:tc>
      </w:tr>
      <w:tr>
        <w:tc>
          <w:tcPr>
            <w:tcW w:type="dxa" w:w="6354"/>
            <w:shd w:fill="E8E8E8" w:color="auto" w:val="clear"/>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Subtotal</w:t>
            </w:r>
          </w:p>
        </w:tc>
        <w:tc>
          <w:tcPr>
            <w:tcW w:type="dxa" w:w="3000"/>
            <w:shd w:fill="E8E8E8"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Rp269.135.135</w:t>
            </w:r>
          </w:p>
        </w:tc>
      </w:tr>
      <w:tr>
        <w:tc>
          <w:tcPr>
            <w:tcW w:type="dxa" w:w="63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Eskalasi harga dan biaya mobilisasi pelaksana pengganti, 12%</w:t>
            </w:r>
          </w:p>
        </w:tc>
        <w:tc>
          <w:tcPr>
            <w:tcW w:type="dxa" w:w="30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Rp32.296.216</w:t>
            </w:r>
          </w:p>
        </w:tc>
      </w:tr>
      <w:tr>
        <w:tc>
          <w:tcPr>
            <w:tcW w:type="dxa" w:w="6354"/>
            <w:shd w:fill="E8E8E8" w:color="auto" w:val="clear"/>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Jumlah (DPP)</w:t>
            </w:r>
          </w:p>
        </w:tc>
        <w:tc>
          <w:tcPr>
            <w:tcW w:type="dxa" w:w="3000"/>
            <w:shd w:fill="E8E8E8"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Rp301.431.351</w:t>
            </w:r>
          </w:p>
        </w:tc>
      </w:tr>
      <w:tr>
        <w:tc>
          <w:tcPr>
            <w:tcW w:type="dxa" w:w="63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Pajak Pertambahan Nilai 11%</w:t>
            </w:r>
          </w:p>
        </w:tc>
        <w:tc>
          <w:tcPr>
            <w:tcW w:type="dxa" w:w="30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Rp33.157.449</w:t>
            </w:r>
          </w:p>
        </w:tc>
      </w:tr>
      <w:tr>
        <w:tc>
          <w:tcPr>
            <w:tcW w:type="dxa" w:w="6354"/>
            <w:shd w:fill="D9D9D9" w:color="auto" w:val="clear"/>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TAKSIRAN BIAYA PENYELESAIAN SISA PEKERJAAN</w:t>
            </w:r>
          </w:p>
        </w:tc>
        <w:tc>
          <w:tcPr>
            <w:tcW w:type="dxa" w:w="3000"/>
            <w:shd w:fill="D9D9D9"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Rp334.588.800</w:t>
            </w:r>
          </w:p>
        </w:tc>
      </w:tr>
      <w:tr>
        <w:tc>
          <w:tcPr>
            <w:tcW w:type="dxa" w:w="6354"/>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Dana kontrak yang belum dibayarkan (Termin IV)</w:t>
            </w:r>
          </w:p>
        </w:tc>
        <w:tc>
          <w:tcPr>
            <w:tcW w:type="dxa" w:w="3000"/>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val="false"/>
                <w:bCs w:val="false"/>
                <w:i w:val="false"/>
                <w:iCs w:val="false"/>
                <w:sz w:val="21"/>
                <w:szCs w:val="21"/>
              </w:rPr>
              <w:t xml:space="preserve">Rp250.000.000</w:t>
            </w:r>
          </w:p>
        </w:tc>
      </w:tr>
      <w:tr>
        <w:tc>
          <w:tcPr>
            <w:tcW w:type="dxa" w:w="6354"/>
            <w:shd w:fill="D9D9D9" w:color="auto" w:val="clear"/>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bCs/>
                <w:i w:val="false"/>
                <w:iCs w:val="false"/>
                <w:sz w:val="21"/>
                <w:szCs w:val="21"/>
              </w:rPr>
              <w:t xml:space="preserve">KEKURANGAN DANA</w:t>
            </w:r>
          </w:p>
        </w:tc>
        <w:tc>
          <w:tcPr>
            <w:tcW w:type="dxa" w:w="3000"/>
            <w:shd w:fill="D9D9D9" w:color="auto" w:val="clear"/>
            <w:tcMar>
              <w:top w:type="dxa" w:w="40"/>
              <w:left w:type="dxa" w:w="90"/>
              <w:bottom w:type="dxa" w:w="40"/>
              <w:right w:type="dxa" w:w="90"/>
            </w:tcMar>
            <w:vAlign w:val="center"/>
          </w:tcPr>
          <w:p>
            <w:pPr>
              <w:spacing w:after="20" w:before="20" w:line="250"/>
              <w:jc w:val="right"/>
            </w:pPr>
            <w:r>
              <w:rPr>
                <w:rFonts w:ascii="Times New Roman" w:cs="Times New Roman" w:eastAsia="Times New Roman" w:hAnsi="Times New Roman"/>
                <w:b/>
                <w:bCs/>
                <w:i w:val="false"/>
                <w:iCs w:val="false"/>
                <w:sz w:val="21"/>
                <w:szCs w:val="21"/>
              </w:rPr>
              <w:t xml:space="preserve">Rp84.588.800</w:t>
            </w:r>
          </w:p>
        </w:tc>
      </w:tr>
    </w:tbl>
    <w:p>
      <w:pPr>
        <w:spacing w:after="100" w:before="120" w:line="280"/>
        <w:jc w:val="both"/>
      </w:pPr>
      <w:r>
        <w:rPr>
          <w:rFonts w:ascii="Times New Roman" w:cs="Times New Roman" w:eastAsia="Times New Roman" w:hAnsi="Times New Roman"/>
          <w:b w:val="false"/>
          <w:bCs w:val="false"/>
          <w:i w:val="false"/>
          <w:iCs w:val="false"/>
          <w:sz w:val="21"/>
          <w:szCs w:val="21"/>
        </w:rPr>
        <w:t xml:space="preserve">Eskalasi sebesar 12% diperhitungkan karena pelaksana pengganti harus melakukan mobilisasi baru, memeriksa serta menanggung risiko atas mutu pekerjaan yang tidak ia kerjakan sendiri, dan menanggung kenaikan harga bahan serta upah dibandingkan harga pada Januari 2026. Dalam pengambilalihan pekerjaan yang terhenti, tambahan biaya pada kisaran 10% sampai 15% merupakan kisaran yang lazim, dan Ahli mengambil angka pada bagian bawah kisaran tersebut.</w:t>
      </w:r>
    </w:p>
    <w:p>
      <w:pPr>
        <w:spacing w:after="140" w:before="320" w:line="280"/>
        <w:jc w:val="left"/>
      </w:pPr>
      <w:r>
        <w:rPr>
          <w:rFonts w:ascii="Times New Roman" w:cs="Times New Roman" w:eastAsia="Times New Roman" w:hAnsi="Times New Roman"/>
          <w:b/>
          <w:bCs/>
          <w:i w:val="false"/>
          <w:iCs w:val="false"/>
          <w:sz w:val="24"/>
          <w:szCs w:val="24"/>
        </w:rPr>
        <w:t xml:space="preserve">VII. KESIMPULAN</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Metode pengukuran progres yang lazim dan dapat diuji adalah metode bobot pekerjaan berdasarkan Rencana Anggaran Biaya, bukan metode persentase datar terhadap nilai kontrak.</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Realisasi progres pekerjaan pada tanggal 1 Mei 2026 adalah 64,70% menurut metode utama, atau 65,99% menurut metode alternatif, dengan nilai pekerjaan terpasang Rp549.950.000. Realisasi pada tanggal 25 Juni 2026 adalah 66,16% dengan nilai pekerjaan terpasang Rp562.360.000.</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Angka progres 85% tidak dapat dicapai dengan metode bobot, kecuali dengan memperhitungkan pekerjaan keramik yang tidak sesuai spesifikasi sebagai prestasi yang sah. Batas maksimum realisasi yang secara teknis mungkin dicapai dengan mengeluarkan Item 4 dan Item 13 adalah 85,50%.</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Keramik yang terpasang tidak sesuai dengan spesifikasi teknis yang diperjanjikan. Ketidaksesuaian warna keramik tidak dapat diperbaiki selain dengan pembongkaran seluruhnya. Taksiran biaya pembongkaran dan pemasangan ulang adalah Rp38.925.000, dan di dalamnya Rp10.000.000 merupakan biaya yang tidak akan timbul apabila keramik dipasang sesuai spesifikasi sejak semula.</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Keempat komponen pekerjaan yang ditagih sebesar Rp85.000.000,00 berada di dalam lingkup Rencana Anggaran Biaya, dengan nilai yang telah dianggarkan seluruhnya Rp151.500.000. Ahli tidak menemukan dokumen yang menunjukkan selisih volume atau spesifikasi di atas yang telah dianggarkan.</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Taksiran biaya penyelesaian sisa pekerjaan adalah Rp334.588.800, sedangkan dana kontrak yang belum dibayarkan adalah Rp250.000.000, sehingga terdapat kekurangan dana sebesar Rp84.588.800.</w:t>
      </w:r>
    </w:p>
    <w:p>
      <w:pPr>
        <w:spacing w:after="140" w:before="320" w:line="280"/>
        <w:jc w:val="left"/>
      </w:pPr>
      <w:r>
        <w:rPr>
          <w:rFonts w:ascii="Times New Roman" w:cs="Times New Roman" w:eastAsia="Times New Roman" w:hAnsi="Times New Roman"/>
          <w:b/>
          <w:bCs/>
          <w:i w:val="false"/>
          <w:iCs w:val="false"/>
          <w:sz w:val="24"/>
          <w:szCs w:val="24"/>
        </w:rPr>
        <w:t xml:space="preserve">VIII. KETERBATASAN DAN PERNYATAAN AHLI</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Ahli tidak berada di lokasi pekerjaan pada tanggal 1 Mei 2026 maupun pada tanggal 25 Juni 2026. Penilaian atas kedua tanggal tersebut merupakan rekonstruksi yang disusun dari dokumentasi foto bertanggal, dokumen progres dan pembayaran, serta keadaan terpasang yang Ahli periksa di lapangan. Rekonstruksi demikian merupakan metode yang lazim dalam penilaian pekerjaan konstruksi apabila penilai tidak hadir pada tanggal yang dipersoalkan. Ahli menyampaikan keterbatasan ini secara terbuka untuk dipertimbangkan Majelis Hakim.</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Harga satuan untuk pos pembongkaran keramik dan pos eskalasi tidak terdapat dalam Rencana Anggaran Biaya, sehingga Ahli menggunakan harga pasar yang lazim. Kedua pos tersebut telah Ahli tandai secara terpisah dalam laporan ini.</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Laporan ini terbatas pada hal-hal teknis dan penaksiran nilai pekerjaan. Ahli tidak memberikan pendapat mengenai ada atau tidaknya wanprestasi, ada atau tidaknya keadaan memaksa, siapa pihak yang bertanggung jawab secara hukum, maupun besarnya ganti kerugian yang patut. Hal-hal tersebut merupakan kewenangan Majelis Hakim.</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Ahli tidak mempunyai hubungan keluarga, hubungan pekerjaan, maupun kepentingan keuangan dengan Penggugat maupun Tergugat, selain honorarium sebagai ahli yang besarnya tidak bergantung pada hasil putusan.</w:t>
      </w:r>
    </w:p>
    <w:p>
      <w:pPr>
        <w:pStyle w:val="ListParagraph"/>
        <w:numPr>
          <w:ilvl w:val="0"/>
          <w:numId w:val="2"/>
        </w:numPr>
        <w:spacing w:after="60" w:before="40" w:line="280"/>
        <w:jc w:val="both"/>
      </w:pPr>
      <w:r>
        <w:rPr>
          <w:rFonts w:ascii="Times New Roman" w:cs="Times New Roman" w:eastAsia="Times New Roman" w:hAnsi="Times New Roman"/>
          <w:b w:val="false"/>
          <w:bCs w:val="false"/>
          <w:i w:val="false"/>
          <w:iCs w:val="false"/>
          <w:sz w:val="21"/>
          <w:szCs w:val="21"/>
        </w:rPr>
        <w:t xml:space="preserve">Laporan ini disusun dengan kejujuran dan menurut pengetahuan Ahli sebaik-baiknya, dan Ahli bersedia mempertanggungjawabkannya di bawah sumpah di muka persidangan.</w:t>
      </w:r>
    </w:p>
    <w:p>
      <w:pPr>
        <w:spacing w:after="200" w:before="400" w:line="280"/>
        <w:jc w:val="right"/>
      </w:pPr>
      <w:r>
        <w:rPr>
          <w:rFonts w:ascii="Times New Roman" w:cs="Times New Roman" w:eastAsia="Times New Roman" w:hAnsi="Times New Roman"/>
          <w:b w:val="false"/>
          <w:bCs w:val="false"/>
          <w:i w:val="false"/>
          <w:iCs w:val="false"/>
          <w:sz w:val="21"/>
          <w:szCs w:val="21"/>
        </w:rPr>
        <w:t xml:space="preserve">Surakarta, .............................. 2026</w:t>
      </w:r>
    </w:p>
    <w:tbl>
      <w:tblPr>
        <w:tblW w:type="dxa" w:w="9354"/>
        <w:tblBorders>
          <w:top w:val="none" w:color="FFFFFF" w:sz="0"/>
          <w:left w:val="none" w:color="FFFFFF" w:sz="0"/>
          <w:bottom w:val="none" w:color="FFFFFF" w:sz="0"/>
          <w:right w:val="none" w:color="FFFFFF" w:sz="0"/>
          <w:insideH w:val="single" w:color="auto" w:sz="4"/>
          <w:insideV w:val="single" w:color="auto" w:sz="4"/>
        </w:tblBorders>
      </w:tblPr>
      <w:tblGrid>
        <w:gridCol w:w="4677"/>
        <w:gridCol w:w="4677"/>
      </w:tblGrid>
      <w:tr>
        <w:tc>
          <w:tcPr>
            <w:tcW w:type="dxa" w:w="4677"/>
            <w:tcMar>
              <w:top w:type="dxa" w:w="40"/>
              <w:left w:type="dxa" w:w="90"/>
              <w:bottom w:type="dxa" w:w="40"/>
              <w:right w:type="dxa" w:w="90"/>
            </w:tcMar>
            <w:vAlign w:val="center"/>
          </w:tcPr>
          <w:p>
            <w:pPr>
              <w:spacing w:after="20" w:before="20" w:line="250"/>
              <w:jc w:val="left"/>
            </w:pPr>
            <w:r>
              <w:rPr>
                <w:rFonts w:ascii="Times New Roman" w:cs="Times New Roman" w:eastAsia="Times New Roman" w:hAnsi="Times New Roman"/>
                <w:b w:val="false"/>
                <w:bCs w:val="false"/>
                <w:i w:val="false"/>
                <w:iCs w:val="false"/>
                <w:sz w:val="21"/>
                <w:szCs w:val="21"/>
              </w:rPr>
              <w:t xml:space="preserve"/>
            </w:r>
          </w:p>
        </w:tc>
        <w:tc>
          <w:tcPr>
            <w:tcW w:type="dxa" w:w="4677"/>
            <w:tcMar>
              <w:top w:type="dxa" w:w="40"/>
              <w:left w:type="dxa" w:w="90"/>
              <w:bottom w:type="dxa" w:w="40"/>
              <w:right w:type="dxa" w:w="90"/>
            </w:tcMar>
            <w:vAlign w:val="center"/>
          </w:tcPr>
          <w:p>
            <w:pPr>
              <w:spacing w:after="20" w:before="20" w:line="250"/>
              <w:jc w:val="center"/>
            </w:pPr>
            <w:r>
              <w:rPr>
                <w:rFonts w:ascii="Times New Roman" w:cs="Times New Roman" w:eastAsia="Times New Roman" w:hAnsi="Times New Roman"/>
                <w:b w:val="false"/>
                <w:bCs w:val="false"/>
                <w:i w:val="false"/>
                <w:iCs w:val="false"/>
                <w:sz w:val="21"/>
                <w:szCs w:val="21"/>
              </w:rPr>
              <w:t xml:space="preserve">Ahli,</w:t>
            </w:r>
          </w:p>
          <w:p>
            <w:pPr>
              <w:spacing w:after="20" w:before="20" w:line="250"/>
              <w:jc w:val="center"/>
            </w:pPr>
            <w:r>
              <w:rPr>
                <w:rFonts w:ascii="Times New Roman" w:cs="Times New Roman" w:eastAsia="Times New Roman" w:hAnsi="Times New Roman"/>
                <w:b w:val="false"/>
                <w:bCs w:val="false"/>
                <w:i w:val="false"/>
                <w:iCs w:val="false"/>
                <w:sz w:val="21"/>
                <w:szCs w:val="21"/>
              </w:rPr>
              <w:t xml:space="preserve"/>
            </w:r>
          </w:p>
          <w:p>
            <w:pPr>
              <w:spacing w:after="20" w:before="20" w:line="250"/>
              <w:jc w:val="center"/>
            </w:pPr>
            <w:r>
              <w:rPr>
                <w:rFonts w:ascii="Times New Roman" w:cs="Times New Roman" w:eastAsia="Times New Roman" w:hAnsi="Times New Roman"/>
                <w:b w:val="false"/>
                <w:bCs w:val="false"/>
                <w:i w:val="false"/>
                <w:iCs w:val="false"/>
                <w:sz w:val="21"/>
                <w:szCs w:val="21"/>
              </w:rPr>
              <w:t xml:space="preserve"/>
            </w:r>
          </w:p>
          <w:p>
            <w:pPr>
              <w:spacing w:after="20" w:before="20" w:line="250"/>
              <w:jc w:val="center"/>
            </w:pPr>
            <w:r>
              <w:rPr>
                <w:rFonts w:ascii="Times New Roman" w:cs="Times New Roman" w:eastAsia="Times New Roman" w:hAnsi="Times New Roman"/>
                <w:b w:val="false"/>
                <w:bCs w:val="false"/>
                <w:i w:val="false"/>
                <w:iCs w:val="false"/>
                <w:sz w:val="21"/>
                <w:szCs w:val="21"/>
              </w:rPr>
              <w:t xml:space="preserve"/>
            </w:r>
          </w:p>
          <w:p>
            <w:pPr>
              <w:spacing w:after="20" w:before="20" w:line="250"/>
              <w:jc w:val="center"/>
            </w:pPr>
            <w:r>
              <w:rPr>
                <w:rFonts w:ascii="Times New Roman" w:cs="Times New Roman" w:eastAsia="Times New Roman" w:hAnsi="Times New Roman"/>
                <w:b w:val="false"/>
                <w:bCs w:val="false"/>
                <w:i w:val="false"/>
                <w:iCs w:val="false"/>
                <w:sz w:val="21"/>
                <w:szCs w:val="21"/>
              </w:rPr>
              <w:t xml:space="preserve"/>
            </w:r>
          </w:p>
          <w:p>
            <w:pPr>
              <w:spacing w:after="20" w:before="20" w:line="250"/>
              <w:jc w:val="center"/>
            </w:pPr>
            <w:r>
              <w:rPr>
                <w:rFonts w:ascii="Times New Roman" w:cs="Times New Roman" w:eastAsia="Times New Roman" w:hAnsi="Times New Roman"/>
                <w:b w:val="false"/>
                <w:bCs w:val="false"/>
                <w:i w:val="false"/>
                <w:iCs w:val="false"/>
                <w:sz w:val="21"/>
                <w:szCs w:val="21"/>
              </w:rPr>
              <w:t xml:space="preserve">Fauzi, S.T., M.T.</w:t>
            </w:r>
          </w:p>
          <w:p>
            <w:pPr>
              <w:spacing w:after="20" w:before="20" w:line="250"/>
              <w:jc w:val="center"/>
            </w:pPr>
            <w:r>
              <w:rPr>
                <w:rFonts w:ascii="Times New Roman" w:cs="Times New Roman" w:eastAsia="Times New Roman" w:hAnsi="Times New Roman"/>
                <w:b w:val="false"/>
                <w:bCs w:val="false"/>
                <w:i w:val="false"/>
                <w:iCs w:val="false"/>
                <w:sz w:val="21"/>
                <w:szCs w:val="21"/>
              </w:rPr>
              <w:t xml:space="preserve">SKK Konstruksi Ahli Manajemen Konstruksi Jenjang 8</w:t>
            </w:r>
          </w:p>
        </w:tc>
      </w:tr>
    </w:tbl>
    <w:sectPr>
      <w:pgSz w:w="11906" w:h="16838" w:orient="portrait"/>
      <w:pgMar w:top="1134" w:right="1134"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60" w:hanging="340"/>
      </w:pPr>
    </w:lvl>
  </w:abstractNum>
  <w:abstractNum w:abstractNumId="3" w15:restartNumberingAfterBreak="0">
    <w:multiLevelType w:val="hybridMultilevel"/>
    <w:lvl w:ilvl="0" w:tentative="1">
      <w:start w:val="1"/>
      <w:numFmt w:val="lowerLetter"/>
      <w:lvlText w:val="%1."/>
      <w:lvlJc w:val="left"/>
      <w:pPr>
        <w:ind w:left="46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Pemeriksaan dan Pendapat Ahli</dc:title>
  <dc:creator>Praktik Peradilan Perdata</dc:creator>
  <cp:lastModifiedBy>Un-named</cp:lastModifiedBy>
  <cp:revision>1</cp:revision>
  <dcterms:created xsi:type="dcterms:W3CDTF">2026-09-28T10:18:07.578Z</dcterms:created>
  <dcterms:modified xsi:type="dcterms:W3CDTF">2026-09-28T10:18:07.589Z</dcterms:modified>
</cp:coreProperties>
</file>

<file path=docProps/custom.xml><?xml version="1.0" encoding="utf-8"?>
<Properties xmlns="http://schemas.openxmlformats.org/officeDocument/2006/custom-properties" xmlns:vt="http://schemas.openxmlformats.org/officeDocument/2006/docPropsVTypes"/>
</file>