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280"/>
        <w:jc w:val="right"/>
      </w:pPr>
      <w:r>
        <w:rPr>
          <w:rFonts w:ascii="Times New Roman" w:cs="Times New Roman" w:eastAsia="Times New Roman" w:hAnsi="Times New Roman"/>
          <w:b w:val="false"/>
          <w:bCs w:val="false"/>
          <w:i w:val="false"/>
          <w:iCs w:val="false"/>
          <w:sz w:val="24"/>
          <w:szCs w:val="24"/>
        </w:rPr>
        <w:t xml:space="preserve">Surakarta, 15 September 2026</w:t>
      </w:r>
    </w:p>
    <w:p>
      <w:pPr>
        <w:spacing w:after="0" w:before="0" w:line="280"/>
        <w:jc w:val="left"/>
      </w:pPr>
      <w:r>
        <w:rPr>
          <w:rFonts w:ascii="Times New Roman" w:cs="Times New Roman" w:eastAsia="Times New Roman" w:hAnsi="Times New Roman"/>
          <w:b w:val="false"/>
          <w:bCs w:val="false"/>
          <w:i w:val="false"/>
          <w:iCs w:val="false"/>
          <w:sz w:val="24"/>
          <w:szCs w:val="24"/>
        </w:rPr>
        <w:t xml:space="preserve">Kepada Yth.</w:t>
      </w:r>
    </w:p>
    <w:p>
      <w:pPr>
        <w:spacing w:after="0" w:before="0" w:line="280"/>
        <w:jc w:val="left"/>
      </w:pPr>
      <w:r>
        <w:rPr>
          <w:rFonts w:ascii="Times New Roman" w:cs="Times New Roman" w:eastAsia="Times New Roman" w:hAnsi="Times New Roman"/>
          <w:b w:val="false"/>
          <w:bCs w:val="false"/>
          <w:i w:val="false"/>
          <w:iCs w:val="false"/>
          <w:sz w:val="24"/>
          <w:szCs w:val="24"/>
        </w:rPr>
        <w:t xml:space="preserve">Ketua Pengadilan Negeri Surakarta</w:t>
      </w:r>
    </w:p>
    <w:p>
      <w:pPr>
        <w:spacing w:after="0" w:before="0" w:line="280"/>
        <w:jc w:val="left"/>
      </w:pPr>
      <w:r>
        <w:rPr>
          <w:rFonts w:ascii="Times New Roman" w:cs="Times New Roman" w:eastAsia="Times New Roman" w:hAnsi="Times New Roman"/>
          <w:b w:val="false"/>
          <w:bCs w:val="false"/>
          <w:i w:val="false"/>
          <w:iCs w:val="false"/>
          <w:sz w:val="24"/>
          <w:szCs w:val="24"/>
        </w:rPr>
        <w:t xml:space="preserve">Di-</w:t>
      </w:r>
    </w:p>
    <w:p>
      <w:pPr>
        <w:spacing w:after="240" w:before="0" w:line="280"/>
        <w:jc w:val="left"/>
      </w:pPr>
      <w:r>
        <w:rPr>
          <w:rFonts w:ascii="Times New Roman" w:cs="Times New Roman" w:eastAsia="Times New Roman" w:hAnsi="Times New Roman"/>
          <w:b/>
          <w:bCs/>
          <w:i w:val="false"/>
          <w:iCs w:val="false"/>
          <w:sz w:val="24"/>
          <w:szCs w:val="24"/>
        </w:rPr>
        <w:t xml:space="preserve">SURAKARTA</w:t>
      </w:r>
    </w:p>
    <w:p>
      <w:pPr>
        <w:spacing w:after="240" w:before="0" w:line="280"/>
        <w:jc w:val="left"/>
      </w:pPr>
      <w:r>
        <w:rPr>
          <w:rFonts w:ascii="Times New Roman" w:cs="Times New Roman" w:eastAsia="Times New Roman" w:hAnsi="Times New Roman"/>
          <w:b w:val="false"/>
          <w:bCs w:val="false"/>
          <w:i w:val="false"/>
          <w:iCs w:val="false"/>
          <w:sz w:val="24"/>
          <w:szCs w:val="24"/>
        </w:rPr>
        <w:t xml:space="preserve">Perihal: </w:t>
      </w:r>
      <w:r>
        <w:rPr>
          <w:rFonts w:ascii="Times New Roman" w:cs="Times New Roman" w:eastAsia="Times New Roman" w:hAnsi="Times New Roman"/>
          <w:b/>
          <w:bCs/>
          <w:i w:val="false"/>
          <w:iCs w:val="false"/>
          <w:sz w:val="24"/>
          <w:szCs w:val="24"/>
        </w:rPr>
        <w:t xml:space="preserve">Gugatan Wanprestasi</w:t>
      </w:r>
    </w:p>
    <w:p>
      <w:pPr>
        <w:spacing w:after="120" w:before="0" w:line="280"/>
        <w:jc w:val="left"/>
      </w:pPr>
      <w:r>
        <w:rPr>
          <w:rFonts w:ascii="Times New Roman" w:cs="Times New Roman" w:eastAsia="Times New Roman" w:hAnsi="Times New Roman"/>
          <w:b w:val="false"/>
          <w:bCs w:val="false"/>
          <w:i w:val="false"/>
          <w:iCs w:val="false"/>
          <w:sz w:val="24"/>
          <w:szCs w:val="24"/>
        </w:rPr>
        <w:t xml:space="preserve">Assalamu’alaikum warrahmatullahi wabarakatuh,</w:t>
      </w:r>
    </w:p>
    <w:p>
      <w:pPr>
        <w:spacing w:after="120" w:before="0" w:line="280"/>
        <w:jc w:val="left"/>
      </w:pPr>
      <w:r>
        <w:rPr>
          <w:rFonts w:ascii="Times New Roman" w:cs="Times New Roman" w:eastAsia="Times New Roman" w:hAnsi="Times New Roman"/>
          <w:b w:val="false"/>
          <w:bCs w:val="false"/>
          <w:i w:val="false"/>
          <w:iCs w:val="false"/>
          <w:sz w:val="24"/>
          <w:szCs w:val="24"/>
        </w:rPr>
        <w:t xml:space="preserve">Dengan Hormat,</w:t>
      </w:r>
    </w:p>
    <w:p>
      <w:pPr>
        <w:spacing w:after="120" w:before="0" w:line="280"/>
        <w:jc w:val="left"/>
      </w:pPr>
      <w:r>
        <w:rPr>
          <w:rFonts w:ascii="Times New Roman" w:cs="Times New Roman" w:eastAsia="Times New Roman" w:hAnsi="Times New Roman"/>
          <w:b w:val="false"/>
          <w:bCs w:val="false"/>
          <w:i w:val="false"/>
          <w:iCs w:val="false"/>
          <w:sz w:val="24"/>
          <w:szCs w:val="24"/>
        </w:rPr>
        <w:t xml:space="preserve">Kami yang bertanda tangan di bawah ini:</w:t>
      </w:r>
    </w:p>
    <w:p>
      <w:pPr>
        <w:spacing w:after="0" w:before="0" w:line="280"/>
        <w:jc w:val="left"/>
      </w:pPr>
      <w:r>
        <w:rPr>
          <w:rFonts w:ascii="Times New Roman" w:cs="Times New Roman" w:eastAsia="Times New Roman" w:hAnsi="Times New Roman"/>
          <w:b/>
          <w:bCs/>
          <w:i w:val="false"/>
          <w:iCs w:val="false"/>
          <w:sz w:val="24"/>
          <w:szCs w:val="24"/>
        </w:rPr>
        <w:t xml:space="preserve">BRIAN ERLANGGA, S.H., M.H.</w:t>
      </w:r>
    </w:p>
    <w:p>
      <w:pPr>
        <w:spacing w:after="120" w:before="0" w:line="280"/>
        <w:jc w:val="left"/>
      </w:pPr>
      <w:r>
        <w:rPr>
          <w:rFonts w:ascii="Times New Roman" w:cs="Times New Roman" w:eastAsia="Times New Roman" w:hAnsi="Times New Roman"/>
          <w:b/>
          <w:bCs/>
          <w:i w:val="false"/>
          <w:iCs w:val="false"/>
          <w:sz w:val="24"/>
          <w:szCs w:val="24"/>
        </w:rPr>
        <w:t xml:space="preserve">MOHAMMAD NAUFAL FARELLI, S.H., M.H.</w:t>
      </w:r>
    </w:p>
    <w:p>
      <w:pPr>
        <w:spacing w:after="0" w:before="0" w:line="280"/>
        <w:jc w:val="left"/>
      </w:pPr>
      <w:r>
        <w:rPr>
          <w:rFonts w:ascii="Times New Roman" w:cs="Times New Roman" w:eastAsia="Times New Roman" w:hAnsi="Times New Roman"/>
          <w:b w:val="false"/>
          <w:bCs w:val="false"/>
          <w:i w:val="false"/>
          <w:iCs w:val="false"/>
          <w:sz w:val="24"/>
          <w:szCs w:val="24"/>
        </w:rPr>
        <w:t xml:space="preserve">Advokat dan Penasihat Hukum pada:</w:t>
      </w:r>
    </w:p>
    <w:p>
      <w:pPr>
        <w:spacing w:after="0" w:before="0" w:line="280"/>
        <w:jc w:val="left"/>
      </w:pPr>
      <w:r>
        <w:rPr>
          <w:rFonts w:ascii="Times New Roman" w:cs="Times New Roman" w:eastAsia="Times New Roman" w:hAnsi="Times New Roman"/>
          <w:b/>
          <w:bCs/>
          <w:i w:val="false"/>
          <w:iCs w:val="false"/>
          <w:sz w:val="24"/>
          <w:szCs w:val="24"/>
        </w:rPr>
        <w:t xml:space="preserve">NAWASENA LAW FIRM</w:t>
      </w:r>
    </w:p>
    <w:p>
      <w:pPr>
        <w:spacing w:after="120" w:before="0" w:line="280"/>
        <w:jc w:val="left"/>
      </w:pPr>
      <w:r>
        <w:rPr>
          <w:rFonts w:ascii="Times New Roman" w:cs="Times New Roman" w:eastAsia="Times New Roman" w:hAnsi="Times New Roman"/>
          <w:b w:val="false"/>
          <w:bCs w:val="false"/>
          <w:i w:val="false"/>
          <w:iCs w:val="false"/>
          <w:sz w:val="24"/>
          <w:szCs w:val="24"/>
        </w:rPr>
        <w:t xml:space="preserve">Berkantor di Jalan Slamet Riyadi Nomor 280, Kelurahan Sriwedari, Kecamatan Laweyan 57141, Kota Surakarta, Provinsi Jawa Tengah;</w:t>
      </w:r>
    </w:p>
    <w:p>
      <w:pPr>
        <w:spacing w:after="160" w:before="0" w:line="280"/>
        <w:jc w:val="left"/>
      </w:pPr>
      <w:r>
        <w:rPr>
          <w:rFonts w:ascii="Times New Roman" w:cs="Times New Roman" w:eastAsia="Times New Roman" w:hAnsi="Times New Roman"/>
          <w:b w:val="false"/>
          <w:bCs w:val="false"/>
          <w:i w:val="false"/>
          <w:iCs w:val="false"/>
          <w:sz w:val="24"/>
          <w:szCs w:val="24"/>
        </w:rPr>
        <w:t xml:space="preserve">Bertindak baik sendiri-sendiri maupun bersama-sama, berdasarkan Surat Kuasa Khusus bermeterai Nomor 45/SKK/RMR/IX/2026 tertanggal 8 September 2026, bertindak untuk dan atas nama:</w:t>
      </w:r>
    </w:p>
    <w:tbl>
      <w:tblPr>
        <w:tblW w:type="dxa" w:w="9354"/>
        <w:tblBorders>
          <w:top w:val="none" w:color="FFFFFF" w:sz="0"/>
          <w:left w:val="none" w:color="FFFFFF" w:sz="0"/>
          <w:bottom w:val="none" w:color="FFFFFF" w:sz="0"/>
          <w:right w:val="none" w:color="FFFFFF" w:sz="0"/>
          <w:insideH w:val="single" w:color="auto" w:sz="4"/>
          <w:insideV w:val="single" w:color="auto" w:sz="4"/>
        </w:tblBorders>
      </w:tblPr>
      <w:tblGrid>
        <w:gridCol w:w="2700"/>
        <w:gridCol w:w="260"/>
        <w:gridCol w:w="6394"/>
      </w:tblGrid>
      <w:tr>
        <w:tc>
          <w:tcPr>
            <w:tcW w:type="dxa" w:w="2700"/>
            <w:tcMar>
              <w:top w:type="dxa" w:w="20"/>
              <w:left w:type="dxa" w:w="0"/>
              <w:bottom w:type="dxa" w:w="20"/>
              <w:right w:type="dxa" w:w="60"/>
            </w:tcMar>
            <w:vAlign w:val="top"/>
          </w:tcPr>
          <w:p>
            <w:pPr>
              <w:spacing w:after="10" w:before="10" w:line="280"/>
              <w:jc w:val="left"/>
            </w:pPr>
            <w:r>
              <w:rPr>
                <w:rFonts w:ascii="Times New Roman" w:cs="Times New Roman" w:eastAsia="Times New Roman" w:hAnsi="Times New Roman"/>
                <w:b w:val="false"/>
                <w:bCs w:val="false"/>
                <w:i w:val="false"/>
                <w:iCs w:val="false"/>
                <w:sz w:val="24"/>
                <w:szCs w:val="24"/>
              </w:rPr>
              <w:t xml:space="preserve">Nama</w:t>
            </w:r>
          </w:p>
        </w:tc>
        <w:tc>
          <w:tcPr>
            <w:tcW w:type="dxa" w:w="260"/>
            <w:tcMar>
              <w:top w:type="dxa" w:w="20"/>
              <w:left w:type="dxa" w:w="0"/>
              <w:bottom w:type="dxa" w:w="20"/>
              <w:right w:type="dxa" w:w="60"/>
            </w:tcMar>
            <w:vAlign w:val="top"/>
          </w:tcPr>
          <w:p>
            <w:pPr>
              <w:spacing w:after="10" w:before="10" w:line="280"/>
              <w:jc w:val="center"/>
            </w:pPr>
            <w:r>
              <w:rPr>
                <w:rFonts w:ascii="Times New Roman" w:cs="Times New Roman" w:eastAsia="Times New Roman" w:hAnsi="Times New Roman"/>
                <w:b w:val="false"/>
                <w:bCs w:val="false"/>
                <w:i w:val="false"/>
                <w:iCs w:val="false"/>
                <w:sz w:val="24"/>
                <w:szCs w:val="24"/>
              </w:rPr>
              <w:t xml:space="preserve">:</w:t>
            </w:r>
          </w:p>
        </w:tc>
        <w:tc>
          <w:tcPr>
            <w:tcW w:type="dxa" w:w="6394"/>
            <w:tcMar>
              <w:top w:type="dxa" w:w="20"/>
              <w:left w:type="dxa" w:w="0"/>
              <w:bottom w:type="dxa" w:w="20"/>
              <w:right w:type="dxa" w:w="60"/>
            </w:tcMar>
            <w:vAlign w:val="top"/>
          </w:tcPr>
          <w:p>
            <w:pPr>
              <w:spacing w:after="10" w:before="10" w:line="280"/>
              <w:jc w:val="left"/>
            </w:pPr>
            <w:r>
              <w:rPr>
                <w:rFonts w:ascii="Times New Roman" w:cs="Times New Roman" w:eastAsia="Times New Roman" w:hAnsi="Times New Roman"/>
                <w:b w:val="false"/>
                <w:bCs w:val="false"/>
                <w:i w:val="false"/>
                <w:iCs w:val="false"/>
                <w:sz w:val="24"/>
                <w:szCs w:val="24"/>
              </w:rPr>
              <w:t xml:space="preserve">RAKA</w:t>
            </w:r>
          </w:p>
        </w:tc>
      </w:tr>
      <w:tr>
        <w:tc>
          <w:tcPr>
            <w:tcW w:type="dxa" w:w="2700"/>
            <w:tcMar>
              <w:top w:type="dxa" w:w="20"/>
              <w:left w:type="dxa" w:w="0"/>
              <w:bottom w:type="dxa" w:w="20"/>
              <w:right w:type="dxa" w:w="60"/>
            </w:tcMar>
            <w:vAlign w:val="top"/>
          </w:tcPr>
          <w:p>
            <w:pPr>
              <w:spacing w:after="10" w:before="10" w:line="280"/>
              <w:jc w:val="left"/>
            </w:pPr>
            <w:r>
              <w:rPr>
                <w:rFonts w:ascii="Times New Roman" w:cs="Times New Roman" w:eastAsia="Times New Roman" w:hAnsi="Times New Roman"/>
                <w:b w:val="false"/>
                <w:bCs w:val="false"/>
                <w:i w:val="false"/>
                <w:iCs w:val="false"/>
                <w:sz w:val="24"/>
                <w:szCs w:val="24"/>
              </w:rPr>
              <w:t xml:space="preserve">Tempat/Tanggal Lahir</w:t>
            </w:r>
          </w:p>
        </w:tc>
        <w:tc>
          <w:tcPr>
            <w:tcW w:type="dxa" w:w="260"/>
            <w:tcMar>
              <w:top w:type="dxa" w:w="20"/>
              <w:left w:type="dxa" w:w="0"/>
              <w:bottom w:type="dxa" w:w="20"/>
              <w:right w:type="dxa" w:w="60"/>
            </w:tcMar>
            <w:vAlign w:val="top"/>
          </w:tcPr>
          <w:p>
            <w:pPr>
              <w:spacing w:after="10" w:before="10" w:line="280"/>
              <w:jc w:val="center"/>
            </w:pPr>
            <w:r>
              <w:rPr>
                <w:rFonts w:ascii="Times New Roman" w:cs="Times New Roman" w:eastAsia="Times New Roman" w:hAnsi="Times New Roman"/>
                <w:b w:val="false"/>
                <w:bCs w:val="false"/>
                <w:i w:val="false"/>
                <w:iCs w:val="false"/>
                <w:sz w:val="24"/>
                <w:szCs w:val="24"/>
              </w:rPr>
              <w:t xml:space="preserve">:</w:t>
            </w:r>
          </w:p>
        </w:tc>
        <w:tc>
          <w:tcPr>
            <w:tcW w:type="dxa" w:w="6394"/>
            <w:tcMar>
              <w:top w:type="dxa" w:w="20"/>
              <w:left w:type="dxa" w:w="0"/>
              <w:bottom w:type="dxa" w:w="20"/>
              <w:right w:type="dxa" w:w="60"/>
            </w:tcMar>
            <w:vAlign w:val="top"/>
          </w:tcPr>
          <w:p>
            <w:pPr>
              <w:spacing w:after="10" w:before="10" w:line="280"/>
              <w:jc w:val="left"/>
            </w:pPr>
            <w:r>
              <w:rPr>
                <w:rFonts w:ascii="Times New Roman" w:cs="Times New Roman" w:eastAsia="Times New Roman" w:hAnsi="Times New Roman"/>
                <w:b w:val="false"/>
                <w:bCs w:val="false"/>
                <w:i w:val="false"/>
                <w:iCs w:val="false"/>
                <w:sz w:val="24"/>
                <w:szCs w:val="24"/>
              </w:rPr>
              <w:t xml:space="preserve">Surakarta, 20 September 1998</w:t>
            </w:r>
          </w:p>
        </w:tc>
      </w:tr>
      <w:tr>
        <w:tc>
          <w:tcPr>
            <w:tcW w:type="dxa" w:w="2700"/>
            <w:tcMar>
              <w:top w:type="dxa" w:w="20"/>
              <w:left w:type="dxa" w:w="0"/>
              <w:bottom w:type="dxa" w:w="20"/>
              <w:right w:type="dxa" w:w="60"/>
            </w:tcMar>
            <w:vAlign w:val="top"/>
          </w:tcPr>
          <w:p>
            <w:pPr>
              <w:spacing w:after="10" w:before="10" w:line="280"/>
              <w:jc w:val="left"/>
            </w:pPr>
            <w:r>
              <w:rPr>
                <w:rFonts w:ascii="Times New Roman" w:cs="Times New Roman" w:eastAsia="Times New Roman" w:hAnsi="Times New Roman"/>
                <w:b w:val="false"/>
                <w:bCs w:val="false"/>
                <w:i w:val="false"/>
                <w:iCs w:val="false"/>
                <w:sz w:val="24"/>
                <w:szCs w:val="24"/>
              </w:rPr>
              <w:t xml:space="preserve">Pekerjaan</w:t>
            </w:r>
          </w:p>
        </w:tc>
        <w:tc>
          <w:tcPr>
            <w:tcW w:type="dxa" w:w="260"/>
            <w:tcMar>
              <w:top w:type="dxa" w:w="20"/>
              <w:left w:type="dxa" w:w="0"/>
              <w:bottom w:type="dxa" w:w="20"/>
              <w:right w:type="dxa" w:w="60"/>
            </w:tcMar>
            <w:vAlign w:val="top"/>
          </w:tcPr>
          <w:p>
            <w:pPr>
              <w:spacing w:after="10" w:before="10" w:line="280"/>
              <w:jc w:val="center"/>
            </w:pPr>
            <w:r>
              <w:rPr>
                <w:rFonts w:ascii="Times New Roman" w:cs="Times New Roman" w:eastAsia="Times New Roman" w:hAnsi="Times New Roman"/>
                <w:b w:val="false"/>
                <w:bCs w:val="false"/>
                <w:i w:val="false"/>
                <w:iCs w:val="false"/>
                <w:sz w:val="24"/>
                <w:szCs w:val="24"/>
              </w:rPr>
              <w:t xml:space="preserve">:</w:t>
            </w:r>
          </w:p>
        </w:tc>
        <w:tc>
          <w:tcPr>
            <w:tcW w:type="dxa" w:w="6394"/>
            <w:tcMar>
              <w:top w:type="dxa" w:w="20"/>
              <w:left w:type="dxa" w:w="0"/>
              <w:bottom w:type="dxa" w:w="20"/>
              <w:right w:type="dxa" w:w="60"/>
            </w:tcMar>
            <w:vAlign w:val="top"/>
          </w:tcPr>
          <w:p>
            <w:pPr>
              <w:spacing w:after="10" w:before="10" w:line="280"/>
              <w:jc w:val="left"/>
            </w:pPr>
            <w:r>
              <w:rPr>
                <w:rFonts w:ascii="Times New Roman" w:cs="Times New Roman" w:eastAsia="Times New Roman" w:hAnsi="Times New Roman"/>
                <w:b w:val="false"/>
                <w:bCs w:val="false"/>
                <w:i w:val="false"/>
                <w:iCs w:val="false"/>
                <w:sz w:val="24"/>
                <w:szCs w:val="24"/>
              </w:rPr>
              <w:t xml:space="preserve">Wiraswasta</w:t>
            </w:r>
          </w:p>
        </w:tc>
      </w:tr>
      <w:tr>
        <w:tc>
          <w:tcPr>
            <w:tcW w:type="dxa" w:w="2700"/>
            <w:tcMar>
              <w:top w:type="dxa" w:w="20"/>
              <w:left w:type="dxa" w:w="0"/>
              <w:bottom w:type="dxa" w:w="20"/>
              <w:right w:type="dxa" w:w="60"/>
            </w:tcMar>
            <w:vAlign w:val="top"/>
          </w:tcPr>
          <w:p>
            <w:pPr>
              <w:spacing w:after="10" w:before="10" w:line="280"/>
              <w:jc w:val="left"/>
            </w:pPr>
            <w:r>
              <w:rPr>
                <w:rFonts w:ascii="Times New Roman" w:cs="Times New Roman" w:eastAsia="Times New Roman" w:hAnsi="Times New Roman"/>
                <w:b w:val="false"/>
                <w:bCs w:val="false"/>
                <w:i w:val="false"/>
                <w:iCs w:val="false"/>
                <w:sz w:val="24"/>
                <w:szCs w:val="24"/>
              </w:rPr>
              <w:t xml:space="preserve">Nomor Induk Kependudukan</w:t>
            </w:r>
          </w:p>
        </w:tc>
        <w:tc>
          <w:tcPr>
            <w:tcW w:type="dxa" w:w="260"/>
            <w:tcMar>
              <w:top w:type="dxa" w:w="20"/>
              <w:left w:type="dxa" w:w="0"/>
              <w:bottom w:type="dxa" w:w="20"/>
              <w:right w:type="dxa" w:w="60"/>
            </w:tcMar>
            <w:vAlign w:val="top"/>
          </w:tcPr>
          <w:p>
            <w:pPr>
              <w:spacing w:after="10" w:before="10" w:line="280"/>
              <w:jc w:val="center"/>
            </w:pPr>
            <w:r>
              <w:rPr>
                <w:rFonts w:ascii="Times New Roman" w:cs="Times New Roman" w:eastAsia="Times New Roman" w:hAnsi="Times New Roman"/>
                <w:b w:val="false"/>
                <w:bCs w:val="false"/>
                <w:i w:val="false"/>
                <w:iCs w:val="false"/>
                <w:sz w:val="24"/>
                <w:szCs w:val="24"/>
              </w:rPr>
              <w:t xml:space="preserve">:</w:t>
            </w:r>
          </w:p>
        </w:tc>
        <w:tc>
          <w:tcPr>
            <w:tcW w:type="dxa" w:w="6394"/>
            <w:tcMar>
              <w:top w:type="dxa" w:w="20"/>
              <w:left w:type="dxa" w:w="0"/>
              <w:bottom w:type="dxa" w:w="20"/>
              <w:right w:type="dxa" w:w="60"/>
            </w:tcMar>
            <w:vAlign w:val="top"/>
          </w:tcPr>
          <w:p>
            <w:pPr>
              <w:spacing w:after="10" w:before="10" w:line="280"/>
              <w:jc w:val="left"/>
            </w:pPr>
            <w:r>
              <w:rPr>
                <w:rFonts w:ascii="Times New Roman" w:cs="Times New Roman" w:eastAsia="Times New Roman" w:hAnsi="Times New Roman"/>
                <w:b w:val="false"/>
                <w:bCs w:val="false"/>
                <w:i w:val="false"/>
                <w:iCs w:val="false"/>
                <w:sz w:val="24"/>
                <w:szCs w:val="24"/>
              </w:rPr>
              <w:t xml:space="preserve">390188764453</w:t>
            </w:r>
          </w:p>
        </w:tc>
      </w:tr>
      <w:tr>
        <w:tc>
          <w:tcPr>
            <w:tcW w:type="dxa" w:w="2700"/>
            <w:tcMar>
              <w:top w:type="dxa" w:w="20"/>
              <w:left w:type="dxa" w:w="0"/>
              <w:bottom w:type="dxa" w:w="20"/>
              <w:right w:type="dxa" w:w="60"/>
            </w:tcMar>
            <w:vAlign w:val="top"/>
          </w:tcPr>
          <w:p>
            <w:pPr>
              <w:spacing w:after="10" w:before="10" w:line="280"/>
              <w:jc w:val="left"/>
            </w:pPr>
            <w:r>
              <w:rPr>
                <w:rFonts w:ascii="Times New Roman" w:cs="Times New Roman" w:eastAsia="Times New Roman" w:hAnsi="Times New Roman"/>
                <w:b w:val="false"/>
                <w:bCs w:val="false"/>
                <w:i w:val="false"/>
                <w:iCs w:val="false"/>
                <w:sz w:val="24"/>
                <w:szCs w:val="24"/>
              </w:rPr>
              <w:t xml:space="preserve">Alamat</w:t>
            </w:r>
          </w:p>
        </w:tc>
        <w:tc>
          <w:tcPr>
            <w:tcW w:type="dxa" w:w="260"/>
            <w:tcMar>
              <w:top w:type="dxa" w:w="20"/>
              <w:left w:type="dxa" w:w="0"/>
              <w:bottom w:type="dxa" w:w="20"/>
              <w:right w:type="dxa" w:w="60"/>
            </w:tcMar>
            <w:vAlign w:val="top"/>
          </w:tcPr>
          <w:p>
            <w:pPr>
              <w:spacing w:after="10" w:before="10" w:line="280"/>
              <w:jc w:val="center"/>
            </w:pPr>
            <w:r>
              <w:rPr>
                <w:rFonts w:ascii="Times New Roman" w:cs="Times New Roman" w:eastAsia="Times New Roman" w:hAnsi="Times New Roman"/>
                <w:b w:val="false"/>
                <w:bCs w:val="false"/>
                <w:i w:val="false"/>
                <w:iCs w:val="false"/>
                <w:sz w:val="24"/>
                <w:szCs w:val="24"/>
              </w:rPr>
              <w:t xml:space="preserve">:</w:t>
            </w:r>
          </w:p>
        </w:tc>
        <w:tc>
          <w:tcPr>
            <w:tcW w:type="dxa" w:w="6394"/>
            <w:tcMar>
              <w:top w:type="dxa" w:w="20"/>
              <w:left w:type="dxa" w:w="0"/>
              <w:bottom w:type="dxa" w:w="20"/>
              <w:right w:type="dxa" w:w="60"/>
            </w:tcMar>
            <w:vAlign w:val="top"/>
          </w:tcPr>
          <w:p>
            <w:pPr>
              <w:spacing w:after="10" w:before="10" w:line="280"/>
              <w:jc w:val="left"/>
            </w:pPr>
            <w:r>
              <w:rPr>
                <w:rFonts w:ascii="Times New Roman" w:cs="Times New Roman" w:eastAsia="Times New Roman" w:hAnsi="Times New Roman"/>
                <w:b w:val="false"/>
                <w:bCs w:val="false"/>
                <w:i w:val="false"/>
                <w:iCs w:val="false"/>
                <w:sz w:val="24"/>
                <w:szCs w:val="24"/>
              </w:rPr>
              <w:t xml:space="preserve">Jalan Karagan Nomor 18, Kelurahan Panularan, Kecamatan Laweyan, Kota Surakarta, Provinsi Jawa Tengah</w:t>
            </w:r>
          </w:p>
        </w:tc>
      </w:tr>
    </w:tbl>
    <w:p>
      <w:pPr>
        <w:spacing w:after="120" w:before="120" w:line="280"/>
        <w:jc w:val="left"/>
      </w:pPr>
      <w:r>
        <w:rPr>
          <w:rFonts w:ascii="Times New Roman" w:cs="Times New Roman" w:eastAsia="Times New Roman" w:hAnsi="Times New Roman"/>
          <w:b w:val="false"/>
          <w:bCs w:val="false"/>
          <w:i w:val="false"/>
          <w:iCs w:val="false"/>
          <w:sz w:val="24"/>
          <w:szCs w:val="24"/>
        </w:rPr>
        <w:t xml:space="preserve">Selaku pemilik bangunan komersial yang terletak di Jalan Ahmad Yani Nomor 21, Kota Surakarta;</w:t>
      </w:r>
    </w:p>
    <w:p>
      <w:pPr>
        <w:spacing w:after="200" w:before="0" w:line="280"/>
        <w:jc w:val="left"/>
      </w:pPr>
      <w:r>
        <w:rPr>
          <w:rFonts w:ascii="Times New Roman" w:cs="Times New Roman" w:eastAsia="Times New Roman" w:hAnsi="Times New Roman"/>
          <w:b w:val="false"/>
          <w:bCs w:val="false"/>
          <w:i w:val="false"/>
          <w:iCs w:val="false"/>
          <w:sz w:val="24"/>
          <w:szCs w:val="24"/>
        </w:rPr>
        <w:t xml:space="preserve">Selanjutnya disebut sebagai </w:t>
      </w:r>
      <w:r>
        <w:rPr>
          <w:rFonts w:ascii="Times New Roman" w:cs="Times New Roman" w:eastAsia="Times New Roman" w:hAnsi="Times New Roman"/>
          <w:b/>
          <w:bCs/>
          <w:i w:val="false"/>
          <w:iCs w:val="false"/>
          <w:sz w:val="24"/>
          <w:szCs w:val="24"/>
        </w:rPr>
        <w:t xml:space="preserve">PENGGUGAT</w:t>
      </w:r>
      <w:r>
        <w:rPr>
          <w:rFonts w:ascii="Times New Roman" w:cs="Times New Roman" w:eastAsia="Times New Roman" w:hAnsi="Times New Roman"/>
          <w:b w:val="false"/>
          <w:bCs w:val="false"/>
          <w:i w:val="false"/>
          <w:iCs w:val="false"/>
          <w:sz w:val="24"/>
          <w:szCs w:val="24"/>
        </w:rPr>
        <w:t xml:space="preserve">;</w:t>
      </w:r>
    </w:p>
    <w:p>
      <w:pPr>
        <w:spacing w:after="140" w:before="0" w:line="280"/>
        <w:jc w:val="left"/>
      </w:pPr>
      <w:r>
        <w:rPr>
          <w:rFonts w:ascii="Times New Roman" w:cs="Times New Roman" w:eastAsia="Times New Roman" w:hAnsi="Times New Roman"/>
          <w:b w:val="false"/>
          <w:bCs w:val="false"/>
          <w:i w:val="false"/>
          <w:iCs w:val="false"/>
          <w:sz w:val="24"/>
          <w:szCs w:val="24"/>
        </w:rPr>
        <w:t xml:space="preserve">Dengan ini mengajukan </w:t>
      </w:r>
      <w:r>
        <w:rPr>
          <w:rFonts w:ascii="Times New Roman" w:cs="Times New Roman" w:eastAsia="Times New Roman" w:hAnsi="Times New Roman"/>
          <w:b/>
          <w:bCs/>
          <w:i w:val="false"/>
          <w:iCs w:val="false"/>
          <w:sz w:val="24"/>
          <w:szCs w:val="24"/>
        </w:rPr>
        <w:t xml:space="preserve">Gugatan Wanprestasi</w:t>
      </w:r>
      <w:r>
        <w:rPr>
          <w:rFonts w:ascii="Times New Roman" w:cs="Times New Roman" w:eastAsia="Times New Roman" w:hAnsi="Times New Roman"/>
          <w:b w:val="false"/>
          <w:bCs w:val="false"/>
          <w:i w:val="false"/>
          <w:iCs w:val="false"/>
          <w:sz w:val="24"/>
          <w:szCs w:val="24"/>
        </w:rPr>
        <w:t xml:space="preserve"> terhadap:</w:t>
      </w:r>
    </w:p>
    <w:tbl>
      <w:tblPr>
        <w:tblW w:type="dxa" w:w="9354"/>
        <w:tblBorders>
          <w:top w:val="none" w:color="FFFFFF" w:sz="0"/>
          <w:left w:val="none" w:color="FFFFFF" w:sz="0"/>
          <w:bottom w:val="none" w:color="FFFFFF" w:sz="0"/>
          <w:right w:val="none" w:color="FFFFFF" w:sz="0"/>
          <w:insideH w:val="single" w:color="auto" w:sz="4"/>
          <w:insideV w:val="single" w:color="auto" w:sz="4"/>
        </w:tblBorders>
      </w:tblPr>
      <w:tblGrid>
        <w:gridCol w:w="2700"/>
        <w:gridCol w:w="260"/>
        <w:gridCol w:w="6394"/>
      </w:tblGrid>
      <w:tr>
        <w:tc>
          <w:tcPr>
            <w:tcW w:type="dxa" w:w="2700"/>
            <w:tcMar>
              <w:top w:type="dxa" w:w="20"/>
              <w:left w:type="dxa" w:w="0"/>
              <w:bottom w:type="dxa" w:w="20"/>
              <w:right w:type="dxa" w:w="60"/>
            </w:tcMar>
            <w:vAlign w:val="top"/>
          </w:tcPr>
          <w:p>
            <w:pPr>
              <w:spacing w:after="10" w:before="10" w:line="280"/>
              <w:jc w:val="left"/>
            </w:pPr>
            <w:r>
              <w:rPr>
                <w:rFonts w:ascii="Times New Roman" w:cs="Times New Roman" w:eastAsia="Times New Roman" w:hAnsi="Times New Roman"/>
                <w:b w:val="false"/>
                <w:bCs w:val="false"/>
                <w:i w:val="false"/>
                <w:iCs w:val="false"/>
                <w:sz w:val="24"/>
                <w:szCs w:val="24"/>
              </w:rPr>
              <w:t xml:space="preserve">Nama</w:t>
            </w:r>
          </w:p>
        </w:tc>
        <w:tc>
          <w:tcPr>
            <w:tcW w:type="dxa" w:w="260"/>
            <w:tcMar>
              <w:top w:type="dxa" w:w="20"/>
              <w:left w:type="dxa" w:w="0"/>
              <w:bottom w:type="dxa" w:w="20"/>
              <w:right w:type="dxa" w:w="60"/>
            </w:tcMar>
            <w:vAlign w:val="top"/>
          </w:tcPr>
          <w:p>
            <w:pPr>
              <w:spacing w:after="10" w:before="10" w:line="280"/>
              <w:jc w:val="center"/>
            </w:pPr>
            <w:r>
              <w:rPr>
                <w:rFonts w:ascii="Times New Roman" w:cs="Times New Roman" w:eastAsia="Times New Roman" w:hAnsi="Times New Roman"/>
                <w:b w:val="false"/>
                <w:bCs w:val="false"/>
                <w:i w:val="false"/>
                <w:iCs w:val="false"/>
                <w:sz w:val="24"/>
                <w:szCs w:val="24"/>
              </w:rPr>
              <w:t xml:space="preserve">:</w:t>
            </w:r>
          </w:p>
        </w:tc>
        <w:tc>
          <w:tcPr>
            <w:tcW w:type="dxa" w:w="6394"/>
            <w:tcMar>
              <w:top w:type="dxa" w:w="20"/>
              <w:left w:type="dxa" w:w="0"/>
              <w:bottom w:type="dxa" w:w="20"/>
              <w:right w:type="dxa" w:w="60"/>
            </w:tcMar>
            <w:vAlign w:val="top"/>
          </w:tcPr>
          <w:p>
            <w:pPr>
              <w:spacing w:after="10" w:before="10" w:line="280"/>
              <w:jc w:val="left"/>
            </w:pPr>
            <w:r>
              <w:rPr>
                <w:rFonts w:ascii="Times New Roman" w:cs="Times New Roman" w:eastAsia="Times New Roman" w:hAnsi="Times New Roman"/>
                <w:b w:val="false"/>
                <w:bCs w:val="false"/>
                <w:i w:val="false"/>
                <w:iCs w:val="false"/>
                <w:sz w:val="24"/>
                <w:szCs w:val="24"/>
              </w:rPr>
              <w:t xml:space="preserve">PT ARUNIKA KREASI</w:t>
            </w:r>
          </w:p>
        </w:tc>
      </w:tr>
      <w:tr>
        <w:tc>
          <w:tcPr>
            <w:tcW w:type="dxa" w:w="2700"/>
            <w:tcMar>
              <w:top w:type="dxa" w:w="20"/>
              <w:left w:type="dxa" w:w="0"/>
              <w:bottom w:type="dxa" w:w="20"/>
              <w:right w:type="dxa" w:w="60"/>
            </w:tcMar>
            <w:vAlign w:val="top"/>
          </w:tcPr>
          <w:p>
            <w:pPr>
              <w:spacing w:after="10" w:before="10" w:line="280"/>
              <w:jc w:val="left"/>
            </w:pPr>
            <w:r>
              <w:rPr>
                <w:rFonts w:ascii="Times New Roman" w:cs="Times New Roman" w:eastAsia="Times New Roman" w:hAnsi="Times New Roman"/>
                <w:b w:val="false"/>
                <w:bCs w:val="false"/>
                <w:i w:val="false"/>
                <w:iCs w:val="false"/>
                <w:sz w:val="24"/>
                <w:szCs w:val="24"/>
              </w:rPr>
              <w:t xml:space="preserve">Bidang Usaha</w:t>
            </w:r>
          </w:p>
        </w:tc>
        <w:tc>
          <w:tcPr>
            <w:tcW w:type="dxa" w:w="260"/>
            <w:tcMar>
              <w:top w:type="dxa" w:w="20"/>
              <w:left w:type="dxa" w:w="0"/>
              <w:bottom w:type="dxa" w:w="20"/>
              <w:right w:type="dxa" w:w="60"/>
            </w:tcMar>
            <w:vAlign w:val="top"/>
          </w:tcPr>
          <w:p>
            <w:pPr>
              <w:spacing w:after="10" w:before="10" w:line="280"/>
              <w:jc w:val="center"/>
            </w:pPr>
            <w:r>
              <w:rPr>
                <w:rFonts w:ascii="Times New Roman" w:cs="Times New Roman" w:eastAsia="Times New Roman" w:hAnsi="Times New Roman"/>
                <w:b w:val="false"/>
                <w:bCs w:val="false"/>
                <w:i w:val="false"/>
                <w:iCs w:val="false"/>
                <w:sz w:val="24"/>
                <w:szCs w:val="24"/>
              </w:rPr>
              <w:t xml:space="preserve">:</w:t>
            </w:r>
          </w:p>
        </w:tc>
        <w:tc>
          <w:tcPr>
            <w:tcW w:type="dxa" w:w="6394"/>
            <w:tcMar>
              <w:top w:type="dxa" w:w="20"/>
              <w:left w:type="dxa" w:w="0"/>
              <w:bottom w:type="dxa" w:w="20"/>
              <w:right w:type="dxa" w:w="60"/>
            </w:tcMar>
            <w:vAlign w:val="top"/>
          </w:tcPr>
          <w:p>
            <w:pPr>
              <w:spacing w:after="10" w:before="10" w:line="280"/>
              <w:jc w:val="left"/>
            </w:pPr>
            <w:r>
              <w:rPr>
                <w:rFonts w:ascii="Times New Roman" w:cs="Times New Roman" w:eastAsia="Times New Roman" w:hAnsi="Times New Roman"/>
                <w:b w:val="false"/>
                <w:bCs w:val="false"/>
                <w:i w:val="false"/>
                <w:iCs w:val="false"/>
                <w:sz w:val="24"/>
                <w:szCs w:val="24"/>
              </w:rPr>
              <w:t xml:space="preserve">Desain interior dan pengelolaan usaha kuliner</w:t>
            </w:r>
          </w:p>
        </w:tc>
      </w:tr>
      <w:tr>
        <w:tc>
          <w:tcPr>
            <w:tcW w:type="dxa" w:w="2700"/>
            <w:tcMar>
              <w:top w:type="dxa" w:w="20"/>
              <w:left w:type="dxa" w:w="0"/>
              <w:bottom w:type="dxa" w:w="20"/>
              <w:right w:type="dxa" w:w="60"/>
            </w:tcMar>
            <w:vAlign w:val="top"/>
          </w:tcPr>
          <w:p>
            <w:pPr>
              <w:spacing w:after="10" w:before="10" w:line="280"/>
              <w:jc w:val="left"/>
            </w:pPr>
            <w:r>
              <w:rPr>
                <w:rFonts w:ascii="Times New Roman" w:cs="Times New Roman" w:eastAsia="Times New Roman" w:hAnsi="Times New Roman"/>
                <w:b w:val="false"/>
                <w:bCs w:val="false"/>
                <w:i w:val="false"/>
                <w:iCs w:val="false"/>
                <w:sz w:val="24"/>
                <w:szCs w:val="24"/>
              </w:rPr>
              <w:t xml:space="preserve">Kedudukan</w:t>
            </w:r>
          </w:p>
        </w:tc>
        <w:tc>
          <w:tcPr>
            <w:tcW w:type="dxa" w:w="260"/>
            <w:tcMar>
              <w:top w:type="dxa" w:w="20"/>
              <w:left w:type="dxa" w:w="0"/>
              <w:bottom w:type="dxa" w:w="20"/>
              <w:right w:type="dxa" w:w="60"/>
            </w:tcMar>
            <w:vAlign w:val="top"/>
          </w:tcPr>
          <w:p>
            <w:pPr>
              <w:spacing w:after="10" w:before="10" w:line="280"/>
              <w:jc w:val="center"/>
            </w:pPr>
            <w:r>
              <w:rPr>
                <w:rFonts w:ascii="Times New Roman" w:cs="Times New Roman" w:eastAsia="Times New Roman" w:hAnsi="Times New Roman"/>
                <w:b w:val="false"/>
                <w:bCs w:val="false"/>
                <w:i w:val="false"/>
                <w:iCs w:val="false"/>
                <w:sz w:val="24"/>
                <w:szCs w:val="24"/>
              </w:rPr>
              <w:t xml:space="preserve">:</w:t>
            </w:r>
          </w:p>
        </w:tc>
        <w:tc>
          <w:tcPr>
            <w:tcW w:type="dxa" w:w="6394"/>
            <w:tcMar>
              <w:top w:type="dxa" w:w="20"/>
              <w:left w:type="dxa" w:w="0"/>
              <w:bottom w:type="dxa" w:w="20"/>
              <w:right w:type="dxa" w:w="60"/>
            </w:tcMar>
            <w:vAlign w:val="top"/>
          </w:tcPr>
          <w:p>
            <w:pPr>
              <w:spacing w:after="10" w:before="10" w:line="280"/>
              <w:jc w:val="left"/>
            </w:pPr>
            <w:r>
              <w:rPr>
                <w:rFonts w:ascii="Times New Roman" w:cs="Times New Roman" w:eastAsia="Times New Roman" w:hAnsi="Times New Roman"/>
                <w:b w:val="false"/>
                <w:bCs w:val="false"/>
                <w:i w:val="false"/>
                <w:iCs w:val="false"/>
                <w:sz w:val="24"/>
                <w:szCs w:val="24"/>
              </w:rPr>
              <w:t xml:space="preserve">Jalan Anggrek Nomor 7, RT 01, RW 02, Kelurahan Nyawiji, Kecamatan Polanharjo, Kabupaten Klaten, Provinsi Jawa Tengah</w:t>
            </w:r>
          </w:p>
        </w:tc>
      </w:tr>
      <w:tr>
        <w:tc>
          <w:tcPr>
            <w:tcW w:type="dxa" w:w="2700"/>
            <w:tcMar>
              <w:top w:type="dxa" w:w="20"/>
              <w:left w:type="dxa" w:w="0"/>
              <w:bottom w:type="dxa" w:w="20"/>
              <w:right w:type="dxa" w:w="60"/>
            </w:tcMar>
            <w:vAlign w:val="top"/>
          </w:tcPr>
          <w:p>
            <w:pPr>
              <w:spacing w:after="10" w:before="10" w:line="280"/>
              <w:jc w:val="left"/>
            </w:pPr>
            <w:r>
              <w:rPr>
                <w:rFonts w:ascii="Times New Roman" w:cs="Times New Roman" w:eastAsia="Times New Roman" w:hAnsi="Times New Roman"/>
                <w:b w:val="false"/>
                <w:bCs w:val="false"/>
                <w:i w:val="false"/>
                <w:iCs w:val="false"/>
                <w:sz w:val="24"/>
                <w:szCs w:val="24"/>
              </w:rPr>
              <w:t xml:space="preserve">Diwakili oleh</w:t>
            </w:r>
          </w:p>
        </w:tc>
        <w:tc>
          <w:tcPr>
            <w:tcW w:type="dxa" w:w="260"/>
            <w:tcMar>
              <w:top w:type="dxa" w:w="20"/>
              <w:left w:type="dxa" w:w="0"/>
              <w:bottom w:type="dxa" w:w="20"/>
              <w:right w:type="dxa" w:w="60"/>
            </w:tcMar>
            <w:vAlign w:val="top"/>
          </w:tcPr>
          <w:p>
            <w:pPr>
              <w:spacing w:after="10" w:before="10" w:line="280"/>
              <w:jc w:val="center"/>
            </w:pPr>
            <w:r>
              <w:rPr>
                <w:rFonts w:ascii="Times New Roman" w:cs="Times New Roman" w:eastAsia="Times New Roman" w:hAnsi="Times New Roman"/>
                <w:b w:val="false"/>
                <w:bCs w:val="false"/>
                <w:i w:val="false"/>
                <w:iCs w:val="false"/>
                <w:sz w:val="24"/>
                <w:szCs w:val="24"/>
              </w:rPr>
              <w:t xml:space="preserve">:</w:t>
            </w:r>
          </w:p>
        </w:tc>
        <w:tc>
          <w:tcPr>
            <w:tcW w:type="dxa" w:w="6394"/>
            <w:tcMar>
              <w:top w:type="dxa" w:w="20"/>
              <w:left w:type="dxa" w:w="0"/>
              <w:bottom w:type="dxa" w:w="20"/>
              <w:right w:type="dxa" w:w="60"/>
            </w:tcMar>
            <w:vAlign w:val="top"/>
          </w:tcPr>
          <w:p>
            <w:pPr>
              <w:spacing w:after="10" w:before="10" w:line="280"/>
              <w:jc w:val="left"/>
            </w:pPr>
            <w:r>
              <w:rPr>
                <w:rFonts w:ascii="Times New Roman" w:cs="Times New Roman" w:eastAsia="Times New Roman" w:hAnsi="Times New Roman"/>
                <w:b w:val="false"/>
                <w:bCs w:val="false"/>
                <w:i w:val="false"/>
                <w:iCs w:val="false"/>
                <w:sz w:val="24"/>
                <w:szCs w:val="24"/>
              </w:rPr>
              <w:t xml:space="preserve">ARYA DAMAR PRAYOGA, S.H., M.H., dalam kedudukannya sebagai Direktur, yang berwenang mewakili perseroan berdasarkan Anggaran Dasar perseroan</w:t>
            </w:r>
          </w:p>
        </w:tc>
      </w:tr>
    </w:tbl>
    <w:p>
      <w:pPr>
        <w:spacing w:after="200" w:before="120" w:line="280"/>
        <w:jc w:val="left"/>
      </w:pPr>
      <w:r>
        <w:rPr>
          <w:rFonts w:ascii="Times New Roman" w:cs="Times New Roman" w:eastAsia="Times New Roman" w:hAnsi="Times New Roman"/>
          <w:b w:val="false"/>
          <w:bCs w:val="false"/>
          <w:i w:val="false"/>
          <w:iCs w:val="false"/>
          <w:sz w:val="24"/>
          <w:szCs w:val="24"/>
        </w:rPr>
        <w:t xml:space="preserve">Selanjutnya disebut sebagai </w:t>
      </w:r>
      <w:r>
        <w:rPr>
          <w:rFonts w:ascii="Times New Roman" w:cs="Times New Roman" w:eastAsia="Times New Roman" w:hAnsi="Times New Roman"/>
          <w:b/>
          <w:bCs/>
          <w:i w:val="false"/>
          <w:iCs w:val="false"/>
          <w:sz w:val="24"/>
          <w:szCs w:val="24"/>
        </w:rPr>
        <w:t xml:space="preserve">TERGUGAT</w:t>
      </w:r>
      <w:r>
        <w:rPr>
          <w:rFonts w:ascii="Times New Roman" w:cs="Times New Roman" w:eastAsia="Times New Roman" w:hAnsi="Times New Roman"/>
          <w:b w:val="false"/>
          <w:bCs w:val="false"/>
          <w:i w:val="false"/>
          <w:iCs w:val="false"/>
          <w:sz w:val="24"/>
          <w:szCs w:val="24"/>
        </w:rPr>
        <w:t xml:space="preserve">;</w:t>
      </w:r>
    </w:p>
    <w:p>
      <w:pPr>
        <w:spacing w:after="160" w:before="0" w:line="280"/>
        <w:jc w:val="left"/>
      </w:pPr>
      <w:r>
        <w:rPr>
          <w:rFonts w:ascii="Times New Roman" w:cs="Times New Roman" w:eastAsia="Times New Roman" w:hAnsi="Times New Roman"/>
          <w:b w:val="false"/>
          <w:bCs w:val="false"/>
          <w:i w:val="false"/>
          <w:iCs w:val="false"/>
          <w:sz w:val="24"/>
          <w:szCs w:val="24"/>
        </w:rPr>
        <w:t xml:space="preserve">Bahwa adapun dalil gugatan ini kami ajukan berdasarkan hal-hal sebagai berikut:</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Penggugat adalah pemilik sah atas sebuah bangunan komersial yang terletak di Jalan Ahmad Yani Nomor 21, Kota Surakarta, berukuran kurang lebih 12 meter kali 10 meter atau seluas kurang lebih 120 m², yang sebelumnya digunakan sebagai bangunan usaha;</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pada tanggal 12 Januari 2026 Penggugat dan Tergugat menandatangani Perjanjian Pemborongan Pekerjaan Nomor 001/PPP/AK-RK/I/2026 beserta seluruh lampirannya (Bukti P-1), yang mewajibkan Tergugat merenovasi bangunan tersebut menjadi sebuah kafe dalam kondisi siap beroperasi. Perjanjian tersebut telah memenuhi syarat sah Pasal 1320 Kitab Undang-Undang Hukum Perdata sehingga berlaku sebagai undang-undang bagi para pihak menurut Pasal 1338 Kitab Undang-Undang Hukum Perdata, dan merupakan perjanjian pemborongan pekerjaan sebagaimana Pasal 1601b juncto Pasal 1604 sampai dengan Pasal 1616 Kitab Undang-Undang Hukum Perdata;</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nilai pekerjaan disepakati sebesar Rp850.000.000,00 (delapan ratus lima puluh juta rupiah) termasuk pajak, yang menurut Rencana Anggaran Biaya sebagai Lampiran I Perjanjian (Bukti P-2) terdiri atas Dasar Pengenaan Pajak Rp765.765.766,00 dan Pajak Pertambahan Nilai 11% sebesar Rp84.234.234,00. Rencana Anggaran Biaya tersebut disusun oleh Tergugat sendiri dan disetujui Penggugat, serta merinci lingkup pekerjaan menjadi 14 (empat belas) item pekerjaan beserta bobotnya masing-masing;</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Perjanjian menentukan hal-hal pokok sebagai berikut: jangka waktu pelaksanaan 105 (seratus lima) hari kalender terhitung sejak dimulainya pekerjaan pada tanggal 16 Januari 2026, sehingga batas akhir penyerahan pekerjaan dalam kondisi siap beroperasi adalah tanggal 1 Mei 2026; spesifikasi keramik lantai area utama berupa keramik berukuran 60 cm x 60 cm berwarna cokelat permukaan matte dengan harga satuan Rp185.000,00 per meter persegi dan volume 105 meter persegi (Rencana Anggaran Biaya butir 4.4 dan Lampiran Spesifikasi Teknis, Bukti P-3); bahwa setiap perubahan lingkup, volume, spesifikasi, nilai, maupun jangka waktu pekerjaan hanya berlaku apabila dituangkan dalam addendum tertulis yang ditandatangani kedua pihak; serta klausula domisili hukum yang menetapkan Pengadilan Negeri Surakarta sebagai pengadilan yang berwenang menyelesaikan perselisihan yang timbul dari Perjanjian;</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pembayaran disepakati dalam 4 (empat) termin, dan Penggugat telah memenuhi seluruh kewajiban pembayaran yang telah jatuh tempo, yaitu Termin I sebesar Rp450.000.000,00 pada tanggal 16 Januari 2026 (Bukti P-4), Termin II sebesar Rp50.000.000,00 pada tanggal 5 Maret 2026 atas dasar klaim progres 40% yang disampaikan Tergugat sendiri (Bukti P-5), dan Termin III sebesar Rp100.000.000,00 pada tanggal 10 April 2026 atas dasar klaim progres 70% yang juga disampaikan Tergugat sendiri (Bukti P-6), sehingga seluruhnya Penggugat telah membayar Rp600.000.000,00. Adapun Termin IV sebesar Rp250.000.000,00 sampai gugatan ini diajukan belum jatuh tempo, karena syarat pembayarannya adalah pekerjaan selesai 100% dan diserahterimakan dalam kondisi siap beroperasi, dan syarat tersebut tidak pernah terpenuhi;</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6.</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sepanjang pelaksanaan pekerjaan Penggugat senantiasa membayar melebihi nilai prestasi yang dikerjakan Tergugat, bahkan apabila diukur dengan klaim progres Tergugat sendiri, sebagaimana tabel berikut:</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650"/>
        <w:gridCol w:w="1900"/>
        <w:gridCol w:w="2604"/>
        <w:gridCol w:w="1600"/>
        <w:gridCol w:w="1600"/>
      </w:tblGrid>
      <w:tr>
        <w:trPr>
          <w:tblHeader/>
        </w:trPr>
        <w:tc>
          <w:tcPr>
            <w:tcW w:type="dxa" w:w="1650"/>
            <w:shd w:fill="D9D9D9" w:color="auto" w:val="clear"/>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bCs/>
                <w:i w:val="false"/>
                <w:iCs w:val="false"/>
                <w:sz w:val="21"/>
                <w:szCs w:val="21"/>
              </w:rPr>
              <w:t xml:space="preserve">Tanggal</w:t>
            </w:r>
          </w:p>
        </w:tc>
        <w:tc>
          <w:tcPr>
            <w:tcW w:type="dxa" w:w="1900"/>
            <w:shd w:fill="D9D9D9" w:color="auto" w:val="clear"/>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bCs/>
                <w:i w:val="false"/>
                <w:iCs w:val="false"/>
                <w:sz w:val="21"/>
                <w:szCs w:val="21"/>
              </w:rPr>
              <w:t xml:space="preserve">Dibayar Penggugat (kumulatif)</w:t>
            </w:r>
          </w:p>
        </w:tc>
        <w:tc>
          <w:tcPr>
            <w:tcW w:type="dxa" w:w="2604"/>
            <w:shd w:fill="D9D9D9" w:color="auto" w:val="clear"/>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bCs/>
                <w:i w:val="false"/>
                <w:iCs w:val="false"/>
                <w:sz w:val="21"/>
                <w:szCs w:val="21"/>
              </w:rPr>
              <w:t xml:space="preserve">Dasar Penilaian Prestasi</w:t>
            </w:r>
          </w:p>
        </w:tc>
        <w:tc>
          <w:tcPr>
            <w:tcW w:type="dxa" w:w="1600"/>
            <w:shd w:fill="D9D9D9" w:color="auto" w:val="clear"/>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bCs/>
                <w:i w:val="false"/>
                <w:iCs w:val="false"/>
                <w:sz w:val="21"/>
                <w:szCs w:val="21"/>
              </w:rPr>
              <w:t xml:space="preserve">Nilai Prestasi</w:t>
            </w:r>
          </w:p>
        </w:tc>
        <w:tc>
          <w:tcPr>
            <w:tcW w:type="dxa" w:w="1600"/>
            <w:shd w:fill="D9D9D9" w:color="auto" w:val="clear"/>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bCs/>
                <w:i w:val="false"/>
                <w:iCs w:val="false"/>
                <w:sz w:val="21"/>
                <w:szCs w:val="21"/>
              </w:rPr>
              <w:t xml:space="preserve">Kelebihan Bayar</w:t>
            </w:r>
          </w:p>
        </w:tc>
      </w:tr>
      <w:tr>
        <w:tc>
          <w:tcPr>
            <w:tcW w:type="dxa" w:w="1650"/>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val="false"/>
                <w:bCs w:val="false"/>
                <w:i w:val="false"/>
                <w:iCs w:val="false"/>
                <w:sz w:val="21"/>
                <w:szCs w:val="21"/>
              </w:rPr>
              <w:t xml:space="preserve">16 Januari 2026</w:t>
            </w:r>
          </w:p>
        </w:tc>
        <w:tc>
          <w:tcPr>
            <w:tcW w:type="dxa" w:w="1900"/>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val="false"/>
                <w:bCs w:val="false"/>
                <w:i w:val="false"/>
                <w:iCs w:val="false"/>
                <w:sz w:val="21"/>
                <w:szCs w:val="21"/>
              </w:rPr>
              <w:t xml:space="preserve">Rp450.000.000,00</w:t>
            </w:r>
          </w:p>
        </w:tc>
        <w:tc>
          <w:tcPr>
            <w:tcW w:type="dxa" w:w="2604"/>
            <w:tcMar>
              <w:top w:type="dxa" w:w="50"/>
              <w:left w:type="dxa" w:w="100"/>
              <w:bottom w:type="dxa" w:w="50"/>
              <w:right w:type="dxa" w:w="100"/>
            </w:tcMar>
            <w:vAlign w:val="center"/>
          </w:tcPr>
          <w:p>
            <w:pPr>
              <w:spacing w:after="30" w:before="30" w:line="250"/>
              <w:jc w:val="left"/>
            </w:pPr>
            <w:r>
              <w:rPr>
                <w:rFonts w:ascii="Times New Roman" w:cs="Times New Roman" w:eastAsia="Times New Roman" w:hAnsi="Times New Roman"/>
                <w:b w:val="false"/>
                <w:bCs w:val="false"/>
                <w:i w:val="false"/>
                <w:iCs w:val="false"/>
                <w:sz w:val="21"/>
                <w:szCs w:val="21"/>
              </w:rPr>
              <w:t xml:space="preserve">Pekerjaan baru dimulai</w:t>
            </w:r>
          </w:p>
        </w:tc>
        <w:tc>
          <w:tcPr>
            <w:tcW w:type="dxa" w:w="1600"/>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val="false"/>
                <w:bCs w:val="false"/>
                <w:i w:val="false"/>
                <w:iCs w:val="false"/>
                <w:sz w:val="21"/>
                <w:szCs w:val="21"/>
              </w:rPr>
              <w:t xml:space="preserve">Rp0,00</w:t>
            </w:r>
          </w:p>
        </w:tc>
        <w:tc>
          <w:tcPr>
            <w:tcW w:type="dxa" w:w="1600"/>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bCs/>
                <w:i w:val="false"/>
                <w:iCs w:val="false"/>
                <w:sz w:val="21"/>
                <w:szCs w:val="21"/>
              </w:rPr>
              <w:t xml:space="preserve">Rp450.000.000,00</w:t>
            </w:r>
          </w:p>
        </w:tc>
      </w:tr>
      <w:tr>
        <w:tc>
          <w:tcPr>
            <w:tcW w:type="dxa" w:w="1650"/>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val="false"/>
                <w:bCs w:val="false"/>
                <w:i w:val="false"/>
                <w:iCs w:val="false"/>
                <w:sz w:val="21"/>
                <w:szCs w:val="21"/>
              </w:rPr>
              <w:t xml:space="preserve">5 Maret 2026</w:t>
            </w:r>
          </w:p>
        </w:tc>
        <w:tc>
          <w:tcPr>
            <w:tcW w:type="dxa" w:w="1900"/>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val="false"/>
                <w:bCs w:val="false"/>
                <w:i w:val="false"/>
                <w:iCs w:val="false"/>
                <w:sz w:val="21"/>
                <w:szCs w:val="21"/>
              </w:rPr>
              <w:t xml:space="preserve">Rp500.000.000,00</w:t>
            </w:r>
          </w:p>
        </w:tc>
        <w:tc>
          <w:tcPr>
            <w:tcW w:type="dxa" w:w="2604"/>
            <w:tcMar>
              <w:top w:type="dxa" w:w="50"/>
              <w:left w:type="dxa" w:w="100"/>
              <w:bottom w:type="dxa" w:w="50"/>
              <w:right w:type="dxa" w:w="100"/>
            </w:tcMar>
            <w:vAlign w:val="center"/>
          </w:tcPr>
          <w:p>
            <w:pPr>
              <w:spacing w:after="30" w:before="30" w:line="250"/>
              <w:jc w:val="left"/>
            </w:pPr>
            <w:r>
              <w:rPr>
                <w:rFonts w:ascii="Times New Roman" w:cs="Times New Roman" w:eastAsia="Times New Roman" w:hAnsi="Times New Roman"/>
                <w:b w:val="false"/>
                <w:bCs w:val="false"/>
                <w:i w:val="false"/>
                <w:iCs w:val="false"/>
                <w:sz w:val="21"/>
                <w:szCs w:val="21"/>
              </w:rPr>
              <w:t xml:space="preserve">Klaim progres Tergugat 40%</w:t>
            </w:r>
          </w:p>
        </w:tc>
        <w:tc>
          <w:tcPr>
            <w:tcW w:type="dxa" w:w="1600"/>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val="false"/>
                <w:bCs w:val="false"/>
                <w:i w:val="false"/>
                <w:iCs w:val="false"/>
                <w:sz w:val="21"/>
                <w:szCs w:val="21"/>
              </w:rPr>
              <w:t xml:space="preserve">Rp340.000.000,00</w:t>
            </w:r>
          </w:p>
        </w:tc>
        <w:tc>
          <w:tcPr>
            <w:tcW w:type="dxa" w:w="1600"/>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bCs/>
                <w:i w:val="false"/>
                <w:iCs w:val="false"/>
                <w:sz w:val="21"/>
                <w:szCs w:val="21"/>
              </w:rPr>
              <w:t xml:space="preserve">Rp160.000.000,00</w:t>
            </w:r>
          </w:p>
        </w:tc>
      </w:tr>
      <w:tr>
        <w:tc>
          <w:tcPr>
            <w:tcW w:type="dxa" w:w="1650"/>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val="false"/>
                <w:bCs w:val="false"/>
                <w:i w:val="false"/>
                <w:iCs w:val="false"/>
                <w:sz w:val="21"/>
                <w:szCs w:val="21"/>
              </w:rPr>
              <w:t xml:space="preserve">10 April 2026</w:t>
            </w:r>
          </w:p>
        </w:tc>
        <w:tc>
          <w:tcPr>
            <w:tcW w:type="dxa" w:w="1900"/>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val="false"/>
                <w:bCs w:val="false"/>
                <w:i w:val="false"/>
                <w:iCs w:val="false"/>
                <w:sz w:val="21"/>
                <w:szCs w:val="21"/>
              </w:rPr>
              <w:t xml:space="preserve">Rp600.000.000,00</w:t>
            </w:r>
          </w:p>
        </w:tc>
        <w:tc>
          <w:tcPr>
            <w:tcW w:type="dxa" w:w="2604"/>
            <w:tcMar>
              <w:top w:type="dxa" w:w="50"/>
              <w:left w:type="dxa" w:w="100"/>
              <w:bottom w:type="dxa" w:w="50"/>
              <w:right w:type="dxa" w:w="100"/>
            </w:tcMar>
            <w:vAlign w:val="center"/>
          </w:tcPr>
          <w:p>
            <w:pPr>
              <w:spacing w:after="30" w:before="30" w:line="250"/>
              <w:jc w:val="left"/>
            </w:pPr>
            <w:r>
              <w:rPr>
                <w:rFonts w:ascii="Times New Roman" w:cs="Times New Roman" w:eastAsia="Times New Roman" w:hAnsi="Times New Roman"/>
                <w:b w:val="false"/>
                <w:bCs w:val="false"/>
                <w:i w:val="false"/>
                <w:iCs w:val="false"/>
                <w:sz w:val="21"/>
                <w:szCs w:val="21"/>
              </w:rPr>
              <w:t xml:space="preserve">Klaim progres Tergugat 70%</w:t>
            </w:r>
          </w:p>
        </w:tc>
        <w:tc>
          <w:tcPr>
            <w:tcW w:type="dxa" w:w="1600"/>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val="false"/>
                <w:bCs w:val="false"/>
                <w:i w:val="false"/>
                <w:iCs w:val="false"/>
                <w:sz w:val="21"/>
                <w:szCs w:val="21"/>
              </w:rPr>
              <w:t xml:space="preserve">Rp595.000.000,00</w:t>
            </w:r>
          </w:p>
        </w:tc>
        <w:tc>
          <w:tcPr>
            <w:tcW w:type="dxa" w:w="1600"/>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bCs/>
                <w:i w:val="false"/>
                <w:iCs w:val="false"/>
                <w:sz w:val="21"/>
                <w:szCs w:val="21"/>
              </w:rPr>
              <w:t xml:space="preserve">Rp5.000.000,00</w:t>
            </w:r>
          </w:p>
        </w:tc>
      </w:tr>
      <w:tr>
        <w:tc>
          <w:tcPr>
            <w:tcW w:type="dxa" w:w="1650"/>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val="false"/>
                <w:bCs w:val="false"/>
                <w:i w:val="false"/>
                <w:iCs w:val="false"/>
                <w:sz w:val="21"/>
                <w:szCs w:val="21"/>
              </w:rPr>
              <w:t xml:space="preserve">1 Mei 2026</w:t>
            </w:r>
          </w:p>
        </w:tc>
        <w:tc>
          <w:tcPr>
            <w:tcW w:type="dxa" w:w="1900"/>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val="false"/>
                <w:bCs w:val="false"/>
                <w:i w:val="false"/>
                <w:iCs w:val="false"/>
                <w:sz w:val="21"/>
                <w:szCs w:val="21"/>
              </w:rPr>
              <w:t xml:space="preserve">Rp600.000.000,00</w:t>
            </w:r>
          </w:p>
        </w:tc>
        <w:tc>
          <w:tcPr>
            <w:tcW w:type="dxa" w:w="2604"/>
            <w:tcMar>
              <w:top w:type="dxa" w:w="50"/>
              <w:left w:type="dxa" w:w="100"/>
              <w:bottom w:type="dxa" w:w="50"/>
              <w:right w:type="dxa" w:w="100"/>
            </w:tcMar>
            <w:vAlign w:val="center"/>
          </w:tcPr>
          <w:p>
            <w:pPr>
              <w:spacing w:after="30" w:before="30" w:line="250"/>
              <w:jc w:val="left"/>
            </w:pPr>
            <w:r>
              <w:rPr>
                <w:rFonts w:ascii="Times New Roman" w:cs="Times New Roman" w:eastAsia="Times New Roman" w:hAnsi="Times New Roman"/>
                <w:b w:val="false"/>
                <w:bCs w:val="false"/>
                <w:i w:val="false"/>
                <w:iCs w:val="false"/>
                <w:sz w:val="21"/>
                <w:szCs w:val="21"/>
              </w:rPr>
              <w:t xml:space="preserve">Realisasi menurut Ahli 64,70%</w:t>
            </w:r>
          </w:p>
        </w:tc>
        <w:tc>
          <w:tcPr>
            <w:tcW w:type="dxa" w:w="1600"/>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val="false"/>
                <w:bCs w:val="false"/>
                <w:i w:val="false"/>
                <w:iCs w:val="false"/>
                <w:sz w:val="21"/>
                <w:szCs w:val="21"/>
              </w:rPr>
              <w:t xml:space="preserve">Rp549.950.000,00</w:t>
            </w:r>
          </w:p>
        </w:tc>
        <w:tc>
          <w:tcPr>
            <w:tcW w:type="dxa" w:w="1600"/>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bCs/>
                <w:i w:val="false"/>
                <w:iCs w:val="false"/>
                <w:sz w:val="21"/>
                <w:szCs w:val="21"/>
              </w:rPr>
              <w:t xml:space="preserve">Rp50.050.000,00</w:t>
            </w:r>
          </w:p>
        </w:tc>
      </w:tr>
      <w:tr>
        <w:tc>
          <w:tcPr>
            <w:tcW w:type="dxa" w:w="1650"/>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val="false"/>
                <w:bCs w:val="false"/>
                <w:i w:val="false"/>
                <w:iCs w:val="false"/>
                <w:sz w:val="21"/>
                <w:szCs w:val="21"/>
              </w:rPr>
              <w:t xml:space="preserve">25 Juni 2026</w:t>
            </w:r>
          </w:p>
        </w:tc>
        <w:tc>
          <w:tcPr>
            <w:tcW w:type="dxa" w:w="1900"/>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val="false"/>
                <w:bCs w:val="false"/>
                <w:i w:val="false"/>
                <w:iCs w:val="false"/>
                <w:sz w:val="21"/>
                <w:szCs w:val="21"/>
              </w:rPr>
              <w:t xml:space="preserve">Rp600.000.000,00</w:t>
            </w:r>
          </w:p>
        </w:tc>
        <w:tc>
          <w:tcPr>
            <w:tcW w:type="dxa" w:w="2604"/>
            <w:tcMar>
              <w:top w:type="dxa" w:w="50"/>
              <w:left w:type="dxa" w:w="100"/>
              <w:bottom w:type="dxa" w:w="50"/>
              <w:right w:type="dxa" w:w="100"/>
            </w:tcMar>
            <w:vAlign w:val="center"/>
          </w:tcPr>
          <w:p>
            <w:pPr>
              <w:spacing w:after="30" w:before="30" w:line="250"/>
              <w:jc w:val="left"/>
            </w:pPr>
            <w:r>
              <w:rPr>
                <w:rFonts w:ascii="Times New Roman" w:cs="Times New Roman" w:eastAsia="Times New Roman" w:hAnsi="Times New Roman"/>
                <w:b w:val="false"/>
                <w:bCs w:val="false"/>
                <w:i w:val="false"/>
                <w:iCs w:val="false"/>
                <w:sz w:val="21"/>
                <w:szCs w:val="21"/>
              </w:rPr>
              <w:t xml:space="preserve">Realisasi menurut Ahli 66,16%</w:t>
            </w:r>
          </w:p>
        </w:tc>
        <w:tc>
          <w:tcPr>
            <w:tcW w:type="dxa" w:w="1600"/>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val="false"/>
                <w:bCs w:val="false"/>
                <w:i w:val="false"/>
                <w:iCs w:val="false"/>
                <w:sz w:val="21"/>
                <w:szCs w:val="21"/>
              </w:rPr>
              <w:t xml:space="preserve">Rp562.360.000,00</w:t>
            </w:r>
          </w:p>
        </w:tc>
        <w:tc>
          <w:tcPr>
            <w:tcW w:type="dxa" w:w="1600"/>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bCs/>
                <w:i w:val="false"/>
                <w:iCs w:val="false"/>
                <w:sz w:val="21"/>
                <w:szCs w:val="21"/>
              </w:rPr>
              <w:t xml:space="preserve">Rp37.640.000,00</w:t>
            </w:r>
          </w:p>
        </w:tc>
      </w:tr>
    </w:tbl>
    <w:p>
      <w:pPr>
        <w:spacing w:after="160" w:before="0" w:line="280"/>
        <w:jc w:val="left"/>
      </w:pPr>
      <w:r>
        <w:rPr>
          <w:rFonts w:ascii="Times New Roman" w:cs="Times New Roman" w:eastAsia="Times New Roman" w:hAnsi="Times New Roman"/>
          <w:b w:val="false"/>
          <w:bCs w:val="false"/>
          <w:i w:val="false"/>
          <w:iCs w:val="false"/>
          <w:sz w:val="24"/>
          <w:szCs w:val="24"/>
        </w:rPr>
        <w:t xml:space="preserve"/>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7.</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Tergugat mulai melaksanakan pekerjaan pada tanggal 16 Januari 2026 dengan pembongkaran interior lama, dan setelah pembongkaran tersebut Tergugat sendiri yang mengusulkan penyesuaian desain dan tata ruang bangunan melalui percakapan pesan elektronik kepada Penggugat (Bukti P-7). Dengan demikian penyesuaian desain tersebut berasal dari usulan Tergugat sendiri, bukan dari permintaan Penggugat;</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8.</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pada tanggal 20 Februari 2026 Penggugat menemukan keramik lantai yang dipasang Tergugat berwarna hitam, menyimpang dari spesifikasi yang diperjanjikan yaitu berwarna cokelat, dan Penggugat menyampaikan keberatan atas hal tersebut (Bukti P-8 dan Bukti P-9). Atas keberatan itu Tergugat berdalih keramik cokelat sedang tidak tersedia, namun Tergugat tetap memasang keramik hitam secara sepihak tanpa persetujuan tertulis Penggugat, dan menyatakan pemesanan keramik yang sesuai memerlukan waktu sekitar 6 (enam) minggu;</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9.</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pada tanggal 18 Maret 2026 diadakan pertemuan di lokasi antara Penggugat, Direktur Tergugat, dan pelaksana lapangan yang membahas beberapa perubahan mengenai plafon, pencahayaan, dan tata ruang area luar, namun perubahan tersebut hanya disepakati secara lisan dan tidak pernah dituangkan dalam addendum tertulis maupun berita acara perubahan pekerjaan, sehingga sesuai Perjanjian tidak mengubah lingkup, nilai, maupun jangka waktu pekerjaan;</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10.</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pada tanggal 22 April 2026 Penggugat mengingatkan Tergugat mengenai batas akhir penyelesaian pekerjaan pada tanggal 1 Mei 2026 (Bukti P-11), namun Tergugat justru menyampaikan bahwa waktu pengadaan keramik yang semula 6 minggu berubah menjadi waktu yang tidak dapat ditentukan;</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11.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w:t>
      </w:r>
      <w:r>
        <w:rPr>
          <w:rFonts w:ascii="Times New Roman" w:cs="Times New Roman" w:eastAsia="Times New Roman" w:hAnsi="Times New Roman"/>
          <w:b/>
          <w:bCs/>
          <w:i w:val="false"/>
          <w:iCs w:val="false"/>
          <w:sz w:val="24"/>
          <w:szCs w:val="24"/>
        </w:rPr>
        <w:t xml:space="preserve">BENTUK WANPRESTASI PERTAMA</w:t>
      </w:r>
      <w:r>
        <w:rPr>
          <w:rFonts w:ascii="Times New Roman" w:cs="Times New Roman" w:eastAsia="Times New Roman" w:hAnsi="Times New Roman"/>
          <w:b w:val="false"/>
          <w:bCs w:val="false"/>
          <w:i w:val="false"/>
          <w:iCs w:val="false"/>
          <w:sz w:val="24"/>
          <w:szCs w:val="24"/>
        </w:rPr>
        <w:t xml:space="preserve"> yang dilakukan Tergugat adalah terlambat memenuhi prestasi. Pada tanggal 1 Mei 2026 pekerjaan belum selesai dan bangunan belum dapat digunakan sebagai kafe, sedangkan menurut Laporan Pemeriksaan dan Pendapat Ahli (Bukti P-15) realisasi progres pekerjaan pada tanggal tersebut hanya 64,70% dengan nilai pekerjaan terpasang Rp549.950.000,00, diukur dengan metode bobot pekerjaan berdasarkan Rencana Anggaran Biaya yang disusun Tergugat sendiri. Oleh karena tidak pernah ada addendum tertulis yang mengubah jangka waktu, batas akhir tanggal 1 Mei 2026 tetap berlaku dan mengikat Tergugat, sehingga sejak tanggal 2 Mei 2026 Tergugat berada dalam keadaan lalai </w:t>
      </w:r>
      <w:r>
        <w:rPr>
          <w:rFonts w:ascii="Times New Roman" w:cs="Times New Roman" w:eastAsia="Times New Roman" w:hAnsi="Times New Roman"/>
          <w:b w:val="false"/>
          <w:bCs w:val="false"/>
          <w:i/>
          <w:iCs/>
          <w:sz w:val="24"/>
          <w:szCs w:val="24"/>
        </w:rPr>
        <w:t xml:space="preserve">berdasarkan kekuatan perikatan itu sendiri</w:t>
      </w:r>
      <w:r>
        <w:rPr>
          <w:rFonts w:ascii="Times New Roman" w:cs="Times New Roman" w:eastAsia="Times New Roman" w:hAnsi="Times New Roman"/>
          <w:b w:val="false"/>
          <w:bCs w:val="false"/>
          <w:i w:val="false"/>
          <w:iCs w:val="false"/>
          <w:sz w:val="24"/>
          <w:szCs w:val="24"/>
        </w:rPr>
        <w:t xml:space="preserve"> sebagaimana Pasal 1238 Kitab Undang-Undang Hukum Perdata, yaitu karena lewatnya waktu yang telah ditentukan dalam Perjanjian;</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w:t>
      </w:r>
      <w:r>
        <w:rPr>
          <w:rFonts w:ascii="Times New Roman" w:cs="Times New Roman" w:eastAsia="Times New Roman" w:hAnsi="Times New Roman"/>
          <w:b/>
          <w:bCs/>
          <w:i w:val="false"/>
          <w:iCs w:val="false"/>
          <w:sz w:val="24"/>
          <w:szCs w:val="24"/>
        </w:rPr>
        <w:t xml:space="preserve">BENTUK WANPRESTASI KEDUA</w:t>
      </w:r>
      <w:r>
        <w:rPr>
          <w:rFonts w:ascii="Times New Roman" w:cs="Times New Roman" w:eastAsia="Times New Roman" w:hAnsi="Times New Roman"/>
          <w:b w:val="false"/>
          <w:bCs w:val="false"/>
          <w:i w:val="false"/>
          <w:iCs w:val="false"/>
          <w:sz w:val="24"/>
          <w:szCs w:val="24"/>
        </w:rPr>
        <w:t xml:space="preserve"> yang dilakukan Tergugat adalah memenuhi prestasi tetapi tidak sebagaimana mestinya, yaitu memasang keramik lantai yang menyimpang dari spesifikasi. Warna keramik merupakan sifat bahan yang tidak dapat diubah setelah terpasang, sehingga satu-satunya cara memenuhi spesifikasi adalah pembongkaran seluruh keramik terpasang, perbaikan lapisan dasar, dan pemasangan ulang, dengan taksiran biaya Rp38.925.000,00 yang di dalamnya Rp10.000.000,00 merupakan biaya yang tidak akan timbul apabila Tergugat memasang keramik sesuai spesifikasi sejak semula. Adapun dalih ketidaktersediaan keramik tidak dapat diterima, karena keramik berukuran 60 cm x 60 cm berwarna cokelat permukaan matte merupakan produk reguler yang tersedia melalui jaringan distributor dengan waktu pengadaan lazim 2 sampai 4 minggu untuk volume 105 meter persegi, dan karena Tergugat telah menerima Termin I sebesar Rp450.000.000,00 yang di dalamnya termasuk dana pengadaan material;</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pada tanggal 8 Mei 2026, yaitu setelah Tergugat berada dalam keadaan lalai, Tergugat justru mengirimkan surat tagihan kepada Penggugat sebesar Rp185.000.000,00 (Bukti P-12), terdiri atas Rp100.000.000,00 sebagai pembayaran pekerjaan dan Rp85.000.000,00 sebagai biaya tambahan karena permintaan perpanjangan waktu selama 45 (empat puluh lima) hari;</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14.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tagihan Tergugat tersebut tidak mempunyai dasar hukum, dengan alasan:</w:t>
      </w:r>
    </w:p>
    <w:p>
      <w:pPr>
        <w:tabs>
          <w:tab w:val="left" w:pos="1180"/>
        </w:tabs>
        <w:spacing w:after="80" w:before="40" w:line="280"/>
        <w:ind w:left="1180" w:hanging="560"/>
        <w:jc w:val="both"/>
      </w:pPr>
      <w:r>
        <w:rPr>
          <w:rFonts w:ascii="Times New Roman" w:cs="Times New Roman" w:eastAsia="Times New Roman" w:hAnsi="Times New Roman"/>
          <w:b w:val="false"/>
          <w:bCs w:val="false"/>
          <w:i w:val="false"/>
          <w:iCs w:val="false"/>
          <w:sz w:val="24"/>
          <w:szCs w:val="24"/>
        </w:rPr>
        <w:t xml:space="preserve">a.</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Tagihan Rp100.000.000,00 merupakan bagian dari Termin IV yang belum jatuh tempo, karena pekerjaan belum selesai dan belum pernah diserahterimakan dalam kondisi siap beroperasi;</w:t>
      </w:r>
    </w:p>
    <w:p>
      <w:pPr>
        <w:tabs>
          <w:tab w:val="left" w:pos="1180"/>
        </w:tabs>
        <w:spacing w:after="80" w:before="40" w:line="280"/>
        <w:ind w:left="1180" w:hanging="560"/>
        <w:jc w:val="both"/>
      </w:pPr>
      <w:r>
        <w:rPr>
          <w:rFonts w:ascii="Times New Roman" w:cs="Times New Roman" w:eastAsia="Times New Roman" w:hAnsi="Times New Roman"/>
          <w:b w:val="false"/>
          <w:bCs w:val="false"/>
          <w:i w:val="false"/>
          <w:iCs w:val="false"/>
          <w:sz w:val="24"/>
          <w:szCs w:val="24"/>
        </w:rPr>
        <w:t xml:space="preserve">b.</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Tagihan Rp85.000.000,00 tidak pernah disepakati dalam addendum tertulis, sedangkan Perjanjian secara tegas mensyaratkan addendum tertulis bagi setiap perubahan nilai maupun jangka waktu;</w:t>
      </w:r>
    </w:p>
    <w:p>
      <w:pPr>
        <w:tabs>
          <w:tab w:val="left" w:pos="1180"/>
        </w:tabs>
        <w:spacing w:after="80" w:before="40" w:line="280"/>
        <w:ind w:left="1180" w:hanging="560"/>
        <w:jc w:val="both"/>
      </w:pPr>
      <w:r>
        <w:rPr>
          <w:rFonts w:ascii="Times New Roman" w:cs="Times New Roman" w:eastAsia="Times New Roman" w:hAnsi="Times New Roman"/>
          <w:b w:val="false"/>
          <w:bCs w:val="false"/>
          <w:i w:val="false"/>
          <w:iCs w:val="false"/>
          <w:sz w:val="24"/>
          <w:szCs w:val="24"/>
        </w:rPr>
        <w:t xml:space="preserve">c.</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Seluruh komponen yang ditagih ternyata telah berada di dalam lingkup Rencana Anggaran Biaya dengan nilai yang telah dianggarkan seluruhnya Rp151.500.000,00, yaitu plafon pada Item 5 senilai Rp58.000.000,00, pencahayaan pada Item 7 senilai Rp58.000.000,00, area luar pada Item 11 senilai Rp31.000.000,00, dan penyesuaian desain serta gambar revisi pada sub-item 14.2 senilai Rp4.500.000,00;</w:t>
      </w:r>
    </w:p>
    <w:p>
      <w:pPr>
        <w:tabs>
          <w:tab w:val="left" w:pos="1180"/>
        </w:tabs>
        <w:spacing w:after="80" w:before="40" w:line="280"/>
        <w:ind w:left="1180" w:hanging="560"/>
        <w:jc w:val="both"/>
      </w:pPr>
      <w:r>
        <w:rPr>
          <w:rFonts w:ascii="Times New Roman" w:cs="Times New Roman" w:eastAsia="Times New Roman" w:hAnsi="Times New Roman"/>
          <w:b w:val="false"/>
          <w:bCs w:val="false"/>
          <w:i w:val="false"/>
          <w:iCs w:val="false"/>
          <w:sz w:val="24"/>
          <w:szCs w:val="24"/>
        </w:rPr>
        <w:t xml:space="preserve">d.</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Biaya perpanjangan waktu tidak dapat dibebankan kepada Penggugat, karena kebutuhan perpanjangan waktu itu justru bersumber dari kelalaian Tergugat sendiri;</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15.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pada tanggal 15 Mei 2026 Penggugat menolak tagihan tersebut melalui sambungan telepon, dengan alasan pekerjaan belum selesai, belum dilakukan serah terima, serta tidak ada kesepakatan tertulis mengenai tambahan biaya maupun perpanjangan waktu. Setelah penolakan itu Tergugat menyatakan hanya bersedia melanjutkan pekerjaan apabila tagihan dipenuhi terlebih dahulu. Penangguhan prestasi oleh Tergugat tersebut tidak berdasar, karena Termin IV belum jatuh tempo dan karena Penggugat justru selalu membayar melebihi nilai prestasi Tergugat sebagaimana angka 6 di atas;</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16.</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w:t>
      </w:r>
      <w:r>
        <w:rPr>
          <w:rFonts w:ascii="Times New Roman" w:cs="Times New Roman" w:eastAsia="Times New Roman" w:hAnsi="Times New Roman"/>
          <w:b/>
          <w:bCs/>
          <w:i w:val="false"/>
          <w:iCs w:val="false"/>
          <w:sz w:val="24"/>
          <w:szCs w:val="24"/>
        </w:rPr>
        <w:t xml:space="preserve">BENTUK WANPRESTASI KETIGA</w:t>
      </w:r>
      <w:r>
        <w:rPr>
          <w:rFonts w:ascii="Times New Roman" w:cs="Times New Roman" w:eastAsia="Times New Roman" w:hAnsi="Times New Roman"/>
          <w:b w:val="false"/>
          <w:bCs w:val="false"/>
          <w:i w:val="false"/>
          <w:iCs w:val="false"/>
          <w:sz w:val="24"/>
          <w:szCs w:val="24"/>
        </w:rPr>
        <w:t xml:space="preserve"> yang dilakukan Tergugat adalah tidak memenuhi prestasi sama sekali. Pada tanggal 25 Juni 2026 Tergugat menghentikan seluruh pekerjaan dan menarik para pekerjanya dari lokasi (Bukti P-13), sehingga bangunan ditinggalkan dalam keadaan belum selesai dan sampai gugatan ini diajukan belum pernah diserahterimakan kepada Penggugat. Menurut Laporan Ahli, realisasi progres pada tanggal tersebut hanya 66,16% dengan nilai pekerjaan terpasang Rp562.360.000,00. Bahkan apabila permohonan perpanjangan waktu 45 hari yang diajukan Tergugat sendiri dianggap dikabulkan, </w:t>
      </w:r>
      <w:r>
        <w:rPr>
          <w:rFonts w:ascii="Times New Roman" w:cs="Times New Roman" w:eastAsia="Times New Roman" w:hAnsi="Times New Roman"/>
          <w:b w:val="false"/>
          <w:bCs w:val="false"/>
          <w:i/>
          <w:iCs/>
          <w:sz w:val="24"/>
          <w:szCs w:val="24"/>
        </w:rPr>
        <w:t xml:space="preserve">quod non</w:t>
      </w:r>
      <w:r>
        <w:rPr>
          <w:rFonts w:ascii="Times New Roman" w:cs="Times New Roman" w:eastAsia="Times New Roman" w:hAnsi="Times New Roman"/>
          <w:b w:val="false"/>
          <w:bCs w:val="false"/>
          <w:i w:val="false"/>
          <w:iCs w:val="false"/>
          <w:sz w:val="24"/>
          <w:szCs w:val="24"/>
        </w:rPr>
        <w:t xml:space="preserve">, pekerjaan seharusnya selesai pada tanggal 15 Juni 2026, sedangkan Tergugat baru menghentikan pekerjaan pada tanggal 25 Juni 2026 dalam keadaan belum selesai, yaitu 10 (sepuluh) hari setelah batas waktu yang ditentukan Tergugat sendiri;</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17.</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Penggugat telah menempuh upaya penyelesaian di luar pengadilan, yaitu melalui musyawarah yang diadakan pada tanggal 20 Juli 2026 antara Penggugat dan Tergugat, yang tidak menghasilkan kesepakatan karena Tergugat tetap menuntut pembayaran atas pekerjaan tambahan yang tidak pernah disepakati secara tertulis, sehingga tidak terdapat lagi jalan penyelesaian selain melalui gugatan ini;</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18.</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dalil-dalil Tergugat yang menyatakan keterlambatan disebabkan oleh kondisi struktur bangunan, perubahan desain dan tata ruang, penyesuaian kitchen dan bar, serta perubahan plafon dan pencahayaan, seluruhnya tidak dapat diterima, karena semua hal tersebut ternyata telah diperhitungkan dan dianggarkan di dalam Rencana Anggaran Biaya yang disusun Tergugat sendiri, sebagaimana tabel berikut:</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554"/>
        <w:gridCol w:w="2300"/>
        <w:gridCol w:w="1900"/>
        <w:gridCol w:w="1600"/>
      </w:tblGrid>
      <w:tr>
        <w:trPr>
          <w:tblHeader/>
        </w:trPr>
        <w:tc>
          <w:tcPr>
            <w:tcW w:type="dxa" w:w="3554"/>
            <w:shd w:fill="D9D9D9" w:color="auto" w:val="clear"/>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bCs/>
                <w:i w:val="false"/>
                <w:iCs w:val="false"/>
                <w:sz w:val="21"/>
                <w:szCs w:val="21"/>
              </w:rPr>
              <w:t xml:space="preserve">Dalil Tergugat</w:t>
            </w:r>
          </w:p>
        </w:tc>
        <w:tc>
          <w:tcPr>
            <w:tcW w:type="dxa" w:w="2300"/>
            <w:shd w:fill="D9D9D9" w:color="auto" w:val="clear"/>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bCs/>
                <w:i w:val="false"/>
                <w:iCs w:val="false"/>
                <w:sz w:val="21"/>
                <w:szCs w:val="21"/>
              </w:rPr>
              <w:t xml:space="preserve">Item RAB yang memuat</w:t>
            </w:r>
          </w:p>
        </w:tc>
        <w:tc>
          <w:tcPr>
            <w:tcW w:type="dxa" w:w="1900"/>
            <w:shd w:fill="D9D9D9" w:color="auto" w:val="clear"/>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bCs/>
                <w:i w:val="false"/>
                <w:iCs w:val="false"/>
                <w:sz w:val="21"/>
                <w:szCs w:val="21"/>
              </w:rPr>
              <w:t xml:space="preserve">Nilai Dianggarkan</w:t>
            </w:r>
          </w:p>
        </w:tc>
        <w:tc>
          <w:tcPr>
            <w:tcW w:type="dxa" w:w="1600"/>
            <w:shd w:fill="D9D9D9" w:color="auto" w:val="clear"/>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bCs/>
                <w:i w:val="false"/>
                <w:iCs w:val="false"/>
                <w:sz w:val="21"/>
                <w:szCs w:val="21"/>
              </w:rPr>
              <w:t xml:space="preserve">Bobot</w:t>
            </w:r>
          </w:p>
        </w:tc>
      </w:tr>
      <w:tr>
        <w:tc>
          <w:tcPr>
            <w:tcW w:type="dxa" w:w="3554"/>
            <w:tcMar>
              <w:top w:type="dxa" w:w="50"/>
              <w:left w:type="dxa" w:w="100"/>
              <w:bottom w:type="dxa" w:w="50"/>
              <w:right w:type="dxa" w:w="100"/>
            </w:tcMar>
            <w:vAlign w:val="center"/>
          </w:tcPr>
          <w:p>
            <w:pPr>
              <w:spacing w:after="30" w:before="30" w:line="250"/>
              <w:jc w:val="left"/>
            </w:pPr>
            <w:r>
              <w:rPr>
                <w:rFonts w:ascii="Times New Roman" w:cs="Times New Roman" w:eastAsia="Times New Roman" w:hAnsi="Times New Roman"/>
                <w:b w:val="false"/>
                <w:bCs w:val="false"/>
                <w:i w:val="false"/>
                <w:iCs w:val="false"/>
                <w:sz w:val="21"/>
                <w:szCs w:val="21"/>
              </w:rPr>
              <w:t xml:space="preserve">Kondisi struktur bangunan berbeda dari asumsi awal</w:t>
            </w:r>
          </w:p>
        </w:tc>
        <w:tc>
          <w:tcPr>
            <w:tcW w:type="dxa" w:w="2300"/>
            <w:tcMar>
              <w:top w:type="dxa" w:w="50"/>
              <w:left w:type="dxa" w:w="100"/>
              <w:bottom w:type="dxa" w:w="50"/>
              <w:right w:type="dxa" w:w="100"/>
            </w:tcMar>
            <w:vAlign w:val="center"/>
          </w:tcPr>
          <w:p>
            <w:pPr>
              <w:spacing w:after="30" w:before="30" w:line="250"/>
              <w:jc w:val="left"/>
            </w:pPr>
            <w:r>
              <w:rPr>
                <w:rFonts w:ascii="Times New Roman" w:cs="Times New Roman" w:eastAsia="Times New Roman" w:hAnsi="Times New Roman"/>
                <w:b w:val="false"/>
                <w:bCs w:val="false"/>
                <w:i w:val="false"/>
                <w:iCs w:val="false"/>
                <w:sz w:val="21"/>
                <w:szCs w:val="21"/>
              </w:rPr>
              <w:t xml:space="preserve">Item 2, termasuk sub-item 2.8 pos cadangan Rp8.280.000,00</w:t>
            </w:r>
          </w:p>
        </w:tc>
        <w:tc>
          <w:tcPr>
            <w:tcW w:type="dxa" w:w="1900"/>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val="false"/>
                <w:bCs w:val="false"/>
                <w:i w:val="false"/>
                <w:iCs w:val="false"/>
                <w:sz w:val="21"/>
                <w:szCs w:val="21"/>
              </w:rPr>
              <w:t xml:space="preserve">Rp108.000.000,00</w:t>
            </w:r>
          </w:p>
        </w:tc>
        <w:tc>
          <w:tcPr>
            <w:tcW w:type="dxa" w:w="1600"/>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val="false"/>
                <w:bCs w:val="false"/>
                <w:i w:val="false"/>
                <w:iCs w:val="false"/>
                <w:sz w:val="21"/>
                <w:szCs w:val="21"/>
              </w:rPr>
              <w:t xml:space="preserve">14,10%</w:t>
            </w:r>
          </w:p>
        </w:tc>
      </w:tr>
      <w:tr>
        <w:tc>
          <w:tcPr>
            <w:tcW w:type="dxa" w:w="3554"/>
            <w:tcMar>
              <w:top w:type="dxa" w:w="50"/>
              <w:left w:type="dxa" w:w="100"/>
              <w:bottom w:type="dxa" w:w="50"/>
              <w:right w:type="dxa" w:w="100"/>
            </w:tcMar>
            <w:vAlign w:val="center"/>
          </w:tcPr>
          <w:p>
            <w:pPr>
              <w:spacing w:after="30" w:before="30" w:line="250"/>
              <w:jc w:val="left"/>
            </w:pPr>
            <w:r>
              <w:rPr>
                <w:rFonts w:ascii="Times New Roman" w:cs="Times New Roman" w:eastAsia="Times New Roman" w:hAnsi="Times New Roman"/>
                <w:b w:val="false"/>
                <w:bCs w:val="false"/>
                <w:i w:val="false"/>
                <w:iCs w:val="false"/>
                <w:sz w:val="21"/>
                <w:szCs w:val="21"/>
              </w:rPr>
              <w:t xml:space="preserve">Perubahan desain dan tata ruang</w:t>
            </w:r>
          </w:p>
        </w:tc>
        <w:tc>
          <w:tcPr>
            <w:tcW w:type="dxa" w:w="2300"/>
            <w:tcMar>
              <w:top w:type="dxa" w:w="50"/>
              <w:left w:type="dxa" w:w="100"/>
              <w:bottom w:type="dxa" w:w="50"/>
              <w:right w:type="dxa" w:w="100"/>
            </w:tcMar>
            <w:vAlign w:val="center"/>
          </w:tcPr>
          <w:p>
            <w:pPr>
              <w:spacing w:after="30" w:before="30" w:line="250"/>
              <w:jc w:val="left"/>
            </w:pPr>
            <w:r>
              <w:rPr>
                <w:rFonts w:ascii="Times New Roman" w:cs="Times New Roman" w:eastAsia="Times New Roman" w:hAnsi="Times New Roman"/>
                <w:b w:val="false"/>
                <w:bCs w:val="false"/>
                <w:i w:val="false"/>
                <w:iCs w:val="false"/>
                <w:sz w:val="21"/>
                <w:szCs w:val="21"/>
              </w:rPr>
              <w:t xml:space="preserve">Item 14, termasuk sub-item 14.2 gambar revisi</w:t>
            </w:r>
          </w:p>
        </w:tc>
        <w:tc>
          <w:tcPr>
            <w:tcW w:type="dxa" w:w="1900"/>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val="false"/>
                <w:bCs w:val="false"/>
                <w:i w:val="false"/>
                <w:iCs w:val="false"/>
                <w:sz w:val="21"/>
                <w:szCs w:val="21"/>
              </w:rPr>
              <w:t xml:space="preserve">Rp59.765.766,00</w:t>
            </w:r>
          </w:p>
        </w:tc>
        <w:tc>
          <w:tcPr>
            <w:tcW w:type="dxa" w:w="1600"/>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val="false"/>
                <w:bCs w:val="false"/>
                <w:i w:val="false"/>
                <w:iCs w:val="false"/>
                <w:sz w:val="21"/>
                <w:szCs w:val="21"/>
              </w:rPr>
              <w:t xml:space="preserve">7,81%</w:t>
            </w:r>
          </w:p>
        </w:tc>
      </w:tr>
      <w:tr>
        <w:tc>
          <w:tcPr>
            <w:tcW w:type="dxa" w:w="3554"/>
            <w:tcMar>
              <w:top w:type="dxa" w:w="50"/>
              <w:left w:type="dxa" w:w="100"/>
              <w:bottom w:type="dxa" w:w="50"/>
              <w:right w:type="dxa" w:w="100"/>
            </w:tcMar>
            <w:vAlign w:val="center"/>
          </w:tcPr>
          <w:p>
            <w:pPr>
              <w:spacing w:after="30" w:before="30" w:line="250"/>
              <w:jc w:val="left"/>
            </w:pPr>
            <w:r>
              <w:rPr>
                <w:rFonts w:ascii="Times New Roman" w:cs="Times New Roman" w:eastAsia="Times New Roman" w:hAnsi="Times New Roman"/>
                <w:b w:val="false"/>
                <w:bCs w:val="false"/>
                <w:i w:val="false"/>
                <w:iCs w:val="false"/>
                <w:sz w:val="21"/>
                <w:szCs w:val="21"/>
              </w:rPr>
              <w:t xml:space="preserve">Penyesuaian kitchen dan bar</w:t>
            </w:r>
          </w:p>
        </w:tc>
        <w:tc>
          <w:tcPr>
            <w:tcW w:type="dxa" w:w="2300"/>
            <w:tcMar>
              <w:top w:type="dxa" w:w="50"/>
              <w:left w:type="dxa" w:w="100"/>
              <w:bottom w:type="dxa" w:w="50"/>
              <w:right w:type="dxa" w:w="100"/>
            </w:tcMar>
            <w:vAlign w:val="center"/>
          </w:tcPr>
          <w:p>
            <w:pPr>
              <w:spacing w:after="30" w:before="30" w:line="250"/>
              <w:jc w:val="left"/>
            </w:pPr>
            <w:r>
              <w:rPr>
                <w:rFonts w:ascii="Times New Roman" w:cs="Times New Roman" w:eastAsia="Times New Roman" w:hAnsi="Times New Roman"/>
                <w:b w:val="false"/>
                <w:bCs w:val="false"/>
                <w:i w:val="false"/>
                <w:iCs w:val="false"/>
                <w:sz w:val="21"/>
                <w:szCs w:val="21"/>
              </w:rPr>
              <w:t xml:space="preserve">Item 9</w:t>
            </w:r>
          </w:p>
        </w:tc>
        <w:tc>
          <w:tcPr>
            <w:tcW w:type="dxa" w:w="1900"/>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val="false"/>
                <w:bCs w:val="false"/>
                <w:i w:val="false"/>
                <w:iCs w:val="false"/>
                <w:sz w:val="21"/>
                <w:szCs w:val="21"/>
              </w:rPr>
              <w:t xml:space="preserve">Rp80.000.000,00</w:t>
            </w:r>
          </w:p>
        </w:tc>
        <w:tc>
          <w:tcPr>
            <w:tcW w:type="dxa" w:w="1600"/>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val="false"/>
                <w:bCs w:val="false"/>
                <w:i w:val="false"/>
                <w:iCs w:val="false"/>
                <w:sz w:val="21"/>
                <w:szCs w:val="21"/>
              </w:rPr>
              <w:t xml:space="preserve">10,45%</w:t>
            </w:r>
          </w:p>
        </w:tc>
      </w:tr>
      <w:tr>
        <w:tc>
          <w:tcPr>
            <w:tcW w:type="dxa" w:w="3554"/>
            <w:tcMar>
              <w:top w:type="dxa" w:w="50"/>
              <w:left w:type="dxa" w:w="100"/>
              <w:bottom w:type="dxa" w:w="50"/>
              <w:right w:type="dxa" w:w="100"/>
            </w:tcMar>
            <w:vAlign w:val="center"/>
          </w:tcPr>
          <w:p>
            <w:pPr>
              <w:spacing w:after="30" w:before="30" w:line="250"/>
              <w:jc w:val="left"/>
            </w:pPr>
            <w:r>
              <w:rPr>
                <w:rFonts w:ascii="Times New Roman" w:cs="Times New Roman" w:eastAsia="Times New Roman" w:hAnsi="Times New Roman"/>
                <w:b w:val="false"/>
                <w:bCs w:val="false"/>
                <w:i w:val="false"/>
                <w:iCs w:val="false"/>
                <w:sz w:val="21"/>
                <w:szCs w:val="21"/>
              </w:rPr>
              <w:t xml:space="preserve">Perubahan plafon</w:t>
            </w:r>
          </w:p>
        </w:tc>
        <w:tc>
          <w:tcPr>
            <w:tcW w:type="dxa" w:w="2300"/>
            <w:tcMar>
              <w:top w:type="dxa" w:w="50"/>
              <w:left w:type="dxa" w:w="100"/>
              <w:bottom w:type="dxa" w:w="50"/>
              <w:right w:type="dxa" w:w="100"/>
            </w:tcMar>
            <w:vAlign w:val="center"/>
          </w:tcPr>
          <w:p>
            <w:pPr>
              <w:spacing w:after="30" w:before="30" w:line="250"/>
              <w:jc w:val="left"/>
            </w:pPr>
            <w:r>
              <w:rPr>
                <w:rFonts w:ascii="Times New Roman" w:cs="Times New Roman" w:eastAsia="Times New Roman" w:hAnsi="Times New Roman"/>
                <w:b w:val="false"/>
                <w:bCs w:val="false"/>
                <w:i w:val="false"/>
                <w:iCs w:val="false"/>
                <w:sz w:val="21"/>
                <w:szCs w:val="21"/>
              </w:rPr>
              <w:t xml:space="preserve">Item 5</w:t>
            </w:r>
          </w:p>
        </w:tc>
        <w:tc>
          <w:tcPr>
            <w:tcW w:type="dxa" w:w="1900"/>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val="false"/>
                <w:bCs w:val="false"/>
                <w:i w:val="false"/>
                <w:iCs w:val="false"/>
                <w:sz w:val="21"/>
                <w:szCs w:val="21"/>
              </w:rPr>
              <w:t xml:space="preserve">Rp58.000.000,00</w:t>
            </w:r>
          </w:p>
        </w:tc>
        <w:tc>
          <w:tcPr>
            <w:tcW w:type="dxa" w:w="1600"/>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val="false"/>
                <w:bCs w:val="false"/>
                <w:i w:val="false"/>
                <w:iCs w:val="false"/>
                <w:sz w:val="21"/>
                <w:szCs w:val="21"/>
              </w:rPr>
              <w:t xml:space="preserve">7,57%</w:t>
            </w:r>
          </w:p>
        </w:tc>
      </w:tr>
      <w:tr>
        <w:tc>
          <w:tcPr>
            <w:tcW w:type="dxa" w:w="3554"/>
            <w:tcMar>
              <w:top w:type="dxa" w:w="50"/>
              <w:left w:type="dxa" w:w="100"/>
              <w:bottom w:type="dxa" w:w="50"/>
              <w:right w:type="dxa" w:w="100"/>
            </w:tcMar>
            <w:vAlign w:val="center"/>
          </w:tcPr>
          <w:p>
            <w:pPr>
              <w:spacing w:after="30" w:before="30" w:line="250"/>
              <w:jc w:val="left"/>
            </w:pPr>
            <w:r>
              <w:rPr>
                <w:rFonts w:ascii="Times New Roman" w:cs="Times New Roman" w:eastAsia="Times New Roman" w:hAnsi="Times New Roman"/>
                <w:b w:val="false"/>
                <w:bCs w:val="false"/>
                <w:i w:val="false"/>
                <w:iCs w:val="false"/>
                <w:sz w:val="21"/>
                <w:szCs w:val="21"/>
              </w:rPr>
              <w:t xml:space="preserve">Perubahan pencahayaan</w:t>
            </w:r>
          </w:p>
        </w:tc>
        <w:tc>
          <w:tcPr>
            <w:tcW w:type="dxa" w:w="2300"/>
            <w:tcMar>
              <w:top w:type="dxa" w:w="50"/>
              <w:left w:type="dxa" w:w="100"/>
              <w:bottom w:type="dxa" w:w="50"/>
              <w:right w:type="dxa" w:w="100"/>
            </w:tcMar>
            <w:vAlign w:val="center"/>
          </w:tcPr>
          <w:p>
            <w:pPr>
              <w:spacing w:after="30" w:before="30" w:line="250"/>
              <w:jc w:val="left"/>
            </w:pPr>
            <w:r>
              <w:rPr>
                <w:rFonts w:ascii="Times New Roman" w:cs="Times New Roman" w:eastAsia="Times New Roman" w:hAnsi="Times New Roman"/>
                <w:b w:val="false"/>
                <w:bCs w:val="false"/>
                <w:i w:val="false"/>
                <w:iCs w:val="false"/>
                <w:sz w:val="21"/>
                <w:szCs w:val="21"/>
              </w:rPr>
              <w:t xml:space="preserve">Item 7</w:t>
            </w:r>
          </w:p>
        </w:tc>
        <w:tc>
          <w:tcPr>
            <w:tcW w:type="dxa" w:w="1900"/>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val="false"/>
                <w:bCs w:val="false"/>
                <w:i w:val="false"/>
                <w:iCs w:val="false"/>
                <w:sz w:val="21"/>
                <w:szCs w:val="21"/>
              </w:rPr>
              <w:t xml:space="preserve">Rp58.000.000,00</w:t>
            </w:r>
          </w:p>
        </w:tc>
        <w:tc>
          <w:tcPr>
            <w:tcW w:type="dxa" w:w="1600"/>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val="false"/>
                <w:bCs w:val="false"/>
                <w:i w:val="false"/>
                <w:iCs w:val="false"/>
                <w:sz w:val="21"/>
                <w:szCs w:val="21"/>
              </w:rPr>
              <w:t xml:space="preserve">7,57%</w:t>
            </w:r>
          </w:p>
        </w:tc>
      </w:tr>
      <w:tr>
        <w:tc>
          <w:tcPr>
            <w:tcW w:type="dxa" w:w="3554"/>
            <w:tcMar>
              <w:top w:type="dxa" w:w="50"/>
              <w:left w:type="dxa" w:w="100"/>
              <w:bottom w:type="dxa" w:w="50"/>
              <w:right w:type="dxa" w:w="100"/>
            </w:tcMar>
            <w:vAlign w:val="center"/>
          </w:tcPr>
          <w:p>
            <w:pPr>
              <w:spacing w:after="30" w:before="30" w:line="250"/>
              <w:jc w:val="left"/>
            </w:pPr>
            <w:r>
              <w:rPr>
                <w:rFonts w:ascii="Times New Roman" w:cs="Times New Roman" w:eastAsia="Times New Roman" w:hAnsi="Times New Roman"/>
                <w:b w:val="false"/>
                <w:bCs w:val="false"/>
                <w:i w:val="false"/>
                <w:iCs w:val="false"/>
                <w:sz w:val="21"/>
                <w:szCs w:val="21"/>
              </w:rPr>
              <w:t xml:space="preserve">Perubahan tata ruang area luar</w:t>
            </w:r>
          </w:p>
        </w:tc>
        <w:tc>
          <w:tcPr>
            <w:tcW w:type="dxa" w:w="2300"/>
            <w:tcMar>
              <w:top w:type="dxa" w:w="50"/>
              <w:left w:type="dxa" w:w="100"/>
              <w:bottom w:type="dxa" w:w="50"/>
              <w:right w:type="dxa" w:w="100"/>
            </w:tcMar>
            <w:vAlign w:val="center"/>
          </w:tcPr>
          <w:p>
            <w:pPr>
              <w:spacing w:after="30" w:before="30" w:line="250"/>
              <w:jc w:val="left"/>
            </w:pPr>
            <w:r>
              <w:rPr>
                <w:rFonts w:ascii="Times New Roman" w:cs="Times New Roman" w:eastAsia="Times New Roman" w:hAnsi="Times New Roman"/>
                <w:b w:val="false"/>
                <w:bCs w:val="false"/>
                <w:i w:val="false"/>
                <w:iCs w:val="false"/>
                <w:sz w:val="21"/>
                <w:szCs w:val="21"/>
              </w:rPr>
              <w:t xml:space="preserve">Item 11</w:t>
            </w:r>
          </w:p>
        </w:tc>
        <w:tc>
          <w:tcPr>
            <w:tcW w:type="dxa" w:w="1900"/>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val="false"/>
                <w:bCs w:val="false"/>
                <w:i w:val="false"/>
                <w:iCs w:val="false"/>
                <w:sz w:val="21"/>
                <w:szCs w:val="21"/>
              </w:rPr>
              <w:t xml:space="preserve">Rp31.000.000,00</w:t>
            </w:r>
          </w:p>
        </w:tc>
        <w:tc>
          <w:tcPr>
            <w:tcW w:type="dxa" w:w="1600"/>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val="false"/>
                <w:bCs w:val="false"/>
                <w:i w:val="false"/>
                <w:iCs w:val="false"/>
                <w:sz w:val="21"/>
                <w:szCs w:val="21"/>
              </w:rPr>
              <w:t xml:space="preserve">4,05%</w:t>
            </w:r>
          </w:p>
        </w:tc>
      </w:tr>
    </w:tbl>
    <w:p>
      <w:pPr>
        <w:spacing w:after="160" w:before="0" w:line="280"/>
        <w:jc w:val="left"/>
      </w:pPr>
      <w:r>
        <w:rPr>
          <w:rFonts w:ascii="Times New Roman" w:cs="Times New Roman" w:eastAsia="Times New Roman" w:hAnsi="Times New Roman"/>
          <w:b w:val="false"/>
          <w:bCs w:val="false"/>
          <w:i w:val="false"/>
          <w:iCs w:val="false"/>
          <w:sz w:val="24"/>
          <w:szCs w:val="24"/>
        </w:rPr>
        <w:t xml:space="preserve"/>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19.</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dengan demikian risiko dan pekerjaan yang dijadikan dalih oleh Tergugat justru telah dihargai, dianggarkan, dan telah dibayar oleh Penggugat di dalam nilai kontrak, sehingga Tergugat tidak dapat menjadikan risiko yang ia sendiri hargai dan terima pembayarannya sebagai dalih pembenar atas keterlambatannya. Demikian pula dalil Tergugat mengenai penghentian pembayaran bertentangan dengan fakta, karena sampai tanggal 10 April 2026 Penggugat telah membayar Rp600.000.000,00 sedangkan nilai pekerjaan terpasang pada tanggal 1 Mei 2026 hanya Rp549.950.000,00;</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20.</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akibat wanprestasi Tergugat tersebut Penggugat mengalami kerugian materiil yang nyata dan dapat dihitung sebagaimana dimaksud Pasal 1243 juncto Pasal 1246 Kitab Undang-Undang Hukum Perdata, dihitung atas dasar keadaan pekerjaan pada tanggal 25 Juni 2026 yaitu keadaan pada saat Tergugat meninggalkan lokasi, dengan rincian:</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54"/>
        <w:gridCol w:w="2500"/>
      </w:tblGrid>
      <w:tr>
        <w:tc>
          <w:tcPr>
            <w:tcW w:type="dxa" w:w="6854"/>
            <w:tcMar>
              <w:top w:type="dxa" w:w="50"/>
              <w:left w:type="dxa" w:w="100"/>
              <w:bottom w:type="dxa" w:w="50"/>
              <w:right w:type="dxa" w:w="100"/>
            </w:tcMar>
            <w:vAlign w:val="center"/>
          </w:tcPr>
          <w:p>
            <w:pPr>
              <w:spacing w:after="30" w:before="30" w:line="250"/>
              <w:jc w:val="left"/>
            </w:pPr>
            <w:r>
              <w:rPr>
                <w:rFonts w:ascii="Times New Roman" w:cs="Times New Roman" w:eastAsia="Times New Roman" w:hAnsi="Times New Roman"/>
                <w:b w:val="false"/>
                <w:bCs w:val="false"/>
                <w:i w:val="false"/>
                <w:iCs w:val="false"/>
                <w:sz w:val="21"/>
                <w:szCs w:val="21"/>
              </w:rPr>
              <w:t xml:space="preserve">A. Pengembalian kelebihan pembayaran, yaitu Rp600.000.000,00 dikurangi nilai pekerjaan terpasang Rp562.360.000,00</w:t>
            </w:r>
          </w:p>
        </w:tc>
        <w:tc>
          <w:tcPr>
            <w:tcW w:type="dxa" w:w="2500"/>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val="false"/>
                <w:bCs w:val="false"/>
                <w:i w:val="false"/>
                <w:iCs w:val="false"/>
                <w:sz w:val="21"/>
                <w:szCs w:val="21"/>
              </w:rPr>
              <w:t xml:space="preserve">Rp37.640.000,00</w:t>
            </w:r>
          </w:p>
        </w:tc>
      </w:tr>
      <w:tr>
        <w:tc>
          <w:tcPr>
            <w:tcW w:type="dxa" w:w="6854"/>
            <w:tcMar>
              <w:top w:type="dxa" w:w="50"/>
              <w:left w:type="dxa" w:w="100"/>
              <w:bottom w:type="dxa" w:w="50"/>
              <w:right w:type="dxa" w:w="100"/>
            </w:tcMar>
            <w:vAlign w:val="center"/>
          </w:tcPr>
          <w:p>
            <w:pPr>
              <w:spacing w:after="30" w:before="30" w:line="250"/>
              <w:jc w:val="left"/>
            </w:pPr>
            <w:r>
              <w:rPr>
                <w:rFonts w:ascii="Times New Roman" w:cs="Times New Roman" w:eastAsia="Times New Roman" w:hAnsi="Times New Roman"/>
                <w:b w:val="false"/>
                <w:bCs w:val="false"/>
                <w:i w:val="false"/>
                <w:iCs w:val="false"/>
                <w:sz w:val="21"/>
                <w:szCs w:val="21"/>
              </w:rPr>
              <w:t xml:space="preserve">B. Denda keterlambatan 1‰ per hari kalender dari nilai kontrak, dengan plafon 5% dari nilai kontrak</w:t>
            </w:r>
          </w:p>
        </w:tc>
        <w:tc>
          <w:tcPr>
            <w:tcW w:type="dxa" w:w="2500"/>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val="false"/>
                <w:bCs w:val="false"/>
                <w:i w:val="false"/>
                <w:iCs w:val="false"/>
                <w:sz w:val="21"/>
                <w:szCs w:val="21"/>
              </w:rPr>
              <w:t xml:space="preserve">Rp42.500.000,00</w:t>
            </w:r>
          </w:p>
        </w:tc>
      </w:tr>
      <w:tr>
        <w:tc>
          <w:tcPr>
            <w:tcW w:type="dxa" w:w="6854"/>
            <w:tcMar>
              <w:top w:type="dxa" w:w="50"/>
              <w:left w:type="dxa" w:w="100"/>
              <w:bottom w:type="dxa" w:w="50"/>
              <w:right w:type="dxa" w:w="100"/>
            </w:tcMar>
            <w:vAlign w:val="center"/>
          </w:tcPr>
          <w:p>
            <w:pPr>
              <w:spacing w:after="30" w:before="30" w:line="250"/>
              <w:jc w:val="left"/>
            </w:pPr>
            <w:r>
              <w:rPr>
                <w:rFonts w:ascii="Times New Roman" w:cs="Times New Roman" w:eastAsia="Times New Roman" w:hAnsi="Times New Roman"/>
                <w:b w:val="false"/>
                <w:bCs w:val="false"/>
                <w:i w:val="false"/>
                <w:iCs w:val="false"/>
                <w:sz w:val="21"/>
                <w:szCs w:val="21"/>
              </w:rPr>
              <w:t xml:space="preserve">C. Biaya pembongkaran keramik, pengangkutan puing, dan perbaikan lapisan dasar, termasuk pajak</w:t>
            </w:r>
          </w:p>
        </w:tc>
        <w:tc>
          <w:tcPr>
            <w:tcW w:type="dxa" w:w="2500"/>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val="false"/>
                <w:bCs w:val="false"/>
                <w:i w:val="false"/>
                <w:iCs w:val="false"/>
                <w:sz w:val="21"/>
                <w:szCs w:val="21"/>
              </w:rPr>
              <w:t xml:space="preserve">Rp11.100.000,00</w:t>
            </w:r>
          </w:p>
        </w:tc>
      </w:tr>
      <w:tr>
        <w:tc>
          <w:tcPr>
            <w:tcW w:type="dxa" w:w="6854"/>
            <w:tcMar>
              <w:top w:type="dxa" w:w="50"/>
              <w:left w:type="dxa" w:w="100"/>
              <w:bottom w:type="dxa" w:w="50"/>
              <w:right w:type="dxa" w:w="100"/>
            </w:tcMar>
            <w:vAlign w:val="center"/>
          </w:tcPr>
          <w:p>
            <w:pPr>
              <w:spacing w:after="30" w:before="30" w:line="250"/>
              <w:jc w:val="left"/>
            </w:pPr>
            <w:r>
              <w:rPr>
                <w:rFonts w:ascii="Times New Roman" w:cs="Times New Roman" w:eastAsia="Times New Roman" w:hAnsi="Times New Roman"/>
                <w:b w:val="false"/>
                <w:bCs w:val="false"/>
                <w:i w:val="false"/>
                <w:iCs w:val="false"/>
                <w:sz w:val="21"/>
                <w:szCs w:val="21"/>
              </w:rPr>
              <w:t xml:space="preserve">D. Eskalasi harga dan biaya mobilisasi pelaksana pengganti, termasuk pajak</w:t>
            </w:r>
          </w:p>
        </w:tc>
        <w:tc>
          <w:tcPr>
            <w:tcW w:type="dxa" w:w="2500"/>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val="false"/>
                <w:bCs w:val="false"/>
                <w:i w:val="false"/>
                <w:iCs w:val="false"/>
                <w:sz w:val="21"/>
                <w:szCs w:val="21"/>
              </w:rPr>
              <w:t xml:space="preserve">Rp35.848.800,00</w:t>
            </w:r>
          </w:p>
        </w:tc>
      </w:tr>
      <w:tr>
        <w:tc>
          <w:tcPr>
            <w:tcW w:type="dxa" w:w="6854"/>
            <w:shd w:fill="E8E8E8" w:color="auto" w:val="clear"/>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bCs/>
                <w:i w:val="false"/>
                <w:iCs w:val="false"/>
                <w:sz w:val="21"/>
                <w:szCs w:val="21"/>
              </w:rPr>
              <w:t xml:space="preserve">JUMLAH KERUGIAN MATERIIL</w:t>
            </w:r>
          </w:p>
        </w:tc>
        <w:tc>
          <w:tcPr>
            <w:tcW w:type="dxa" w:w="2500"/>
            <w:shd w:fill="E8E8E8" w:color="auto" w:val="clear"/>
            <w:tcMar>
              <w:top w:type="dxa" w:w="50"/>
              <w:left w:type="dxa" w:w="100"/>
              <w:bottom w:type="dxa" w:w="50"/>
              <w:right w:type="dxa" w:w="100"/>
            </w:tcMar>
            <w:vAlign w:val="center"/>
          </w:tcPr>
          <w:p>
            <w:pPr>
              <w:spacing w:after="30" w:before="30" w:line="250"/>
              <w:jc w:val="right"/>
            </w:pPr>
            <w:r>
              <w:rPr>
                <w:rFonts w:ascii="Times New Roman" w:cs="Times New Roman" w:eastAsia="Times New Roman" w:hAnsi="Times New Roman"/>
                <w:b/>
                <w:bCs/>
                <w:i w:val="false"/>
                <w:iCs w:val="false"/>
                <w:sz w:val="21"/>
                <w:szCs w:val="21"/>
              </w:rPr>
              <w:t xml:space="preserve">Rp127.088.800,00</w:t>
            </w:r>
          </w:p>
        </w:tc>
      </w:tr>
    </w:tbl>
    <w:p>
      <w:pPr>
        <w:spacing w:after="160" w:before="0" w:line="280"/>
        <w:jc w:val="left"/>
      </w:pPr>
      <w:r>
        <w:rPr>
          <w:rFonts w:ascii="Times New Roman" w:cs="Times New Roman" w:eastAsia="Times New Roman" w:hAnsi="Times New Roman"/>
          <w:b w:val="false"/>
          <w:bCs w:val="false"/>
          <w:i w:val="false"/>
          <w:iCs w:val="false"/>
          <w:sz w:val="24"/>
          <w:szCs w:val="24"/>
        </w:rPr>
        <w:t xml:space="preserve"/>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21.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selain kerugian tersebut, menurut Laporan Ahli taksiran biaya untuk menyelesaikan sisa pekerjaan sebesar 33,84% adalah Rp334.588.800,00, sedangkan dana kontrak yang belum dibayarkan hanya Rp250.000.000,00, sehingga Penggugat masih harus menanggung kekurangan dana sebesar Rp84.588.800,00 hanya untuk memperoleh keadaan bangunan yang seharusnya sudah ia terima pada tanggal 1 Mei 2026;</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22.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oleh karena Tergugat telah menghentikan pekerjaan dan menarik para pekerjanya sehingga pelaksanaan Perjanjian tidak lagi mungkin dilanjutkan, maka berdasarkan Pasal 1266 juncto Pasal 1267 Kitab Undang-Undang Hukum Perdata Penggugat memilih menuntut pembatalan Perjanjian disertai penggantian biaya, kerugian, dan bunga, yang sesuai Pasal 1266 dimohonkan melalui putusan Pengadilan. Di samping itu Penggugat berhak atas bunga moratoir 6% (enam persen) per tahun sebagaimana Pasal 1250 Kitab Undang-Undang Hukum Perdata;</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23.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untuk menjamin agar gugatan Penggugat tidak menjadi hampa atau illusoir, dan mengingat Tergugat telah menghentikan seluruh pekerjaan serta menarik seluruh pekerjanya dari lokasi sehingga terdapat persangkaan yang beralasan bahwa Tergugat akan mengalihkan harta kekayaannya, maka berdasarkan Pasal 227 Herzien Inlandsch Reglement Penggugat mohon diletakkan sita jaminan (conservatoir beslag) atas harta kekayaan Tergugat yang nilainya sepadan dengan jumlah tuntutan Penggugat, antara lain berupa ....................................................;</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24.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gugatan ini merupakan sengketa keperdataan mengenai pemenuhan perjanjian antara Penggugat dan Tergugat sebagai sesama subjek hukum perdata, sehingga secara absolut menjadi kewenangan Pengadilan Negeri sebagaimana Pasal 50 Undang-Undang Nomor 2 Tahun 1986 tentang Peradilan Umum sebagaimana telah diubah terakhir dengan Undang-Undang Nomor 49 Tahun 2009. Adapun secara relatif, meskipun Tergugat berkedudukan di Kabupaten Klaten, Pasal 118 ayat (4) Herzien Inlandsch Reglement menentukan bahwa apabila para pihak dengan surat sah telah memilih suatu pengadilan negeri tertentu, maka gugatan diajukan kepada Ketua Pengadilan Negeri yang dipilih tersebut. Dalam Perjanjian, para pihak telah secara tegas memilih Pengadilan Negeri Surakarta sebagai pengadilan yang berwenang, dan pilihan tersebut sejalan pula dengan letak objek pekerjaan yang berada di Kota Surakarta. Dengan demikian Pengadilan Negeri Surakarta berwenang secara relatif maupun absolut untuk memeriksa dan mengadili perkara ini;</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25.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Bahwa oleh karena gugatan ini diajukan berdasarkan bukti-bukti surat yang otentik, yaitu Perjanjian beserta lampirannya, Rencana Anggaran Biaya, bukti pembayaran, dan surat-surat yang dibuat Tergugat sendiri, serta didukung Laporan Pemeriksaan dan Pendapat Ahli, maka Penggugat mohon putusan dalam perkara ini dapat dilaksanakan terlebih dahulu (uitvoerbaar bij voorraad) sebagaimana Pasal 180 ayat (1) Herzien Inlandsch Reglement. Selanjutnya, oleh karena Tergugat adalah pihak yang menyebabkan timbulnya perkara ini, sudah sepatutnya Tergugat dihukum membayar seluruh biaya yang timbul dalam perkara ini.</w:t>
      </w:r>
    </w:p>
    <w:p>
      <w:pPr>
        <w:spacing w:after="200" w:before="240" w:line="280"/>
        <w:jc w:val="left"/>
      </w:pPr>
      <w:r>
        <w:rPr>
          <w:rFonts w:ascii="Times New Roman" w:cs="Times New Roman" w:eastAsia="Times New Roman" w:hAnsi="Times New Roman"/>
          <w:b w:val="false"/>
          <w:bCs w:val="false"/>
          <w:i w:val="false"/>
          <w:iCs w:val="false"/>
          <w:sz w:val="24"/>
          <w:szCs w:val="24"/>
        </w:rPr>
        <w:t xml:space="preserve">Atas dasar alasan dan uraian tersebut di atas, maka mohon kepada Ketua Pengadilan Negeri Surakarta c.q. Majelis Hakim yang memeriksa perkara ini untuk memutuskan sebagai berikut:</w:t>
      </w:r>
    </w:p>
    <w:p>
      <w:pPr>
        <w:spacing w:after="140" w:before="0" w:line="280"/>
        <w:jc w:val="left"/>
      </w:pPr>
      <w:r>
        <w:rPr>
          <w:rFonts w:ascii="Times New Roman" w:cs="Times New Roman" w:eastAsia="Times New Roman" w:hAnsi="Times New Roman"/>
          <w:b/>
          <w:bCs/>
          <w:i w:val="false"/>
          <w:iCs w:val="false"/>
          <w:sz w:val="24"/>
          <w:szCs w:val="24"/>
        </w:rPr>
        <w:t xml:space="preserve">PRIMAIR:</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Mengabulkan gugatan Penggugat untuk seluruhnya;</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Menyatakan sah dan mengikat Perjanjian Pemborongan Pekerjaan Nomor 001/PPP/AK-RK/I/2026 tanggal 12 Januari 2026 beserta seluruh lampirannya;</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Menyatakan Tergugat telah melakukan </w:t>
      </w:r>
      <w:r>
        <w:rPr>
          <w:rFonts w:ascii="Times New Roman" w:cs="Times New Roman" w:eastAsia="Times New Roman" w:hAnsi="Times New Roman"/>
          <w:b/>
          <w:bCs/>
          <w:i w:val="false"/>
          <w:iCs w:val="false"/>
          <w:sz w:val="24"/>
          <w:szCs w:val="24"/>
        </w:rPr>
        <w:t xml:space="preserve">wanprestasi</w:t>
      </w:r>
      <w:r>
        <w:rPr>
          <w:rFonts w:ascii="Times New Roman" w:cs="Times New Roman" w:eastAsia="Times New Roman" w:hAnsi="Times New Roman"/>
          <w:b w:val="false"/>
          <w:bCs w:val="false"/>
          <w:i w:val="false"/>
          <w:iCs w:val="false"/>
          <w:sz w:val="24"/>
          <w:szCs w:val="24"/>
        </w:rPr>
        <w:t xml:space="preserve">, yaitu terlambat memenuhi prestasi, memenuhi prestasi tetapi tidak sebagaimana mestinya, dan tidak memenuhi prestasi sama sekali;</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Membatalkan Perjanjian Pemborongan Pekerjaan Nomor 001/PPP/AK-RK/I/2026 tanggal 12 Januari 2026 beserta seluruh lampirannya karena wanprestasi Tergugat, terhitung sejak tanggal 25 Juni 2026;</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Menyatakan surat tagihan Tergugat tertanggal 8 Mei 2026 sebesar Rp185.000.000,00 (seratus delapan puluh lima juta rupiah) tidak mempunyai dasar hukum dan tidak mengikat Penggugat;</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6.</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Menyatakan pembayaran Termin IV sebesar Rp250.000.000,00 (dua ratus lima puluh juta rupiah) belum jatuh tempo dan Penggugat tidak berkewajiban membayarnya kepada Tergugat;</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7.</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Menghukum Tergugat membayar ganti kerugian materiil kepada Penggugat sebesar Rp127.088.800,00 (seratus dua puluh tujuh juta delapan puluh delapan ribu delapan ratus rupiah) secara tunai dan seketika, dengan rincian:</w:t>
      </w:r>
    </w:p>
    <w:p>
      <w:pPr>
        <w:tabs>
          <w:tab w:val="left" w:pos="1180"/>
        </w:tabs>
        <w:spacing w:after="80" w:before="40" w:line="280"/>
        <w:ind w:left="1180" w:hanging="560"/>
        <w:jc w:val="both"/>
      </w:pPr>
      <w:r>
        <w:rPr>
          <w:rFonts w:ascii="Times New Roman" w:cs="Times New Roman" w:eastAsia="Times New Roman" w:hAnsi="Times New Roman"/>
          <w:b w:val="false"/>
          <w:bCs w:val="false"/>
          <w:i w:val="false"/>
          <w:iCs w:val="false"/>
          <w:sz w:val="24"/>
          <w:szCs w:val="24"/>
        </w:rPr>
        <w:t xml:space="preserve">a.</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Pengembalian kelebihan pembayaran sebesar Rp37.640.000,00;</w:t>
      </w:r>
    </w:p>
    <w:p>
      <w:pPr>
        <w:tabs>
          <w:tab w:val="left" w:pos="1180"/>
        </w:tabs>
        <w:spacing w:after="80" w:before="40" w:line="280"/>
        <w:ind w:left="1180" w:hanging="560"/>
        <w:jc w:val="both"/>
      </w:pPr>
      <w:r>
        <w:rPr>
          <w:rFonts w:ascii="Times New Roman" w:cs="Times New Roman" w:eastAsia="Times New Roman" w:hAnsi="Times New Roman"/>
          <w:b w:val="false"/>
          <w:bCs w:val="false"/>
          <w:i w:val="false"/>
          <w:iCs w:val="false"/>
          <w:sz w:val="24"/>
          <w:szCs w:val="24"/>
        </w:rPr>
        <w:t xml:space="preserve">b.</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Denda keterlambatan sebesar Rp42.500.000,00;</w:t>
      </w:r>
    </w:p>
    <w:p>
      <w:pPr>
        <w:tabs>
          <w:tab w:val="left" w:pos="1180"/>
        </w:tabs>
        <w:spacing w:after="80" w:before="40" w:line="280"/>
        <w:ind w:left="1180" w:hanging="560"/>
        <w:jc w:val="both"/>
      </w:pPr>
      <w:r>
        <w:rPr>
          <w:rFonts w:ascii="Times New Roman" w:cs="Times New Roman" w:eastAsia="Times New Roman" w:hAnsi="Times New Roman"/>
          <w:b w:val="false"/>
          <w:bCs w:val="false"/>
          <w:i w:val="false"/>
          <w:iCs w:val="false"/>
          <w:sz w:val="24"/>
          <w:szCs w:val="24"/>
        </w:rPr>
        <w:t xml:space="preserve">c.</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Biaya pembongkaran keramik, pengangkutan puing, dan perbaikan lapisan dasar sebesar Rp11.100.000,00;</w:t>
      </w:r>
    </w:p>
    <w:p>
      <w:pPr>
        <w:tabs>
          <w:tab w:val="left" w:pos="1180"/>
        </w:tabs>
        <w:spacing w:after="80" w:before="40" w:line="280"/>
        <w:ind w:left="1180" w:hanging="560"/>
        <w:jc w:val="both"/>
      </w:pPr>
      <w:r>
        <w:rPr>
          <w:rFonts w:ascii="Times New Roman" w:cs="Times New Roman" w:eastAsia="Times New Roman" w:hAnsi="Times New Roman"/>
          <w:b w:val="false"/>
          <w:bCs w:val="false"/>
          <w:i w:val="false"/>
          <w:iCs w:val="false"/>
          <w:sz w:val="24"/>
          <w:szCs w:val="24"/>
        </w:rPr>
        <w:t xml:space="preserve">d.</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Eskalasi harga dan biaya mobilisasi pelaksana pengganti sebesar Rp35.848.800,00;</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8.</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Menghukum Tergugat membayar bunga 6% (enam persen) per tahun atas jumlah tersebut, dihitung sejak gugatan ini didaftarkan sampai putusan dilaksanakan seluruhnya;</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9.</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Menyatakan sah dan berharga sita jaminan (conservatoir beslag) yang diletakkan atas harta kekayaan Tergugat;</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10.</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Menyatakan putusan dalam perkara ini dapat dilaksanakan terlebih dahulu (uitvoerbaar bij voorraad), meskipun ada verzet, banding, maupun kasasi;</w:t>
      </w:r>
    </w:p>
    <w:p>
      <w:pPr>
        <w:tabs>
          <w:tab w:val="left" w:pos="620"/>
        </w:tabs>
        <w:spacing w:after="120" w:before="60" w:line="280"/>
        <w:ind w:left="620" w:hanging="620"/>
        <w:jc w:val="both"/>
      </w:pPr>
      <w:r>
        <w:rPr>
          <w:rFonts w:ascii="Times New Roman" w:cs="Times New Roman" w:eastAsia="Times New Roman" w:hAnsi="Times New Roman"/>
          <w:b w:val="false"/>
          <w:bCs w:val="false"/>
          <w:i w:val="false"/>
          <w:iCs w:val="false"/>
          <w:sz w:val="24"/>
          <w:szCs w:val="24"/>
        </w:rPr>
        <w:t xml:space="preserve">11.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Menghukum Tergugat membayar seluruh biaya yang timbul dalam perkara ini.</w:t>
      </w:r>
    </w:p>
    <w:p>
      <w:pPr>
        <w:spacing w:after="140" w:before="240" w:line="280"/>
        <w:jc w:val="left"/>
      </w:pPr>
      <w:r>
        <w:rPr>
          <w:rFonts w:ascii="Times New Roman" w:cs="Times New Roman" w:eastAsia="Times New Roman" w:hAnsi="Times New Roman"/>
          <w:b/>
          <w:bCs/>
          <w:i w:val="false"/>
          <w:iCs w:val="false"/>
          <w:sz w:val="24"/>
          <w:szCs w:val="24"/>
        </w:rPr>
        <w:t xml:space="preserve">SUBSIDAIR:</w:t>
      </w:r>
    </w:p>
    <w:p>
      <w:pPr>
        <w:spacing w:after="240" w:before="0" w:line="280"/>
        <w:jc w:val="left"/>
      </w:pPr>
      <w:r>
        <w:rPr>
          <w:rFonts w:ascii="Times New Roman" w:cs="Times New Roman" w:eastAsia="Times New Roman" w:hAnsi="Times New Roman"/>
          <w:b w:val="false"/>
          <w:bCs w:val="false"/>
          <w:i w:val="false"/>
          <w:iCs w:val="false"/>
          <w:sz w:val="24"/>
          <w:szCs w:val="24"/>
        </w:rPr>
        <w:t xml:space="preserve">Atau apabila Majelis Hakim Pengadilan Negeri Surakarta berpendapat lain, mohon putusan yang seadil-adilnya (ex aequo et bono).</w:t>
      </w:r>
    </w:p>
    <w:p>
      <w:pPr>
        <w:spacing w:after="140" w:before="0" w:line="280"/>
        <w:jc w:val="left"/>
      </w:pPr>
      <w:r>
        <w:rPr>
          <w:rFonts w:ascii="Times New Roman" w:cs="Times New Roman" w:eastAsia="Times New Roman" w:hAnsi="Times New Roman"/>
          <w:b w:val="false"/>
          <w:bCs w:val="false"/>
          <w:i w:val="false"/>
          <w:iCs w:val="false"/>
          <w:sz w:val="24"/>
          <w:szCs w:val="24"/>
        </w:rPr>
        <w:t xml:space="preserve">Demikianlah gugatan ini diajukan, atas perhatian dan dikabulkannya gugatan ini, kami ucapkan terima kasih.</w:t>
      </w:r>
    </w:p>
    <w:p>
      <w:pPr>
        <w:spacing w:after="300" w:before="0" w:line="280"/>
        <w:jc w:val="left"/>
      </w:pPr>
      <w:r>
        <w:rPr>
          <w:rFonts w:ascii="Times New Roman" w:cs="Times New Roman" w:eastAsia="Times New Roman" w:hAnsi="Times New Roman"/>
          <w:b w:val="false"/>
          <w:bCs w:val="false"/>
          <w:i w:val="false"/>
          <w:iCs w:val="false"/>
          <w:sz w:val="24"/>
          <w:szCs w:val="24"/>
        </w:rPr>
        <w:t xml:space="preserve">Wassalamu’alaikum warrahmatullahi wabarakatuh.</w:t>
      </w:r>
    </w:p>
    <w:p>
      <w:pPr>
        <w:spacing w:after="0" w:before="0" w:line="280"/>
        <w:jc w:val="right"/>
      </w:pPr>
      <w:r>
        <w:rPr>
          <w:rFonts w:ascii="Times New Roman" w:cs="Times New Roman" w:eastAsia="Times New Roman" w:hAnsi="Times New Roman"/>
          <w:b w:val="false"/>
          <w:bCs w:val="false"/>
          <w:i w:val="false"/>
          <w:iCs w:val="false"/>
          <w:sz w:val="24"/>
          <w:szCs w:val="24"/>
        </w:rPr>
        <w:t xml:space="preserve">Hormat Kami,</w:t>
      </w:r>
    </w:p>
    <w:p>
      <w:pPr>
        <w:spacing w:after="0" w:before="0" w:line="280"/>
        <w:jc w:val="right"/>
      </w:pPr>
      <w:r>
        <w:rPr>
          <w:rFonts w:ascii="Times New Roman" w:cs="Times New Roman" w:eastAsia="Times New Roman" w:hAnsi="Times New Roman"/>
          <w:b/>
          <w:bCs/>
          <w:i w:val="false"/>
          <w:iCs w:val="false"/>
          <w:sz w:val="24"/>
          <w:szCs w:val="24"/>
        </w:rPr>
        <w:t xml:space="preserve">NAWASENA LAW FIRM</w:t>
      </w:r>
    </w:p>
    <w:p>
      <w:pPr>
        <w:spacing w:after="560" w:before="0" w:line="280"/>
        <w:jc w:val="right"/>
      </w:pPr>
      <w:r>
        <w:rPr>
          <w:rFonts w:ascii="Times New Roman" w:cs="Times New Roman" w:eastAsia="Times New Roman" w:hAnsi="Times New Roman"/>
          <w:b w:val="false"/>
          <w:bCs w:val="false"/>
          <w:i w:val="false"/>
          <w:iCs w:val="false"/>
          <w:sz w:val="24"/>
          <w:szCs w:val="24"/>
        </w:rPr>
        <w:t xml:space="preserve">Kuasa Hukum Penggugat</w:t>
      </w:r>
    </w:p>
    <w:tbl>
      <w:tblPr>
        <w:tblW w:type="dxa" w:w="9354"/>
        <w:tblBorders>
          <w:top w:val="none" w:color="FFFFFF" w:sz="0"/>
          <w:left w:val="none" w:color="FFFFFF" w:sz="0"/>
          <w:bottom w:val="none" w:color="FFFFFF" w:sz="0"/>
          <w:right w:val="none" w:color="FFFFFF" w:sz="0"/>
          <w:insideH w:val="single" w:color="auto" w:sz="4"/>
          <w:insideV w:val="single" w:color="auto" w:sz="4"/>
        </w:tblBorders>
      </w:tblPr>
      <w:tblGrid>
        <w:gridCol w:w="4677"/>
        <w:gridCol w:w="4677"/>
      </w:tblGrid>
      <w:tr>
        <w:tc>
          <w:tcPr>
            <w:tcW w:type="dxa" w:w="4677"/>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bCs/>
                <w:i w:val="false"/>
                <w:iCs w:val="false"/>
                <w:sz w:val="24"/>
                <w:szCs w:val="24"/>
              </w:rPr>
              <w:t xml:space="preserve"/>
            </w:r>
          </w:p>
          <w:p>
            <w:pPr>
              <w:spacing w:after="30" w:before="30" w:line="250"/>
              <w:jc w:val="center"/>
            </w:pPr>
            <w:r>
              <w:rPr>
                <w:rFonts w:ascii="Times New Roman" w:cs="Times New Roman" w:eastAsia="Times New Roman" w:hAnsi="Times New Roman"/>
                <w:b/>
                <w:bCs/>
                <w:i w:val="false"/>
                <w:iCs w:val="false"/>
                <w:sz w:val="24"/>
                <w:szCs w:val="24"/>
              </w:rPr>
              <w:t xml:space="preserve"/>
            </w:r>
          </w:p>
          <w:p>
            <w:pPr>
              <w:spacing w:after="30" w:before="30" w:line="250"/>
              <w:jc w:val="center"/>
            </w:pPr>
            <w:r>
              <w:rPr>
                <w:rFonts w:ascii="Times New Roman" w:cs="Times New Roman" w:eastAsia="Times New Roman" w:hAnsi="Times New Roman"/>
                <w:b/>
                <w:bCs/>
                <w:i w:val="false"/>
                <w:iCs w:val="false"/>
                <w:sz w:val="24"/>
                <w:szCs w:val="24"/>
              </w:rPr>
              <w:t xml:space="preserve">BRIAN ERLANGGA, S.H., M.H.</w:t>
            </w:r>
          </w:p>
        </w:tc>
        <w:tc>
          <w:tcPr>
            <w:tcW w:type="dxa" w:w="4677"/>
            <w:tcMar>
              <w:top w:type="dxa" w:w="50"/>
              <w:left w:type="dxa" w:w="100"/>
              <w:bottom w:type="dxa" w:w="50"/>
              <w:right w:type="dxa" w:w="100"/>
            </w:tcMar>
            <w:vAlign w:val="center"/>
          </w:tcPr>
          <w:p>
            <w:pPr>
              <w:spacing w:after="30" w:before="30" w:line="250"/>
              <w:jc w:val="center"/>
            </w:pPr>
            <w:r>
              <w:rPr>
                <w:rFonts w:ascii="Times New Roman" w:cs="Times New Roman" w:eastAsia="Times New Roman" w:hAnsi="Times New Roman"/>
                <w:b/>
                <w:bCs/>
                <w:i w:val="false"/>
                <w:iCs w:val="false"/>
                <w:sz w:val="24"/>
                <w:szCs w:val="24"/>
              </w:rPr>
              <w:t xml:space="preserve"/>
            </w:r>
          </w:p>
          <w:p>
            <w:pPr>
              <w:spacing w:after="30" w:before="30" w:line="250"/>
              <w:jc w:val="center"/>
            </w:pPr>
            <w:r>
              <w:rPr>
                <w:rFonts w:ascii="Times New Roman" w:cs="Times New Roman" w:eastAsia="Times New Roman" w:hAnsi="Times New Roman"/>
                <w:b/>
                <w:bCs/>
                <w:i w:val="false"/>
                <w:iCs w:val="false"/>
                <w:sz w:val="24"/>
                <w:szCs w:val="24"/>
              </w:rPr>
              <w:t xml:space="preserve"/>
            </w:r>
          </w:p>
          <w:p>
            <w:pPr>
              <w:spacing w:after="30" w:before="30" w:line="250"/>
              <w:jc w:val="center"/>
            </w:pPr>
            <w:r>
              <w:rPr>
                <w:rFonts w:ascii="Times New Roman" w:cs="Times New Roman" w:eastAsia="Times New Roman" w:hAnsi="Times New Roman"/>
                <w:b/>
                <w:bCs/>
                <w:i w:val="false"/>
                <w:iCs w:val="false"/>
                <w:sz w:val="24"/>
                <w:szCs w:val="24"/>
              </w:rPr>
              <w:t xml:space="preserve">MOHAMMAD NAUFAL FARELLI, S.H., M.H.</w:t>
            </w:r>
          </w:p>
        </w:tc>
      </w:tr>
    </w:tbl>
    <w:sectPr>
      <w:footerReference w:type="default" r:id="rId6"/>
      <w:pgSz w:w="11906" w:h="16838" w:orient="portrait"/>
      <w:pgMar w:top="1418" w:right="1134"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Surat Gugatan Wanprestasi - Raka melawan PT Arunika Kreasi</dc:title>
  <dc:creator>Praktik Peradilan Perdata</dc:creator>
  <cp:lastModifiedBy>Un-named</cp:lastModifiedBy>
  <cp:revision>1</cp:revision>
  <dcterms:created xsi:type="dcterms:W3CDTF">2026-09-28T11:06:10.966Z</dcterms:created>
  <dcterms:modified xsi:type="dcterms:W3CDTF">2026-09-28T11:06:10.977Z</dcterms:modified>
</cp:coreProperties>
</file>

<file path=docProps/custom.xml><?xml version="1.0" encoding="utf-8"?>
<Properties xmlns="http://schemas.openxmlformats.org/officeDocument/2006/custom-properties" xmlns:vt="http://schemas.openxmlformats.org/officeDocument/2006/docPropsVTypes"/>
</file>