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77s8260bbf" w:id="0"/>
      <w:bookmarkEnd w:id="0"/>
      <w:r w:rsidDel="00000000" w:rsidR="00000000" w:rsidRPr="00000000">
        <w:rPr>
          <w:rtl w:val="0"/>
        </w:rPr>
        <w:t xml:space="preserve">Adafruit_SSD1306 </w:t>
      </w:r>
      <w:hyperlink r:id="rId6">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hyperlink r:id="rId8">
        <w:r w:rsidDel="00000000" w:rsidR="00000000" w:rsidRPr="00000000">
          <w:rPr>
            <w:color w:val="1155cc"/>
            <w:u w:val="single"/>
          </w:rPr>
          <w:drawing>
            <wp:inline distB="114300" distT="114300" distL="114300" distR="114300">
              <wp:extent cx="0" cy="0"/>
              <wp:effectExtent b="0" l="0" r="0" t="0"/>
              <wp:docPr descr="Documentation" id="2" name="image2.png"/>
              <a:graphic>
                <a:graphicData uri="http://schemas.openxmlformats.org/drawingml/2006/picture">
                  <pic:pic>
                    <pic:nvPicPr>
                      <pic:cNvPr descr="Documentation"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is a library for our Monochrome OLEDs based on SSD1306 drivers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Pick one up today in the adafruit shop! ------&gt; </w:t>
      </w:r>
      <w:hyperlink r:id="rId10">
        <w:r w:rsidDel="00000000" w:rsidR="00000000" w:rsidRPr="00000000">
          <w:rPr>
            <w:color w:val="1155cc"/>
            <w:u w:val="single"/>
            <w:rtl w:val="0"/>
          </w:rPr>
          <w:t xml:space="preserve">http://www.adafruit.com/category/63_98</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These displays use I2C or SPI to communicate, 2 to 5 pins are required to interface.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Adafruit invests time and resources providing this open source code, please support Adafruit and open-source hardware by purchasing products from Adafruit!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Written by Limor Fried/Ladyada for Adafruit Industries, with contributions from the open source community. Scrolling code contributed by Michael Gregg. Dynamic buffer allocation based on work by Andrew Canaday. BSD license, check license.txt for more information. All text above must be included in any redistribution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Preferred installation method is to use the Arduino IDE Library Manager. To download the source from Github instead, click "Clone or download" above, then "Download ZIP." After uncompressing, rename the resulting folder Adafruit_SSD1306. Check that the Adafruit_SSD1306 folder contains Adafruit_SSD1306.cpp and Adafruit_SSD1306.h.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will also have to install the </w:t>
      </w:r>
      <w:r w:rsidDel="00000000" w:rsidR="00000000" w:rsidRPr="00000000">
        <w:rPr>
          <w:b w:val="1"/>
          <w:rtl w:val="0"/>
        </w:rPr>
        <w:t xml:space="preserve">Adafruit GFX library</w:t>
      </w:r>
      <w:r w:rsidDel="00000000" w:rsidR="00000000" w:rsidRPr="00000000">
        <w:rPr>
          <w:rtl w:val="0"/>
        </w:rPr>
        <w:t xml:space="preserve"> which provides graphics primitves such as lines, circles, text, etc. This also can be found in the Arduino Library Manager, or you can get the source from </w:t>
      </w:r>
      <w:hyperlink r:id="rId11">
        <w:r w:rsidDel="00000000" w:rsidR="00000000" w:rsidRPr="00000000">
          <w:rPr>
            <w:color w:val="1155cc"/>
            <w:u w:val="single"/>
            <w:rtl w:val="0"/>
          </w:rPr>
          <w:t xml:space="preserve">https://github.com/adafruit/Adafruit-GFX-Library</w:t>
        </w:r>
      </w:hyperlink>
      <w:r w:rsidDel="00000000" w:rsidR="00000000" w:rsidRPr="00000000">
        <w:rPr>
          <w:rtl w:val="0"/>
        </w:rPr>
      </w:r>
    </w:p>
    <w:p w:rsidR="00000000" w:rsidDel="00000000" w:rsidP="00000000" w:rsidRDefault="00000000" w:rsidRPr="00000000" w14:paraId="0000000F">
      <w:pPr>
        <w:pStyle w:val="Heading2"/>
        <w:rPr/>
      </w:pPr>
      <w:bookmarkStart w:colFirst="0" w:colLast="0" w:name="_ekgcxumozwyz" w:id="1"/>
      <w:bookmarkEnd w:id="1"/>
      <w:r w:rsidDel="00000000" w:rsidR="00000000" w:rsidRPr="00000000">
        <w:rPr>
          <w:rtl w:val="0"/>
        </w:rPr>
        <w:t xml:space="preserve">Changes</w:t>
      </w:r>
    </w:p>
    <w:p w:rsidR="00000000" w:rsidDel="00000000" w:rsidP="00000000" w:rsidRDefault="00000000" w:rsidRPr="00000000" w14:paraId="00000010">
      <w:pPr>
        <w:rPr/>
      </w:pPr>
      <w:r w:rsidDel="00000000" w:rsidR="00000000" w:rsidRPr="00000000">
        <w:rPr>
          <w:rtl w:val="0"/>
        </w:rPr>
        <w:t xml:space="preserve">Pull Request: (November 2021)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Added define </w:t>
      </w:r>
      <w:r w:rsidDel="00000000" w:rsidR="00000000" w:rsidRPr="00000000">
        <w:rPr>
          <w:rFonts w:ascii="Roboto Mono" w:cs="Roboto Mono" w:eastAsia="Roboto Mono" w:hAnsi="Roboto Mono"/>
          <w:color w:val="188038"/>
          <w:rtl w:val="0"/>
        </w:rPr>
        <w:t xml:space="preserve">SSD1306_NO_SPLASH</w:t>
      </w:r>
      <w:r w:rsidDel="00000000" w:rsidR="00000000" w:rsidRPr="00000000">
        <w:rPr>
          <w:rtl w:val="0"/>
        </w:rPr>
        <w:t xml:space="preserve"> to opt-out of including splash images in </w:t>
      </w:r>
      <w:r w:rsidDel="00000000" w:rsidR="00000000" w:rsidRPr="00000000">
        <w:rPr>
          <w:rFonts w:ascii="Roboto Mono" w:cs="Roboto Mono" w:eastAsia="Roboto Mono" w:hAnsi="Roboto Mono"/>
          <w:color w:val="188038"/>
          <w:rtl w:val="0"/>
        </w:rPr>
        <w:t xml:space="preserve">PROGMEM</w:t>
      </w:r>
      <w:r w:rsidDel="00000000" w:rsidR="00000000" w:rsidRPr="00000000">
        <w:rPr>
          <w:rtl w:val="0"/>
        </w:rPr>
        <w:t xml:space="preserve"> and drawing to display during </w:t>
      </w:r>
      <w:r w:rsidDel="00000000" w:rsidR="00000000" w:rsidRPr="00000000">
        <w:rPr>
          <w:rFonts w:ascii="Roboto Mono" w:cs="Roboto Mono" w:eastAsia="Roboto Mono" w:hAnsi="Roboto Mono"/>
          <w:color w:val="188038"/>
          <w:rtl w:val="0"/>
        </w:rPr>
        <w:t xml:space="preserve">begin</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Pull Request: (September 2019)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new #defines for SSD1306_BLACK, SSD1306_WHITE and SSD1306_INVERSE that match existing #define naming scheme and won't conflict with common color names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old #defines for BLACK, WHITE and INVERSE kept for backwards compat (opt-out with #define NO_ADAFRUIT_SSD1306_COLOR_COMPATIBILITY)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Version 1.2 (November 2018) introduces some significant changes: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Display dimensions are now specified in the constructor...you no longer need to edit the .h file for different screens (though old sketches can continue to work that way).</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SPI transactions are used and SPI bitrate can be specified (both require Arduino 1.6 or later).</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SPI and Wire (I2C) interfaces other than the defaults are supported.</w:t>
      </w:r>
    </w:p>
    <w:p w:rsidR="00000000" w:rsidDel="00000000" w:rsidP="00000000" w:rsidRDefault="00000000" w:rsidRPr="00000000" w14:paraId="0000001E">
      <w:pPr>
        <w:pStyle w:val="Heading2"/>
        <w:rPr/>
      </w:pPr>
      <w:bookmarkStart w:colFirst="0" w:colLast="0" w:name="_ym43z8318mq3" w:id="2"/>
      <w:bookmarkEnd w:id="2"/>
      <w:r w:rsidDel="00000000" w:rsidR="00000000" w:rsidRPr="00000000">
        <w:rPr>
          <w:rtl w:val="0"/>
        </w:rPr>
        <w:t xml:space="preserve">Compatibility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left"/>
              <w:rPr>
                <w:b w:val="1"/>
              </w:rPr>
            </w:pPr>
            <w:r w:rsidDel="00000000" w:rsidR="00000000" w:rsidRPr="00000000">
              <w:rPr>
                <w:b w:val="1"/>
                <w:rtl w:val="0"/>
              </w:rPr>
              <w:t xml:space="preserve">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b w:val="1"/>
              </w:rPr>
            </w:pPr>
            <w:r w:rsidDel="00000000" w:rsidR="00000000" w:rsidRPr="00000000">
              <w:rPr>
                <w:b w:val="1"/>
                <w:rtl w:val="0"/>
              </w:rPr>
              <w:t xml:space="preserve">Tested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b w:val="1"/>
              </w:rPr>
            </w:pPr>
            <w:r w:rsidDel="00000000" w:rsidR="00000000" w:rsidRPr="00000000">
              <w:rPr>
                <w:b w:val="1"/>
                <w:rtl w:val="0"/>
              </w:rPr>
              <w:t xml:space="preserve">Doesn't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b w:val="1"/>
              </w:rPr>
            </w:pPr>
            <w:r w:rsidDel="00000000" w:rsidR="00000000" w:rsidRPr="00000000">
              <w:rPr>
                <w:b w:val="1"/>
                <w:rtl w:val="0"/>
              </w:rPr>
              <w:t xml:space="preserve">Not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left"/>
              <w:rPr/>
            </w:pPr>
            <w:r w:rsidDel="00000000" w:rsidR="00000000" w:rsidRPr="00000000">
              <w:rPr>
                <w:rtl w:val="0"/>
              </w:rPr>
              <w:t xml:space="preserve">Atmega328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pPr>
            <w:r w:rsidDel="00000000" w:rsidR="00000000" w:rsidRPr="00000000">
              <w:rPr>
                <w:rtl w:val="0"/>
              </w:rPr>
              <w:t xml:space="preserve">Atmega32u4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left"/>
              <w:rPr/>
            </w:pPr>
            <w:r w:rsidDel="00000000" w:rsidR="00000000" w:rsidRPr="00000000">
              <w:rPr>
                <w:rtl w:val="0"/>
              </w:rPr>
              <w:t xml:space="preserve">Atmega2560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pPr>
            <w:r w:rsidDel="00000000" w:rsidR="00000000" w:rsidRPr="00000000">
              <w:rPr>
                <w:rtl w:val="0"/>
              </w:rPr>
              <w:t xml:space="preserve">ESP8266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left"/>
              <w:rPr/>
            </w:pPr>
            <w:r w:rsidDel="00000000" w:rsidR="00000000" w:rsidRPr="00000000">
              <w:rPr>
                <w:rtl w:val="0"/>
              </w:rPr>
              <w:t xml:space="preserve">Change OLED_RESET to different pin if using default I2C pins D4/D5.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left"/>
              <w:rPr/>
            </w:pPr>
            <w:r w:rsidDel="00000000" w:rsidR="00000000" w:rsidRPr="00000000">
              <w:rPr>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left"/>
              <w:rPr/>
            </w:pPr>
            <w:r w:rsidDel="00000000" w:rsidR="00000000" w:rsidRPr="00000000">
              <w:rPr>
                <w:rtl w:val="0"/>
              </w:rPr>
              <w:t xml:space="preserve">ATSAM3X8E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left"/>
              <w:rPr/>
            </w:pPr>
            <w:r w:rsidDel="00000000" w:rsidR="00000000" w:rsidRPr="00000000">
              <w:rPr>
                <w:rtl w:val="0"/>
              </w:rPr>
              <w:t xml:space="preserve">ATSAMD21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left"/>
              <w:rPr/>
            </w:pPr>
            <w:r w:rsidDel="00000000" w:rsidR="00000000" w:rsidRPr="00000000">
              <w:rPr>
                <w:rtl w:val="0"/>
              </w:rPr>
              <w:t xml:space="preserve">Intel Curie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left"/>
              <w:rPr/>
            </w:pPr>
            <w:r w:rsidDel="00000000" w:rsidR="00000000" w:rsidRPr="00000000">
              <w:rPr>
                <w:rtl w:val="0"/>
              </w:rPr>
              <w:t xml:space="preserve">WICED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left"/>
              <w:rPr/>
            </w:pPr>
            <w:r w:rsidDel="00000000" w:rsidR="00000000" w:rsidRPr="00000000">
              <w:rPr>
                <w:rtl w:val="0"/>
              </w:rPr>
              <w:t xml:space="preserve">No hardware SPI - bitbang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left"/>
              <w:rPr/>
            </w:pPr>
            <w:r w:rsidDel="00000000" w:rsidR="00000000" w:rsidRPr="00000000">
              <w:rPr>
                <w:rtl w:val="0"/>
              </w:rPr>
              <w:t xml:space="preserve">ATtiny85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left"/>
              <w:rPr/>
            </w:pPr>
            <w:r w:rsidDel="00000000" w:rsidR="00000000" w:rsidRPr="00000000">
              <w:rPr>
                <w:rtl w:val="0"/>
              </w:rPr>
              <w:t xml:space="preserve">Particle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ATmega328 : Arduino UNO, Adafruit Pro Trinket, Adafruit Metro 328, Adafruit Metro Mini</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ATmega32u4 : Arduino Leonardo, Arduino Micro, Arduino Yun, Teensy 2.0, Adafruit Flora, Bluefruit Micro</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ATmega2560 : Arduino Mega</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ESP8266 : Adafruit Huzzah</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ATSAM3X8E : Arduino Due</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ATSAMD21 : Arduino Zero, M0 Pro, Adafruit Metro Express, Feather M0</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ATtiny85 : Adafruit Gemma, Arduino Gemma, Adafruit Trinket</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Particle: Particle Argon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dafruit/Adafruit-GFX-Library" TargetMode="External"/><Relationship Id="rId10" Type="http://schemas.openxmlformats.org/officeDocument/2006/relationships/hyperlink" Target="http://www.adafruit.com/category/63_98"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dafruit/Adafruit_SSD1306/actions" TargetMode="External"/><Relationship Id="rId7" Type="http://schemas.openxmlformats.org/officeDocument/2006/relationships/image" Target="media/image1.png"/><Relationship Id="rId8" Type="http://schemas.openxmlformats.org/officeDocument/2006/relationships/hyperlink" Target="http://adafruit.github.io/Adafruit_SSD1306/html/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