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ESPECIFICAÇÃO DE DESAFIO TÉORICO-PRÁTICOS(DTP)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Disciplina:</w:t>
      </w:r>
      <w:r w:rsidDel="00000000" w:rsidR="00000000" w:rsidRPr="00000000">
        <w:rPr>
          <w:rFonts w:ascii="Google Sans" w:cs="Google Sans" w:eastAsia="Google Sans" w:hAnsi="Google Sans"/>
          <w:color w:val="1f1f1f"/>
          <w:rtl w:val="0"/>
        </w:rPr>
        <w:t xml:space="preserve"> Projeto de Software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Formato de Entrega:</w:t>
      </w:r>
      <w:r w:rsidDel="00000000" w:rsidR="00000000" w:rsidRPr="00000000">
        <w:rPr>
          <w:rFonts w:ascii="Google Sans" w:cs="Google Sans" w:eastAsia="Google Sans" w:hAnsi="Google Sans"/>
          <w:color w:val="1f1f1f"/>
          <w:rtl w:val="0"/>
        </w:rPr>
        <w:t xml:space="preserve"> Código-Fonte (GitHub), Relatório Técnico (PDF) e Apresentação Prática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DIRETRIZES GERAIS E INFRAESTRUTURA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Formação das Equipes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trabalho deverá ser desenvolvido obrigatoriamente em equipes de </w:t>
      </w:r>
      <w:r w:rsidDel="00000000" w:rsidR="00000000" w:rsidRPr="00000000">
        <w:rPr>
          <w:rFonts w:ascii="Google Sans" w:cs="Google Sans" w:eastAsia="Google Sans" w:hAnsi="Google Sans"/>
          <w:b w:val="1"/>
          <w:bCs w:val="1"/>
          <w:color w:val="1f1f1f"/>
          <w:rtl w:val="0"/>
        </w:rPr>
        <w:t xml:space="preserve">2 ou 3 integrantes</w:t>
      </w:r>
      <w:r w:rsidDel="00000000" w:rsidR="00000000" w:rsidRPr="00000000">
        <w:rPr>
          <w:rFonts w:ascii="Google Sans" w:cs="Google Sans" w:eastAsia="Google Sans" w:hAnsi="Google Sans"/>
          <w:color w:val="1f1f1f"/>
          <w:rtl w:val="0"/>
        </w:rPr>
        <w:t xml:space="preserve">. Não serão aceitos trabalhos individuais ou com mais de 3 componentes.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Restrições Tecnológicas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Linguagens Permitidas:</w:t>
      </w:r>
      <w:r w:rsidDel="00000000" w:rsidR="00000000" w:rsidRPr="00000000">
        <w:rPr>
          <w:rFonts w:ascii="Google Sans" w:cs="Google Sans" w:eastAsia="Google Sans" w:hAnsi="Google Sans"/>
          <w:color w:val="1f1f1f"/>
          <w:rtl w:val="0"/>
        </w:rPr>
        <w:t xml:space="preserve"> Java, Python ou JavaScript (Node.js).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Persistência de Dados: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Proibido o uso de bancos de dados relacionais ou NoSQL.</w:t>
      </w:r>
      <w:r w:rsidDel="00000000" w:rsidR="00000000" w:rsidRPr="00000000">
        <w:rPr>
          <w:rFonts w:ascii="Google Sans" w:cs="Google Sans" w:eastAsia="Google Sans" w:hAnsi="Google Sans"/>
          <w:color w:val="1f1f1f"/>
          <w:rtl w:val="0"/>
        </w:rPr>
        <w:t xml:space="preserve"> Toda a gerência de estado e armazenamento de entidades deve ocorrer estritamente </w:t>
      </w:r>
      <w:r w:rsidDel="00000000" w:rsidR="00000000" w:rsidRPr="00000000">
        <w:rPr>
          <w:rFonts w:ascii="Google Sans" w:cs="Google Sans" w:eastAsia="Google Sans" w:hAnsi="Google Sans"/>
          <w:b w:val="1"/>
          <w:bCs w:val="1"/>
          <w:color w:val="1f1f1f"/>
          <w:rtl w:val="0"/>
        </w:rPr>
        <w:t xml:space="preserve">em memória</w:t>
      </w:r>
      <w:r w:rsidDel="00000000" w:rsidR="00000000" w:rsidRPr="00000000">
        <w:rPr>
          <w:rFonts w:ascii="Google Sans" w:cs="Google Sans" w:eastAsia="Google Sans" w:hAnsi="Google Sans"/>
          <w:color w:val="1f1f1f"/>
          <w:rtl w:val="0"/>
        </w:rPr>
        <w:t xml:space="preserve"> através de estruturas de coleções locais (listas, mapas, matrizes, etc.). O sistema deve ser completamente </w:t>
      </w:r>
      <w:r w:rsidDel="00000000" w:rsidR="00000000" w:rsidRPr="00000000">
        <w:rPr>
          <w:rFonts w:ascii="Google Sans" w:cs="Google Sans" w:eastAsia="Google Sans" w:hAnsi="Google Sans"/>
          <w:i w:val="1"/>
          <w:iCs w:val="1"/>
          <w:color w:val="1f1f1f"/>
          <w:rtl w:val="0"/>
        </w:rPr>
        <w:t xml:space="preserve">stateless</w:t>
      </w:r>
      <w:r w:rsidDel="00000000" w:rsidR="00000000" w:rsidRPr="00000000">
        <w:rPr>
          <w:rFonts w:ascii="Google Sans" w:cs="Google Sans" w:eastAsia="Google Sans" w:hAnsi="Google Sans"/>
          <w:color w:val="1f1f1f"/>
          <w:rtl w:val="0"/>
        </w:rPr>
        <w:t xml:space="preserve"> no que tange ao disco rígido.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Infraestrutura Enxuta via Docker:</w:t>
      </w:r>
      <w:r w:rsidDel="00000000" w:rsidR="00000000" w:rsidRPr="00000000">
        <w:rPr>
          <w:rFonts w:ascii="Google Sans" w:cs="Google Sans" w:eastAsia="Google Sans" w:hAnsi="Google Sans"/>
          <w:color w:val="1f1f1f"/>
          <w:rtl w:val="0"/>
        </w:rPr>
        <w:t xml:space="preserve"> Cada microserviço deve possuir seu próprio arquivo de configuração de build (Dockerfile). A orquestração das aplicações deve ser realizada unicamente através de um arquivo docker-compose.yml responsável por configurar a rede interna e expor as portas de comunicação HTTP.</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ESCOPO DOS TEMAS (Escolha uma Opção)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equipe deverá selecionar </w:t>
      </w:r>
      <w:r w:rsidDel="00000000" w:rsidR="00000000" w:rsidRPr="00000000">
        <w:rPr>
          <w:rFonts w:ascii="Google Sans" w:cs="Google Sans" w:eastAsia="Google Sans" w:hAnsi="Google Sans"/>
          <w:b w:val="1"/>
          <w:bCs w:val="1"/>
          <w:color w:val="1f1f1f"/>
          <w:rtl w:val="0"/>
        </w:rPr>
        <w:t xml:space="preserve">um</w:t>
      </w:r>
      <w:r w:rsidDel="00000000" w:rsidR="00000000" w:rsidRPr="00000000">
        <w:rPr>
          <w:rFonts w:ascii="Google Sans" w:cs="Google Sans" w:eastAsia="Google Sans" w:hAnsi="Google Sans"/>
          <w:color w:val="1f1f1f"/>
          <w:rtl w:val="0"/>
        </w:rPr>
        <w:t xml:space="preserve"> dos três contextos abaixo. As regras de negócio descritas são os requisitos mandatórios que guiarão todas as fases de modelagem e codificação.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OPÇÃO A: Smart Grid (Microserviço de Medição + Microserviço de Tarifação)</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RN01 (A Coleção Dinâmica e Hierárquica):</w:t>
      </w:r>
      <w:r w:rsidDel="00000000" w:rsidR="00000000" w:rsidRPr="00000000">
        <w:rPr>
          <w:rFonts w:ascii="Google Sans" w:cs="Google Sans" w:eastAsia="Google Sans" w:hAnsi="Google Sans"/>
          <w:color w:val="1f1f1f"/>
          <w:rtl w:val="0"/>
        </w:rPr>
        <w:t xml:space="preserve"> A malha de distribuição elétrica é composta por uma árvore hierárquica (Subestações $\rightarrow$ Transformadores $\rightarrow$ Medidores Residenciais/Comerciais). O sistema deve ser capaz de realizar uma varredura para consolidar o consumo total de energia de uma região. Essa varredura precisa navegar por toda a estrutura física de forma transparente, sem expor para o componente chamador se os medidores internos estão agrupados por proximidade geográfica (vetor linear) ou por subestações (nós de uma árvore).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RN02 (A Variação Volátil de Algoritmos):</w:t>
      </w:r>
      <w:r w:rsidDel="00000000" w:rsidR="00000000" w:rsidRPr="00000000">
        <w:rPr>
          <w:rFonts w:ascii="Google Sans" w:cs="Google Sans" w:eastAsia="Google Sans" w:hAnsi="Google Sans"/>
          <w:color w:val="1f1f1f"/>
          <w:rtl w:val="0"/>
        </w:rPr>
        <w:t xml:space="preserve"> O cálculo do valor final da fatura depende de um motor de regras que varia conforme o perfil de consumo e eventos ambientais. O sistema deve suportar, no mínimo, três lógicas intercambiáveis em tempo de execução:</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Tarifação por Posto Horário:</w:t>
      </w:r>
      <w:r w:rsidDel="00000000" w:rsidR="00000000" w:rsidRPr="00000000">
        <w:rPr>
          <w:rFonts w:ascii="Google Sans" w:cs="Google Sans" w:eastAsia="Google Sans" w:hAnsi="Google Sans"/>
          <w:color w:val="1f1f1f"/>
          <w:rtl w:val="0"/>
        </w:rPr>
        <w:t xml:space="preserve"> O valor do kWh sofre um acréscimo de 150% se o consumo ocorrer na janela de pico (ex: das 18h às 21h).</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Tarifa de Injeção Reversa:</w:t>
      </w:r>
      <w:r w:rsidDel="00000000" w:rsidR="00000000" w:rsidRPr="00000000">
        <w:rPr>
          <w:rFonts w:ascii="Google Sans" w:cs="Google Sans" w:eastAsia="Google Sans" w:hAnsi="Google Sans"/>
          <w:color w:val="1f1f1f"/>
          <w:rtl w:val="0"/>
        </w:rPr>
        <w:t xml:space="preserve"> Aplicada a consumidores com painéis solares. Quando o medidor registra saldo negativo (produção maior que o consumo), o sistema aplica um multiplicador de crédito que abate o valor de faturas futuras.</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Bandeira de Escassez Hídrica:</w:t>
      </w:r>
      <w:r w:rsidDel="00000000" w:rsidR="00000000" w:rsidRPr="00000000">
        <w:rPr>
          <w:rFonts w:ascii="Google Sans" w:cs="Google Sans" w:eastAsia="Google Sans" w:hAnsi="Google Sans"/>
          <w:color w:val="1f1f1f"/>
          <w:rtl w:val="0"/>
        </w:rPr>
        <w:t xml:space="preserve"> Um multiplicador fixo punitivo aplicado sobre o consumo total caso o nível dos reservatórios (simulado por uma variável de ambiente do sistema) esteja crítico.</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RN03 (A Reação a Eventos de Rede):</w:t>
      </w:r>
      <w:r w:rsidDel="00000000" w:rsidR="00000000" w:rsidRPr="00000000">
        <w:rPr>
          <w:rFonts w:ascii="Google Sans" w:cs="Google Sans" w:eastAsia="Google Sans" w:hAnsi="Google Sans"/>
          <w:color w:val="1f1f1f"/>
          <w:rtl w:val="0"/>
        </w:rPr>
        <w:t xml:space="preserve"> O Medidor opera registrando leituras consecutivas. Caso a diferença de carga entre a leitura atual e a anterior ultrapasse um limite crítico (caracterizando um surto de tensão ou anomalia), o componente de medição deve disparar um alerta. Dois sistemas independentes devem reagir a isso instantaneamente via rede: o </w:t>
      </w:r>
      <w:r w:rsidDel="00000000" w:rsidR="00000000" w:rsidRPr="00000000">
        <w:rPr>
          <w:rFonts w:ascii="Google Sans" w:cs="Google Sans" w:eastAsia="Google Sans" w:hAnsi="Google Sans"/>
          <w:i w:val="1"/>
          <w:iCs w:val="1"/>
          <w:color w:val="1f1f1f"/>
          <w:rtl w:val="0"/>
        </w:rPr>
        <w:t xml:space="preserve">Módulo de Segurança do Grid</w:t>
      </w:r>
      <w:r w:rsidDel="00000000" w:rsidR="00000000" w:rsidRPr="00000000">
        <w:rPr>
          <w:rFonts w:ascii="Google Sans" w:cs="Google Sans" w:eastAsia="Google Sans" w:hAnsi="Google Sans"/>
          <w:color w:val="1f1f1f"/>
          <w:rtl w:val="0"/>
        </w:rPr>
        <w:t xml:space="preserve"> (que simula o isolamento do transformador) e o </w:t>
      </w:r>
      <w:r w:rsidDel="00000000" w:rsidR="00000000" w:rsidRPr="00000000">
        <w:rPr>
          <w:rFonts w:ascii="Google Sans" w:cs="Google Sans" w:eastAsia="Google Sans" w:hAnsi="Google Sans"/>
          <w:i w:val="1"/>
          <w:iCs w:val="1"/>
          <w:color w:val="1f1f1f"/>
          <w:rtl w:val="0"/>
        </w:rPr>
        <w:t xml:space="preserve">Módulo de Notificações ao Usuário</w:t>
      </w:r>
      <w:r w:rsidDel="00000000" w:rsidR="00000000" w:rsidRPr="00000000">
        <w:rPr>
          <w:rFonts w:ascii="Google Sans" w:cs="Google Sans" w:eastAsia="Google Sans" w:hAnsi="Google Sans"/>
          <w:color w:val="1f1f1f"/>
          <w:rtl w:val="0"/>
        </w:rPr>
        <w:t xml:space="preserve"> (que prepara um aviso de oscilação).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OPÇÃO B: Streaming de Música (Microserviço de Catálogo + Microserviço de Reprodução)</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RN01 (A Coleção Dinâmica e Polimórfica):</w:t>
      </w:r>
      <w:r w:rsidDel="00000000" w:rsidR="00000000" w:rsidRPr="00000000">
        <w:rPr>
          <w:rFonts w:ascii="Google Sans" w:cs="Google Sans" w:eastAsia="Google Sans" w:hAnsi="Google Sans"/>
          <w:color w:val="1f1f1f"/>
          <w:rtl w:val="0"/>
        </w:rPr>
        <w:t xml:space="preserve"> A fila de reprodução (</w:t>
      </w:r>
      <w:r w:rsidDel="00000000" w:rsidR="00000000" w:rsidRPr="00000000">
        <w:rPr>
          <w:rFonts w:ascii="Google Sans" w:cs="Google Sans" w:eastAsia="Google Sans" w:hAnsi="Google Sans"/>
          <w:i w:val="1"/>
          <w:iCs w:val="1"/>
          <w:color w:val="1f1f1f"/>
          <w:rtl w:val="0"/>
        </w:rPr>
        <w:t xml:space="preserve">Play Queue</w:t>
      </w:r>
      <w:r w:rsidDel="00000000" w:rsidR="00000000" w:rsidRPr="00000000">
        <w:rPr>
          <w:rFonts w:ascii="Google Sans" w:cs="Google Sans" w:eastAsia="Google Sans" w:hAnsi="Google Sans"/>
          <w:color w:val="1f1f1f"/>
          <w:rtl w:val="0"/>
        </w:rPr>
        <w:t xml:space="preserve">) é um agregado dinâmico de faixas musicais. No entanto, o usuário pode injetar faixas nessa fila vindas de estruturas de dados completamente diferentes: uma lista linear de um álbum, um conjunto de recomendações geradas por gráficos de similaridade (nós conectados de um grafo), ou faixas avulsas baseadas em um histórico de busca em cache. O mecanismo que consome a fila para reproduzir a próxima música deve ser agnóstico quanto à estrutura de dados original de onde as faixas vieram.</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RN02 (A Variação Volátil de Algoritmos):</w:t>
      </w:r>
      <w:r w:rsidDel="00000000" w:rsidR="00000000" w:rsidRPr="00000000">
        <w:rPr>
          <w:rFonts w:ascii="Google Sans" w:cs="Google Sans" w:eastAsia="Google Sans" w:hAnsi="Google Sans"/>
          <w:color w:val="1f1f1f"/>
          <w:rtl w:val="0"/>
        </w:rPr>
        <w:t xml:space="preserve"> O comportamento de seleção da próxima música na fila deve mudar dinamicamente conforme o comando do usuário. O sistema precisa suportar:</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Modo Sequencial Determinístico:</w:t>
      </w:r>
      <w:r w:rsidDel="00000000" w:rsidR="00000000" w:rsidRPr="00000000">
        <w:rPr>
          <w:rFonts w:ascii="Google Sans" w:cs="Google Sans" w:eastAsia="Google Sans" w:hAnsi="Google Sans"/>
          <w:color w:val="1f1f1f"/>
          <w:rtl w:val="0"/>
        </w:rPr>
        <w:t xml:space="preserve"> Segue estritamente a ordem de inserção na fila, esvaziando-a conforme as faixas terminam.</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Modo Shuffle Aleatório:</w:t>
      </w:r>
      <w:r w:rsidDel="00000000" w:rsidR="00000000" w:rsidRPr="00000000">
        <w:rPr>
          <w:rFonts w:ascii="Google Sans" w:cs="Google Sans" w:eastAsia="Google Sans" w:hAnsi="Google Sans"/>
          <w:color w:val="1f1f1f"/>
          <w:rtl w:val="0"/>
        </w:rPr>
        <w:t xml:space="preserve"> Embaralha a ordem sem repetir músicas já tocadas em um mesmo ciclo de reprodução (exige histórico de exclusão).</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Modo Smart Mix (Transições Suaves):</w:t>
      </w:r>
      <w:r w:rsidDel="00000000" w:rsidR="00000000" w:rsidRPr="00000000">
        <w:rPr>
          <w:rFonts w:ascii="Google Sans" w:cs="Google Sans" w:eastAsia="Google Sans" w:hAnsi="Google Sans"/>
          <w:color w:val="1f1f1f"/>
          <w:rtl w:val="0"/>
        </w:rPr>
        <w:t xml:space="preserve"> O algoritmo analisa os metadados da música atual (como o BPM - Batidas Por Minuto) e varre a fila para encontrar e selecionar a próxima música que possua o BPM mais próximo, priorizando a continuidade do ritmo.</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RN03 (A Reação a Eventos de Estado):</w:t>
      </w:r>
      <w:r w:rsidDel="00000000" w:rsidR="00000000" w:rsidRPr="00000000">
        <w:rPr>
          <w:rFonts w:ascii="Google Sans" w:cs="Google Sans" w:eastAsia="Google Sans" w:hAnsi="Google Sans"/>
          <w:color w:val="1f1f1f"/>
          <w:rtl w:val="0"/>
        </w:rPr>
        <w:t xml:space="preserve"> O estado do player (música atual, milissegundo exato da reprodução e status de </w:t>
      </w:r>
      <w:r w:rsidDel="00000000" w:rsidR="00000000" w:rsidRPr="00000000">
        <w:rPr>
          <w:rFonts w:ascii="Google Sans" w:cs="Google Sans" w:eastAsia="Google Sans" w:hAnsi="Google Sans"/>
          <w:i w:val="1"/>
          <w:iCs w:val="1"/>
          <w:color w:val="1f1f1f"/>
          <w:rtl w:val="0"/>
        </w:rPr>
        <w:t xml:space="preserve">Play/Pause</w:t>
      </w:r>
      <w:r w:rsidDel="00000000" w:rsidR="00000000" w:rsidRPr="00000000">
        <w:rPr>
          <w:rFonts w:ascii="Google Sans" w:cs="Google Sans" w:eastAsia="Google Sans" w:hAnsi="Google Sans"/>
          <w:color w:val="1f1f1f"/>
          <w:rtl w:val="0"/>
        </w:rPr>
        <w:t xml:space="preserve">) é altamente volátil. Sempre que houver uma alteração desse estado no Microserviço de Reprodução, outros módulos distribuídos precisam ser sincronizados via requisições assíncronas: o </w:t>
      </w:r>
      <w:r w:rsidDel="00000000" w:rsidR="00000000" w:rsidRPr="00000000">
        <w:rPr>
          <w:rFonts w:ascii="Google Sans" w:cs="Google Sans" w:eastAsia="Google Sans" w:hAnsi="Google Sans"/>
          <w:i w:val="1"/>
          <w:iCs w:val="1"/>
          <w:color w:val="1f1f1f"/>
          <w:rtl w:val="0"/>
        </w:rPr>
        <w:t xml:space="preserve">Módulo de Telemetria de Dispositivos</w:t>
      </w:r>
      <w:r w:rsidDel="00000000" w:rsidR="00000000" w:rsidRPr="00000000">
        <w:rPr>
          <w:rFonts w:ascii="Google Sans" w:cs="Google Sans" w:eastAsia="Google Sans" w:hAnsi="Google Sans"/>
          <w:color w:val="1f1f1f"/>
          <w:rtl w:val="0"/>
        </w:rPr>
        <w:t xml:space="preserve"> (para atualizar o celular e a TV do usuário simultaneamente) e o </w:t>
      </w:r>
      <w:r w:rsidDel="00000000" w:rsidR="00000000" w:rsidRPr="00000000">
        <w:rPr>
          <w:rFonts w:ascii="Google Sans" w:cs="Google Sans" w:eastAsia="Google Sans" w:hAnsi="Google Sans"/>
          <w:i w:val="1"/>
          <w:iCs w:val="1"/>
          <w:color w:val="1f1f1f"/>
          <w:rtl w:val="0"/>
        </w:rPr>
        <w:t xml:space="preserve">Módulo de Histórico em Tempo Real</w:t>
      </w:r>
      <w:r w:rsidDel="00000000" w:rsidR="00000000" w:rsidRPr="00000000">
        <w:rPr>
          <w:rFonts w:ascii="Google Sans" w:cs="Google Sans" w:eastAsia="Google Sans" w:hAnsi="Google Sans"/>
          <w:color w:val="1f1f1f"/>
          <w:rtl w:val="0"/>
        </w:rPr>
        <w:t xml:space="preserve"> (que computa os dados para a retrospectiva de fim de ano).</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OPÇÃO C: Smart Warehouse (Microserviço de Inventário + Microserviço de Operações)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RN01 (A Coleção Dinâmica de Layout Físico):</w:t>
      </w:r>
      <w:r w:rsidDel="00000000" w:rsidR="00000000" w:rsidRPr="00000000">
        <w:rPr>
          <w:rFonts w:ascii="Google Sans" w:cs="Google Sans" w:eastAsia="Google Sans" w:hAnsi="Google Sans"/>
          <w:color w:val="1f1f1f"/>
          <w:rtl w:val="0"/>
        </w:rPr>
        <w:t xml:space="preserve"> O galpão industrial é mapeado de forma tridimensional em Zonas (A, B, C), Corredores, Prateleiras e Slots Verticais. Para realizar uma auditoria de inventário ou um balanço de perdas, o sistema precisa varrer todos os produtos armazenados. Essa varredura deve ser feita de ponta a ponta sem que o módulo auditor precise conhecer a geometria de coordenadas XYZ do galpão ou os tipos de estruturas de dados (matrizes de 3 dimensões ou listas encadeadas) usadas para modelar o espaço físico.</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RN02 (A Variação Volátil de Algoritmos):</w:t>
      </w:r>
      <w:r w:rsidDel="00000000" w:rsidR="00000000" w:rsidRPr="00000000">
        <w:rPr>
          <w:rFonts w:ascii="Google Sans" w:cs="Google Sans" w:eastAsia="Google Sans" w:hAnsi="Google Sans"/>
          <w:color w:val="1f1f1f"/>
          <w:rtl w:val="0"/>
        </w:rPr>
        <w:t xml:space="preserve"> Quando um lote de produtos chega à doca de descarga, o sistema precisa decidir onde alocá-lo através de estratégias de alocação (</w:t>
      </w:r>
      <w:r w:rsidDel="00000000" w:rsidR="00000000" w:rsidRPr="00000000">
        <w:rPr>
          <w:rFonts w:ascii="Google Sans" w:cs="Google Sans" w:eastAsia="Google Sans" w:hAnsi="Google Sans"/>
          <w:i w:val="1"/>
          <w:iCs w:val="1"/>
          <w:color w:val="1f1f1f"/>
          <w:rtl w:val="0"/>
        </w:rPr>
        <w:t xml:space="preserve">Put-Away</w:t>
      </w:r>
      <w:r w:rsidDel="00000000" w:rsidR="00000000" w:rsidRPr="00000000">
        <w:rPr>
          <w:rFonts w:ascii="Google Sans" w:cs="Google Sans" w:eastAsia="Google Sans" w:hAnsi="Google Sans"/>
          <w:color w:val="1f1f1f"/>
          <w:rtl w:val="0"/>
        </w:rPr>
        <w:t xml:space="preserve">) intercambiáveis em tempo de execução:</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Estratégia de Giro Rápido (FIFO):</w:t>
      </w:r>
      <w:r w:rsidDel="00000000" w:rsidR="00000000" w:rsidRPr="00000000">
        <w:rPr>
          <w:rFonts w:ascii="Google Sans" w:cs="Google Sans" w:eastAsia="Google Sans" w:hAnsi="Google Sans"/>
          <w:color w:val="1f1f1f"/>
          <w:rtl w:val="0"/>
        </w:rPr>
        <w:t xml:space="preserve"> Produtos com data de validade próxima ou alto índice de saída devem ser direcionados automaticamente para os slots mais baixos e próximos às docas de expedição.</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Estratégia de Controle Ambiental:</w:t>
      </w:r>
      <w:r w:rsidDel="00000000" w:rsidR="00000000" w:rsidRPr="00000000">
        <w:rPr>
          <w:rFonts w:ascii="Google Sans" w:cs="Google Sans" w:eastAsia="Google Sans" w:hAnsi="Google Sans"/>
          <w:color w:val="1f1f1f"/>
          <w:rtl w:val="0"/>
        </w:rPr>
        <w:t xml:space="preserve"> Produtos químicos ou perecíveis devem ter sua alocação restrita a zonas que possuam sensores compatíveis com a sua classe de risco (ex: câmaras frias).</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i w:val="1"/>
          <w:iCs w:val="1"/>
          <w:color w:val="1f1f1f"/>
          <w:rtl w:val="0"/>
        </w:rPr>
        <w:t xml:space="preserve">Estratégia de Densidade Máxima:</w:t>
      </w:r>
      <w:r w:rsidDel="00000000" w:rsidR="00000000" w:rsidRPr="00000000">
        <w:rPr>
          <w:rFonts w:ascii="Google Sans" w:cs="Google Sans" w:eastAsia="Google Sans" w:hAnsi="Google Sans"/>
          <w:color w:val="1f1f1f"/>
          <w:rtl w:val="0"/>
        </w:rPr>
        <w:t xml:space="preserve"> O algoritmo ignora a categoria do produto e busca o slot vazio que melhor otimize o espaço volumétrico restante do armazém, minimizando espaços ociosos.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RN03 (A Reação a Eventos Ambientais):</w:t>
      </w:r>
      <w:r w:rsidDel="00000000" w:rsidR="00000000" w:rsidRPr="00000000">
        <w:rPr>
          <w:rFonts w:ascii="Google Sans" w:cs="Google Sans" w:eastAsia="Google Sans" w:hAnsi="Google Sans"/>
          <w:color w:val="1f1f1f"/>
          <w:rtl w:val="0"/>
        </w:rPr>
        <w:t xml:space="preserve"> As Zonas do armazém contêm sensores de temperatura, umidade e fumaça. Se um sensor registrar uma leitura fora dos limites de segurança tolerados para aquela zona específica, o componente sensor deve publicar essa alteração de estado. O </w:t>
      </w:r>
      <w:r w:rsidDel="00000000" w:rsidR="00000000" w:rsidRPr="00000000">
        <w:rPr>
          <w:rFonts w:ascii="Google Sans" w:cs="Google Sans" w:eastAsia="Google Sans" w:hAnsi="Google Sans"/>
          <w:i w:val="1"/>
          <w:iCs w:val="1"/>
          <w:color w:val="1f1f1f"/>
          <w:rtl w:val="0"/>
        </w:rPr>
        <w:t xml:space="preserve">Microserviço de Operações</w:t>
      </w:r>
      <w:r w:rsidDel="00000000" w:rsidR="00000000" w:rsidRPr="00000000">
        <w:rPr>
          <w:rFonts w:ascii="Google Sans" w:cs="Google Sans" w:eastAsia="Google Sans" w:hAnsi="Google Sans"/>
          <w:color w:val="1f1f1f"/>
          <w:rtl w:val="0"/>
        </w:rPr>
        <w:t xml:space="preserve"> deve reagir bloqueando novas ordens de movimentação para aquela zona, enquanto o </w:t>
      </w:r>
      <w:r w:rsidDel="00000000" w:rsidR="00000000" w:rsidRPr="00000000">
        <w:rPr>
          <w:rFonts w:ascii="Google Sans" w:cs="Google Sans" w:eastAsia="Google Sans" w:hAnsi="Google Sans"/>
          <w:i w:val="1"/>
          <w:iCs w:val="1"/>
          <w:color w:val="1f1f1f"/>
          <w:rtl w:val="0"/>
        </w:rPr>
        <w:t xml:space="preserve">Módulo de Acionamento de Brigada</w:t>
      </w:r>
      <w:r w:rsidDel="00000000" w:rsidR="00000000" w:rsidRPr="00000000">
        <w:rPr>
          <w:rFonts w:ascii="Google Sans" w:cs="Google Sans" w:eastAsia="Google Sans" w:hAnsi="Google Sans"/>
          <w:color w:val="1f1f1f"/>
          <w:rtl w:val="0"/>
        </w:rPr>
        <w:t xml:space="preserve"> (simulado em console) deve priorizar rotas de evacuação para os robôs que estão operando naquela área.</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FASES DE DESENVOLVIMENTO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projeto deve seguir rigorosamente a evolução cronológica da engenharia de software orientada a objetos: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 Modelagem Conceitual (Análise de Domínio)</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Entregável:</w:t>
      </w:r>
      <w:r w:rsidDel="00000000" w:rsidR="00000000" w:rsidRPr="00000000">
        <w:rPr>
          <w:rFonts w:ascii="Google Sans" w:cs="Google Sans" w:eastAsia="Google Sans" w:hAnsi="Google Sans"/>
          <w:color w:val="1f1f1f"/>
          <w:rtl w:val="0"/>
        </w:rPr>
        <w:t xml:space="preserve"> Modelo de Domínio expresso em um Diagrama de Classes de Análise.</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Regra de Larman:</w:t>
      </w:r>
      <w:r w:rsidDel="00000000" w:rsidR="00000000" w:rsidRPr="00000000">
        <w:rPr>
          <w:rFonts w:ascii="Google Sans" w:cs="Google Sans" w:eastAsia="Google Sans" w:hAnsi="Google Sans"/>
          <w:color w:val="1f1f1f"/>
          <w:rtl w:val="0"/>
        </w:rPr>
        <w:t xml:space="preserve"> Devem ser mapeadas apenas as classes conceituais, seus atributos e as associações (com multiplicidade e verbos de ligação). </w:t>
      </w:r>
      <w:r w:rsidDel="00000000" w:rsidR="00000000" w:rsidRPr="00000000">
        <w:rPr>
          <w:rFonts w:ascii="Google Sans" w:cs="Google Sans" w:eastAsia="Google Sans" w:hAnsi="Google Sans"/>
          <w:b w:val="1"/>
          <w:bCs w:val="1"/>
          <w:color w:val="1f1f1f"/>
          <w:rtl w:val="0"/>
        </w:rPr>
        <w:t xml:space="preserve">É terminantemente proibido incluir assinaturas de métodos, modificadores de acesso (+ / -) ou tipos de dados específicos de linguagens de programação.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II: Modelagem de Arquitetura (Microserviços)</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Entregável:</w:t>
      </w:r>
      <w:r w:rsidDel="00000000" w:rsidR="00000000" w:rsidRPr="00000000">
        <w:rPr>
          <w:rFonts w:ascii="Google Sans" w:cs="Google Sans" w:eastAsia="Google Sans" w:hAnsi="Google Sans"/>
          <w:color w:val="1f1f1f"/>
          <w:rtl w:val="0"/>
        </w:rPr>
        <w:t xml:space="preserve"> Diagrama de Componentes ou de Implantação da UML.</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Regra:</w:t>
      </w:r>
      <w:r w:rsidDel="00000000" w:rsidR="00000000" w:rsidRPr="00000000">
        <w:rPr>
          <w:rFonts w:ascii="Google Sans" w:cs="Google Sans" w:eastAsia="Google Sans" w:hAnsi="Google Sans"/>
          <w:color w:val="1f1f1f"/>
          <w:rtl w:val="0"/>
        </w:rPr>
        <w:t xml:space="preserve"> O escopo escolhido deve ser mapeado em, no mínimo, </w:t>
      </w:r>
      <w:r w:rsidDel="00000000" w:rsidR="00000000" w:rsidRPr="00000000">
        <w:rPr>
          <w:rFonts w:ascii="Google Sans" w:cs="Google Sans" w:eastAsia="Google Sans" w:hAnsi="Google Sans"/>
          <w:b w:val="1"/>
          <w:bCs w:val="1"/>
          <w:color w:val="1f1f1f"/>
          <w:rtl w:val="0"/>
        </w:rPr>
        <w:t xml:space="preserve">dois microserviços isolados</w:t>
      </w:r>
      <w:r w:rsidDel="00000000" w:rsidR="00000000" w:rsidRPr="00000000">
        <w:rPr>
          <w:rFonts w:ascii="Google Sans" w:cs="Google Sans" w:eastAsia="Google Sans" w:hAnsi="Google Sans"/>
          <w:color w:val="1f1f1f"/>
          <w:rtl w:val="0"/>
        </w:rPr>
        <w:t xml:space="preserve">. O diagrama deve deixar explícito o isolamento de memória de cada aplicação e o protocolo de comunicação síncrona/assíncrona (REST/HTTP) que trafega pela rede dos containers Docker.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III: Design Detalhado (Padrões de Projeto GoF)</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Entregável:</w:t>
      </w:r>
      <w:r w:rsidDel="00000000" w:rsidR="00000000" w:rsidRPr="00000000">
        <w:rPr>
          <w:rFonts w:ascii="Google Sans" w:cs="Google Sans" w:eastAsia="Google Sans" w:hAnsi="Google Sans"/>
          <w:color w:val="1f1f1f"/>
          <w:rtl w:val="0"/>
        </w:rPr>
        <w:t xml:space="preserve"> Diagrama de Classes de Projeto (DCD).</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Regra de Larman:</w:t>
      </w:r>
      <w:r w:rsidDel="00000000" w:rsidR="00000000" w:rsidRPr="00000000">
        <w:rPr>
          <w:rFonts w:ascii="Google Sans" w:cs="Google Sans" w:eastAsia="Google Sans" w:hAnsi="Google Sans"/>
          <w:color w:val="1f1f1f"/>
          <w:rtl w:val="0"/>
        </w:rPr>
        <w:t xml:space="preserve"> O DCD deve ser a evolução direta do Modelo de Domínio, agora contendo tipos de dados, visibilidade, herança, interfaces e assinaturas completas de métodos com parâmetros.</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Mapeamento de Padrões:</w:t>
      </w:r>
    </w:p>
    <w:p w:rsidR="00000000" w:rsidDel="00000000" w:rsidP="00000000" w:rsidRDefault="00000000" w:rsidRPr="00000000" w14:paraId="0000002F">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RN01</w:t>
      </w:r>
      <w:r w:rsidDel="00000000" w:rsidR="00000000" w:rsidRPr="00000000">
        <w:rPr>
          <w:rFonts w:ascii="Google Sans" w:cs="Google Sans" w:eastAsia="Google Sans" w:hAnsi="Google Sans"/>
          <w:color w:val="1f1f1f"/>
          <w:rtl w:val="0"/>
        </w:rPr>
        <w:t xml:space="preserve"> de cada tema deve ser resolvida estruturalmente com o padrão </w:t>
      </w:r>
      <w:r w:rsidDel="00000000" w:rsidR="00000000" w:rsidRPr="00000000">
        <w:rPr>
          <w:rFonts w:ascii="Google Sans" w:cs="Google Sans" w:eastAsia="Google Sans" w:hAnsi="Google Sans"/>
          <w:b w:val="1"/>
          <w:bCs w:val="1"/>
          <w:color w:val="1f1f1f"/>
          <w:rtl w:val="0"/>
        </w:rPr>
        <w:t xml:space="preserve">Iterator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RN02</w:t>
      </w:r>
      <w:r w:rsidDel="00000000" w:rsidR="00000000" w:rsidRPr="00000000">
        <w:rPr>
          <w:rFonts w:ascii="Google Sans" w:cs="Google Sans" w:eastAsia="Google Sans" w:hAnsi="Google Sans"/>
          <w:color w:val="1f1f1f"/>
          <w:rtl w:val="0"/>
        </w:rPr>
        <w:t xml:space="preserve"> de cada tema deve ser resolvida estruturalmente com o padrão </w:t>
      </w:r>
      <w:r w:rsidDel="00000000" w:rsidR="00000000" w:rsidRPr="00000000">
        <w:rPr>
          <w:rFonts w:ascii="Google Sans" w:cs="Google Sans" w:eastAsia="Google Sans" w:hAnsi="Google Sans"/>
          <w:b w:val="1"/>
          <w:bCs w:val="1"/>
          <w:color w:val="1f1f1f"/>
          <w:rtl w:val="0"/>
        </w:rPr>
        <w:t xml:space="preserve">Strategy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RN03</w:t>
      </w:r>
      <w:r w:rsidDel="00000000" w:rsidR="00000000" w:rsidRPr="00000000">
        <w:rPr>
          <w:rFonts w:ascii="Google Sans" w:cs="Google Sans" w:eastAsia="Google Sans" w:hAnsi="Google Sans"/>
          <w:color w:val="1f1f1f"/>
          <w:rtl w:val="0"/>
        </w:rPr>
        <w:t xml:space="preserve"> de cada tema deve ser resolvida estruturalmente com o padrão </w:t>
      </w:r>
      <w:r w:rsidDel="00000000" w:rsidR="00000000" w:rsidRPr="00000000">
        <w:rPr>
          <w:rFonts w:ascii="Google Sans" w:cs="Google Sans" w:eastAsia="Google Sans" w:hAnsi="Google Sans"/>
          <w:b w:val="1"/>
          <w:bCs w:val="1"/>
          <w:color w:val="1f1f1f"/>
          <w:rtl w:val="0"/>
        </w:rPr>
        <w:t xml:space="preserve">Observer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IV: Implementação e Conteinerização</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Entregável:</w:t>
      </w:r>
      <w:r w:rsidDel="00000000" w:rsidR="00000000" w:rsidRPr="00000000">
        <w:rPr>
          <w:rFonts w:ascii="Google Sans" w:cs="Google Sans" w:eastAsia="Google Sans" w:hAnsi="Google Sans"/>
          <w:color w:val="1f1f1f"/>
          <w:rtl w:val="0"/>
        </w:rPr>
        <w:t xml:space="preserve"> Código-fonte e arquivos de infraestrutura.</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Regra:</w:t>
      </w:r>
      <w:r w:rsidDel="00000000" w:rsidR="00000000" w:rsidRPr="00000000">
        <w:rPr>
          <w:rFonts w:ascii="Google Sans" w:cs="Google Sans" w:eastAsia="Google Sans" w:hAnsi="Google Sans"/>
          <w:color w:val="1f1f1f"/>
          <w:rtl w:val="0"/>
        </w:rPr>
        <w:t xml:space="preserve"> O código deve ser a tradução fiel do DCD proposto na Fase III.</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ROTEIRO DO RELATÓRIO E DEFESA DA APRESENTAÇÃO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Além do código-fonte, cada equipe será avaliada pelo seu poder de síntese e fundamentação de engenharia de software por meio de um relatório escrito e uma apresentação em sala.</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Regra Estrita de Tempo da Apresentação</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 apresentação e demonstração prática do software devem durar </w:t>
      </w:r>
      <w:r w:rsidDel="00000000" w:rsidR="00000000" w:rsidRPr="00000000">
        <w:rPr>
          <w:rFonts w:ascii="Google Sans" w:cs="Google Sans" w:eastAsia="Google Sans" w:hAnsi="Google Sans"/>
          <w:b w:val="1"/>
          <w:bCs w:val="1"/>
          <w:color w:val="1f1f1f"/>
          <w:rtl w:val="0"/>
        </w:rPr>
        <w:t xml:space="preserve">no mínimo 3 minutos e no máximo 5 minutos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Penalidade:</w:t>
      </w:r>
      <w:r w:rsidDel="00000000" w:rsidR="00000000" w:rsidRPr="00000000">
        <w:rPr>
          <w:rFonts w:ascii="Google Sans" w:cs="Google Sans" w:eastAsia="Google Sans" w:hAnsi="Google Sans"/>
          <w:color w:val="1f1f1f"/>
          <w:rtl w:val="0"/>
        </w:rPr>
        <w:t xml:space="preserve"> Equipes que não atingirem o tempo mínimo ou estourarem o tempo máximo perderão pontos automaticamente na avaliação de síntese. A apresentação deve ir direto aos pontos técnicos e de design, sem introduções comerciais.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Itens Obrigatórios a Evidenciar (No Relatório e na Apresentação)</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Demonstração Dinâmica do Strategy:</w:t>
      </w:r>
      <w:r w:rsidDel="00000000" w:rsidR="00000000" w:rsidRPr="00000000">
        <w:rPr>
          <w:rFonts w:ascii="Google Sans" w:cs="Google Sans" w:eastAsia="Google Sans" w:hAnsi="Google Sans"/>
          <w:color w:val="1f1f1f"/>
          <w:rtl w:val="0"/>
        </w:rPr>
        <w:t xml:space="preserve"> A equipe deve executar um cenário de teste ou rota de API provando que foi capaz de criar </w:t>
      </w:r>
      <w:r w:rsidDel="00000000" w:rsidR="00000000" w:rsidRPr="00000000">
        <w:rPr>
          <w:rFonts w:ascii="Google Sans" w:cs="Google Sans" w:eastAsia="Google Sans" w:hAnsi="Google Sans"/>
          <w:b w:val="1"/>
          <w:bCs w:val="1"/>
          <w:color w:val="1f1f1f"/>
          <w:rtl w:val="0"/>
        </w:rPr>
        <w:t xml:space="preserve">uma nova estratégia de algoritmo que não estava prevista na modelagem inicial</w:t>
      </w:r>
      <w:r w:rsidDel="00000000" w:rsidR="00000000" w:rsidRPr="00000000">
        <w:rPr>
          <w:rFonts w:ascii="Google Sans" w:cs="Google Sans" w:eastAsia="Google Sans" w:hAnsi="Google Sans"/>
          <w:color w:val="1f1f1f"/>
          <w:rtl w:val="0"/>
        </w:rPr>
        <w:t xml:space="preserve"> e realizar a troca dessa estratégia em tempo de execução, modificando o comportamento do sistema sem reiniciar o container.</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Defesa Científica do Observer (Push vs. Pull):</w:t>
      </w:r>
      <w:r w:rsidDel="00000000" w:rsidR="00000000" w:rsidRPr="00000000">
        <w:rPr>
          <w:rFonts w:ascii="Google Sans" w:cs="Google Sans" w:eastAsia="Google Sans" w:hAnsi="Google Sans"/>
          <w:color w:val="1f1f1f"/>
          <w:rtl w:val="0"/>
        </w:rPr>
        <w:t xml:space="preserve"> A equipe deve justificar tecnicamente a abordagem adotada para a notificação de eventos (se o </w:t>
      </w:r>
      <w:r w:rsidDel="00000000" w:rsidR="00000000" w:rsidRPr="00000000">
        <w:rPr>
          <w:rFonts w:ascii="Google Sans" w:cs="Google Sans" w:eastAsia="Google Sans" w:hAnsi="Google Sans"/>
          <w:i w:val="1"/>
          <w:iCs w:val="1"/>
          <w:color w:val="1f1f1f"/>
          <w:rtl w:val="0"/>
        </w:rPr>
        <w:t xml:space="preserve">Subject</w:t>
      </w:r>
      <w:r w:rsidDel="00000000" w:rsidR="00000000" w:rsidRPr="00000000">
        <w:rPr>
          <w:rFonts w:ascii="Google Sans" w:cs="Google Sans" w:eastAsia="Google Sans" w:hAnsi="Google Sans"/>
          <w:color w:val="1f1f1f"/>
          <w:rtl w:val="0"/>
        </w:rPr>
        <w:t xml:space="preserve"> envia o estado completo para os ouvintes no modelo </w:t>
      </w:r>
      <w:r w:rsidDel="00000000" w:rsidR="00000000" w:rsidRPr="00000000">
        <w:rPr>
          <w:rFonts w:ascii="Google Sans" w:cs="Google Sans" w:eastAsia="Google Sans" w:hAnsi="Google Sans"/>
          <w:b w:val="1"/>
          <w:bCs w:val="1"/>
          <w:color w:val="1f1f1f"/>
          <w:rtl w:val="0"/>
        </w:rPr>
        <w:t xml:space="preserve">Push</w:t>
      </w:r>
      <w:r w:rsidDel="00000000" w:rsidR="00000000" w:rsidRPr="00000000">
        <w:rPr>
          <w:rFonts w:ascii="Google Sans" w:cs="Google Sans" w:eastAsia="Google Sans" w:hAnsi="Google Sans"/>
          <w:color w:val="1f1f1f"/>
          <w:rtl w:val="0"/>
        </w:rPr>
        <w:t xml:space="preserve">, ou se envia apenas um aviso de modificação forçando os ouvintes a buscarem o dado no modelo </w:t>
      </w:r>
      <w:r w:rsidDel="00000000" w:rsidR="00000000" w:rsidRPr="00000000">
        <w:rPr>
          <w:rFonts w:ascii="Google Sans" w:cs="Google Sans" w:eastAsia="Google Sans" w:hAnsi="Google Sans"/>
          <w:b w:val="1"/>
          <w:bCs w:val="1"/>
          <w:color w:val="1f1f1f"/>
          <w:rtl w:val="0"/>
        </w:rPr>
        <w:t xml:space="preserve">Pull</w:t>
      </w:r>
      <w:r w:rsidDel="00000000" w:rsidR="00000000" w:rsidRPr="00000000">
        <w:rPr>
          <w:rFonts w:ascii="Google Sans" w:cs="Google Sans" w:eastAsia="Google Sans" w:hAnsi="Google Sans"/>
          <w:color w:val="1f1f1f"/>
          <w:rtl w:val="0"/>
        </w:rPr>
        <w:t xml:space="preserve">). Deve-se discutir formalmente os impactos dessa escolha no acoplamento das classes, no tráfego de rede entre os serviços e na evolução a longo prazo do sistema.</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Encapsulamento do Iterator:</w:t>
      </w:r>
      <w:r w:rsidDel="00000000" w:rsidR="00000000" w:rsidRPr="00000000">
        <w:rPr>
          <w:rFonts w:ascii="Google Sans" w:cs="Google Sans" w:eastAsia="Google Sans" w:hAnsi="Google Sans"/>
          <w:color w:val="1f1f1f"/>
          <w:rtl w:val="0"/>
        </w:rPr>
        <w:t xml:space="preserve"> Mostrar no código-fonte que o cliente que lê os dados da </w:t>
      </w:r>
      <w:r w:rsidDel="00000000" w:rsidR="00000000" w:rsidRPr="00000000">
        <w:rPr>
          <w:rFonts w:ascii="Google Sans" w:cs="Google Sans" w:eastAsia="Google Sans" w:hAnsi="Google Sans"/>
          <w:b w:val="1"/>
          <w:bCs w:val="1"/>
          <w:color w:val="1f1f1f"/>
          <w:rtl w:val="0"/>
        </w:rPr>
        <w:t xml:space="preserve">RN01</w:t>
      </w:r>
      <w:r w:rsidDel="00000000" w:rsidR="00000000" w:rsidRPr="00000000">
        <w:rPr>
          <w:rFonts w:ascii="Google Sans" w:cs="Google Sans" w:eastAsia="Google Sans" w:hAnsi="Google Sans"/>
          <w:color w:val="1f1f1f"/>
          <w:rtl w:val="0"/>
        </w:rPr>
        <w:t xml:space="preserve"> faz uso exclusivo da interface do Iterator, estando completamente blindado e incapaz de acessar ou conhecer a coleção interna que guarda os dados em memória.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