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E3E9" w14:textId="77777777" w:rsidR="007A336D" w:rsidRPr="00F018A4" w:rsidRDefault="00624A78" w:rsidP="007A336D">
      <w:pPr>
        <w:tabs>
          <w:tab w:val="num" w:pos="720"/>
        </w:tabs>
        <w:spacing w:before="150" w:after="0" w:line="360" w:lineRule="atLeast"/>
        <w:rPr>
          <w:rFonts w:ascii="Times New Roman" w:hAnsi="Times New Roman" w:cs="Times New Roman"/>
          <w:b/>
          <w:bCs/>
          <w:color w:val="3A7C22" w:themeColor="accent6" w:themeShade="BF"/>
          <w:sz w:val="24"/>
          <w:szCs w:val="24"/>
        </w:rPr>
      </w:pPr>
      <w:r w:rsidRPr="00F018A4">
        <w:rPr>
          <w:rFonts w:ascii="Times New Roman" w:hAnsi="Times New Roman" w:cs="Times New Roman"/>
          <w:b/>
          <w:bCs/>
          <w:color w:val="3A7C22" w:themeColor="accent6" w:themeShade="BF"/>
          <w:sz w:val="24"/>
          <w:szCs w:val="24"/>
        </w:rPr>
        <w:t xml:space="preserve">Crowdfunding Analysis </w:t>
      </w:r>
    </w:p>
    <w:p w14:paraId="1890B436" w14:textId="2DB70BDF" w:rsidR="00003298" w:rsidRPr="00003298" w:rsidRDefault="007A336D" w:rsidP="007A336D">
      <w:pPr>
        <w:tabs>
          <w:tab w:val="num" w:pos="720"/>
        </w:tabs>
        <w:spacing w:before="150"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Crowdfunding </w:t>
      </w:r>
      <w:r w:rsidR="00003298" w:rsidRPr="00003298">
        <w:rPr>
          <w:rFonts w:ascii="Times New Roman" w:hAnsi="Times New Roman" w:cs="Times New Roman"/>
          <w:sz w:val="24"/>
          <w:szCs w:val="24"/>
        </w:rPr>
        <w:t>is one of many ways a company raises money for a specific business venture or cause. The information provided in the data sheet for the purpose of organizing and analyzing included fields pertaining to financials, goals, timelines, outcomes and more.</w:t>
      </w:r>
    </w:p>
    <w:p w14:paraId="5BE282EF" w14:textId="77777777" w:rsidR="00242619" w:rsidRDefault="00242619" w:rsidP="007A336D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A336D">
        <w:rPr>
          <w:b/>
          <w:bCs/>
          <w:color w:val="2B2B2B"/>
        </w:rPr>
        <w:t>Given the provided data, what are three conclusions that we can draw about crowdfunding campaigns?</w:t>
      </w:r>
    </w:p>
    <w:p w14:paraId="26A0B4C6" w14:textId="0FBE36A5" w:rsidR="007A336D" w:rsidRPr="00F018A4" w:rsidRDefault="007A336D" w:rsidP="007A336D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7A336D">
        <w:rPr>
          <w:color w:val="2B2B2B"/>
        </w:rPr>
        <w:t xml:space="preserve">Theater had the most successful outcome whereas every other field could barely compare. </w:t>
      </w:r>
      <w:r w:rsidR="00F018A4">
        <w:rPr>
          <w:color w:val="2B2B2B"/>
        </w:rPr>
        <w:t xml:space="preserve">The categories of </w:t>
      </w:r>
      <w:proofErr w:type="spellStart"/>
      <w:r>
        <w:rPr>
          <w:color w:val="2B2B2B"/>
        </w:rPr>
        <w:t>Film&amp;Video</w:t>
      </w:r>
      <w:proofErr w:type="spellEnd"/>
      <w:r>
        <w:rPr>
          <w:color w:val="2B2B2B"/>
        </w:rPr>
        <w:t xml:space="preserve"> </w:t>
      </w:r>
      <w:r w:rsidR="00F018A4">
        <w:rPr>
          <w:color w:val="2B2B2B"/>
        </w:rPr>
        <w:t xml:space="preserve">along with Music had all around very similar outcomes. And journalism had the very least success which isn’t surprising being that it is what some would call “a dying field”.  </w:t>
      </w:r>
    </w:p>
    <w:p w14:paraId="033AEE86" w14:textId="63DEA89D" w:rsidR="00AC72F8" w:rsidRPr="00AC72F8" w:rsidRDefault="007A336D" w:rsidP="00F018A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160CCC8C" wp14:editId="67EC0330">
            <wp:extent cx="6164580" cy="2743200"/>
            <wp:effectExtent l="0" t="0" r="7620" b="0"/>
            <wp:docPr id="17559501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2462A1-5C03-0E17-E872-15FAA3172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C72F8" w:rsidRPr="00AC72F8">
        <w:rPr>
          <w:color w:val="2B2B2B"/>
        </w:rPr>
        <w:t xml:space="preserve">Also, based on the pivot table below, we can conclude that the summer months (June-august) are the best times </w:t>
      </w:r>
      <w:r w:rsidR="00AC72F8">
        <w:rPr>
          <w:color w:val="2B2B2B"/>
        </w:rPr>
        <w:t>to generate more revenue and start new projects.</w:t>
      </w:r>
    </w:p>
    <w:tbl>
      <w:tblPr>
        <w:tblW w:w="2870" w:type="dxa"/>
        <w:tblLook w:val="04A0" w:firstRow="1" w:lastRow="0" w:firstColumn="1" w:lastColumn="0" w:noHBand="0" w:noVBand="1"/>
      </w:tblPr>
      <w:tblGrid>
        <w:gridCol w:w="1081"/>
        <w:gridCol w:w="1094"/>
        <w:gridCol w:w="778"/>
        <w:gridCol w:w="1218"/>
        <w:gridCol w:w="831"/>
      </w:tblGrid>
      <w:tr w:rsidR="00AC72F8" w:rsidRPr="00AC72F8" w14:paraId="722ED64E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F58C" w14:textId="77777777" w:rsidR="00AC72F8" w:rsidRPr="00AC72F8" w:rsidRDefault="00AC72F8" w:rsidP="00AC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C7FD" w14:textId="77777777" w:rsidR="00AC72F8" w:rsidRPr="00AC72F8" w:rsidRDefault="00AC72F8" w:rsidP="00AC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FD5E" w14:textId="77777777" w:rsidR="00AC72F8" w:rsidRPr="00AC72F8" w:rsidRDefault="00AC72F8" w:rsidP="00AC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CB6D" w14:textId="77777777" w:rsidR="00AC72F8" w:rsidRPr="00AC72F8" w:rsidRDefault="00AC72F8" w:rsidP="00AC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EAFE" w14:textId="77777777" w:rsidR="00AC72F8" w:rsidRPr="00AC72F8" w:rsidRDefault="00AC72F8" w:rsidP="00AC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C72F8" w:rsidRPr="00AC72F8" w14:paraId="59189D74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E06BD8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Count of </w:t>
            </w:r>
            <w:proofErr w:type="gramStart"/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sub category</w:t>
            </w:r>
            <w:proofErr w:type="gram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95FA8A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Labels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B93508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3456E3" w14:textId="77777777" w:rsidR="00AC72F8" w:rsidRPr="00AC72F8" w:rsidRDefault="00AC72F8" w:rsidP="00AC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F625E6" w14:textId="77777777" w:rsidR="00AC72F8" w:rsidRPr="00AC72F8" w:rsidRDefault="00AC72F8" w:rsidP="00AC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C72F8" w:rsidRPr="00AC72F8" w14:paraId="70B307F5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5D4E20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AD314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07B9D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22E53E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C13FA2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AC72F8" w:rsidRPr="00AC72F8" w14:paraId="0585B4A7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479A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Jan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B3B1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517C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E71F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91D0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91</w:t>
            </w:r>
          </w:p>
        </w:tc>
      </w:tr>
      <w:tr w:rsidR="00AC72F8" w:rsidRPr="00AC72F8" w14:paraId="0A12F925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2735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Feb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1376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95C6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82BA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0371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79</w:t>
            </w:r>
          </w:p>
        </w:tc>
      </w:tr>
      <w:tr w:rsidR="00AC72F8" w:rsidRPr="00AC72F8" w14:paraId="055919A4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B3EC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Mar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100B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4F62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5730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BE8D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</w:tr>
      <w:tr w:rsidR="00AC72F8" w:rsidRPr="00AC72F8" w14:paraId="4AAD9873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6A24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Apr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BE72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ED50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DDFE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4180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</w:tr>
      <w:tr w:rsidR="00AC72F8" w:rsidRPr="00AC72F8" w14:paraId="3499416E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6287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73FE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8B6D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A3C1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32C9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</w:tr>
      <w:tr w:rsidR="00AC72F8" w:rsidRPr="00AC72F8" w14:paraId="53C4BEF3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EED3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Jun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1B00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CB3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66BB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D665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</w:tr>
      <w:tr w:rsidR="00AC72F8" w:rsidRPr="00AC72F8" w14:paraId="580808A3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5D73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Jul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D135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9C39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F281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F064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</w:tr>
      <w:tr w:rsidR="00AC72F8" w:rsidRPr="00AC72F8" w14:paraId="1FA2579E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4D06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Aug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CA08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4921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67FA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DEBA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</w:tr>
      <w:tr w:rsidR="00AC72F8" w:rsidRPr="00AC72F8" w14:paraId="6D52996F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E44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Sep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F6AF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8B91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F40C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36F0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73</w:t>
            </w:r>
          </w:p>
        </w:tc>
      </w:tr>
      <w:tr w:rsidR="00AC72F8" w:rsidRPr="00AC72F8" w14:paraId="04A36180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2818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Oct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E26E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7B43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A95C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F72D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</w:tr>
      <w:tr w:rsidR="00AC72F8" w:rsidRPr="00AC72F8" w14:paraId="30950B40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3190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Nov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0E6B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060D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D8C6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D24F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</w:tr>
      <w:tr w:rsidR="00AC72F8" w:rsidRPr="00AC72F8" w14:paraId="4EB5022A" w14:textId="77777777" w:rsidTr="00AC72F8">
        <w:trPr>
          <w:trHeight w:val="54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54F7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Dec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62D8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CD84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FAA7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86E7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81</w:t>
            </w:r>
          </w:p>
        </w:tc>
      </w:tr>
      <w:tr w:rsidR="00AC72F8" w:rsidRPr="00AC72F8" w14:paraId="607ACED2" w14:textId="77777777" w:rsidTr="00AC72F8">
        <w:trPr>
          <w:trHeight w:val="54"/>
        </w:trPr>
        <w:tc>
          <w:tcPr>
            <w:tcW w:w="66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20F295" w14:textId="77777777" w:rsidR="00AC72F8" w:rsidRPr="00AC72F8" w:rsidRDefault="00AC72F8" w:rsidP="00AC7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6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06F221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43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83B812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68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3993CF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4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E83D0C" w14:textId="77777777" w:rsidR="00AC72F8" w:rsidRPr="00AC72F8" w:rsidRDefault="00AC72F8" w:rsidP="00AC72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72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986</w:t>
            </w:r>
          </w:p>
        </w:tc>
      </w:tr>
    </w:tbl>
    <w:p w14:paraId="77DDAC54" w14:textId="77777777" w:rsidR="00AC72F8" w:rsidRDefault="00AC72F8" w:rsidP="00F018A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BC5DF92" w14:textId="06AA76F6" w:rsidR="00242619" w:rsidRPr="00F018A4" w:rsidRDefault="00242619" w:rsidP="00F018A4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F018A4">
        <w:rPr>
          <w:b/>
          <w:bCs/>
          <w:color w:val="2B2B2B"/>
        </w:rPr>
        <w:t>What are some limitations of this dataset?</w:t>
      </w:r>
    </w:p>
    <w:p w14:paraId="4C7961B9" w14:textId="0CE030D6" w:rsidR="00F018A4" w:rsidRPr="00F018A4" w:rsidRDefault="00F018A4" w:rsidP="00F018A4">
      <w:pPr>
        <w:pStyle w:val="NormalWeb"/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There is pertinent information missing from the data that would help give us a better understanding of the timeline, such as dates the campaign started and ended as well as how long it took for the set goals to be achieved.</w:t>
      </w:r>
    </w:p>
    <w:p w14:paraId="560418F8" w14:textId="59207019" w:rsidR="009D4F72" w:rsidRPr="00F018A4" w:rsidRDefault="00242619" w:rsidP="00F018A4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F018A4">
        <w:rPr>
          <w:b/>
          <w:bCs/>
          <w:color w:val="2B2B2B"/>
        </w:rPr>
        <w:t>What are some other possible tables and/or graphs that we could create, and what additional value would they provide?</w:t>
      </w:r>
    </w:p>
    <w:p w14:paraId="09838FC5" w14:textId="4770057A" w:rsidR="00624A78" w:rsidRPr="00F018A4" w:rsidRDefault="00624A78" w:rsidP="00F018A4">
      <w:pPr>
        <w:pStyle w:val="NormalWeb"/>
        <w:spacing w:before="150" w:beforeAutospacing="0" w:after="0" w:afterAutospacing="0" w:line="360" w:lineRule="atLeast"/>
        <w:rPr>
          <w:color w:val="2B2B2B"/>
        </w:rPr>
      </w:pPr>
      <w:r w:rsidRPr="00F018A4">
        <w:rPr>
          <w:color w:val="2B2B2B"/>
        </w:rPr>
        <w:t xml:space="preserve">Box </w:t>
      </w:r>
      <w:r w:rsidR="00F018A4" w:rsidRPr="00F018A4">
        <w:rPr>
          <w:color w:val="2B2B2B"/>
        </w:rPr>
        <w:t>plots</w:t>
      </w:r>
      <w:r w:rsidRPr="00F018A4">
        <w:rPr>
          <w:color w:val="2B2B2B"/>
        </w:rPr>
        <w:t xml:space="preserve"> and Histograms will help us to better visualize the data through illustration as opposed to looking at a bunch of numbers. </w:t>
      </w:r>
    </w:p>
    <w:p w14:paraId="7E1A2C68" w14:textId="0F431490" w:rsidR="00242619" w:rsidRPr="00242619" w:rsidRDefault="00242619" w:rsidP="0024261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sectPr w:rsidR="00242619" w:rsidRPr="0024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6606"/>
    <w:multiLevelType w:val="multilevel"/>
    <w:tmpl w:val="9C2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82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9"/>
    <w:rsid w:val="00003298"/>
    <w:rsid w:val="00242619"/>
    <w:rsid w:val="003D1FFB"/>
    <w:rsid w:val="00624A78"/>
    <w:rsid w:val="00702BC3"/>
    <w:rsid w:val="007A336D"/>
    <w:rsid w:val="009D4F72"/>
    <w:rsid w:val="00AC72F8"/>
    <w:rsid w:val="00F0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F619"/>
  <w15:chartTrackingRefBased/>
  <w15:docId w15:val="{372CE269-D005-4065-BD9A-66B7F2BB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4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64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5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73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RB.xlsx]pivot table!PivotTable1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music</c:v>
                </c:pt>
                <c:pt idx="3">
                  <c:v>film &amp; video</c:v>
                </c:pt>
                <c:pt idx="4">
                  <c:v>photography</c:v>
                </c:pt>
                <c:pt idx="5">
                  <c:v>publishing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table'!$B$5:$B$14</c:f>
              <c:numCache>
                <c:formatCode>General</c:formatCode>
                <c:ptCount val="9"/>
                <c:pt idx="0">
                  <c:v>23</c:v>
                </c:pt>
                <c:pt idx="1">
                  <c:v>2</c:v>
                </c:pt>
                <c:pt idx="2">
                  <c:v>10</c:v>
                </c:pt>
                <c:pt idx="3">
                  <c:v>11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FA-45EA-BFF8-3B032C657819}"/>
            </c:ext>
          </c:extLst>
        </c:ser>
        <c:ser>
          <c:idx val="1"/>
          <c:order val="1"/>
          <c:tx>
            <c:strRef>
              <c:f>'pivot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music</c:v>
                </c:pt>
                <c:pt idx="3">
                  <c:v>film &amp; video</c:v>
                </c:pt>
                <c:pt idx="4">
                  <c:v>photography</c:v>
                </c:pt>
                <c:pt idx="5">
                  <c:v>publishing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table'!$C$5:$C$14</c:f>
              <c:numCache>
                <c:formatCode>General</c:formatCode>
                <c:ptCount val="9"/>
                <c:pt idx="0">
                  <c:v>132</c:v>
                </c:pt>
                <c:pt idx="1">
                  <c:v>28</c:v>
                </c:pt>
                <c:pt idx="2">
                  <c:v>66</c:v>
                </c:pt>
                <c:pt idx="3">
                  <c:v>60</c:v>
                </c:pt>
                <c:pt idx="4">
                  <c:v>11</c:v>
                </c:pt>
                <c:pt idx="5">
                  <c:v>24</c:v>
                </c:pt>
                <c:pt idx="6">
                  <c:v>23</c:v>
                </c:pt>
                <c:pt idx="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FA-45EA-BFF8-3B032C657819}"/>
            </c:ext>
          </c:extLst>
        </c:ser>
        <c:ser>
          <c:idx val="2"/>
          <c:order val="2"/>
          <c:tx>
            <c:strRef>
              <c:f>'pivot table'!$D$3:$D$4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music</c:v>
                </c:pt>
                <c:pt idx="3">
                  <c:v>film &amp; video</c:v>
                </c:pt>
                <c:pt idx="4">
                  <c:v>photography</c:v>
                </c:pt>
                <c:pt idx="5">
                  <c:v>publishing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table'!$D$5:$D$14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FA-45EA-BFF8-3B032C657819}"/>
            </c:ext>
          </c:extLst>
        </c:ser>
        <c:ser>
          <c:idx val="3"/>
          <c:order val="3"/>
          <c:tx>
            <c:strRef>
              <c:f>'pivot table'!$E$3:$E$4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music</c:v>
                </c:pt>
                <c:pt idx="3">
                  <c:v>film &amp; video</c:v>
                </c:pt>
                <c:pt idx="4">
                  <c:v>photography</c:v>
                </c:pt>
                <c:pt idx="5">
                  <c:v>publishing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'pivot table'!$E$5:$E$14</c:f>
              <c:numCache>
                <c:formatCode>General</c:formatCode>
                <c:ptCount val="9"/>
                <c:pt idx="0">
                  <c:v>187</c:v>
                </c:pt>
                <c:pt idx="1">
                  <c:v>64</c:v>
                </c:pt>
                <c:pt idx="2">
                  <c:v>99</c:v>
                </c:pt>
                <c:pt idx="3">
                  <c:v>102</c:v>
                </c:pt>
                <c:pt idx="4">
                  <c:v>26</c:v>
                </c:pt>
                <c:pt idx="5">
                  <c:v>40</c:v>
                </c:pt>
                <c:pt idx="6">
                  <c:v>21</c:v>
                </c:pt>
                <c:pt idx="7">
                  <c:v>22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FA-45EA-BFF8-3B032C657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45538575"/>
        <c:axId val="647274175"/>
      </c:barChart>
      <c:catAx>
        <c:axId val="645538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274175"/>
        <c:crosses val="autoZero"/>
        <c:auto val="1"/>
        <c:lblAlgn val="ctr"/>
        <c:lblOffset val="100"/>
        <c:noMultiLvlLbl val="0"/>
      </c:catAx>
      <c:valAx>
        <c:axId val="64727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538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Brown</dc:creator>
  <cp:keywords/>
  <dc:description/>
  <cp:lastModifiedBy>Daryl Brown</cp:lastModifiedBy>
  <cp:revision>2</cp:revision>
  <dcterms:created xsi:type="dcterms:W3CDTF">2023-12-16T04:09:00Z</dcterms:created>
  <dcterms:modified xsi:type="dcterms:W3CDTF">2023-12-16T04:09:00Z</dcterms:modified>
</cp:coreProperties>
</file>