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sz w:val="32"/>
        </w:rPr>
        <w:t xml:space="preserve">NetGuard ML ? Phase 1 Project Foundation</w:t>
      </w:r>
    </w:p>
    <w:p>
      <w:pPr>
        <w:spacing w:before="240" w:after="80"/>
      </w:pPr>
      <w:r>
        <w:rPr>
          <w:b/>
          <w:sz w:val="26"/>
        </w:rPr>
        <w:t xml:space="preserve">Project context</w:t>
      </w:r>
    </w:p>
    <w:p>
      <w:pPr>
        <w:spacing w:after="120"/>
      </w:pPr>
      <w:r>
        <w:rPr>
          <w:sz w:val="22"/>
        </w:rPr>
        <w:t xml:space="preserve">Machine-learning-based network intrusion detection prototype for the IBM SkillsBuild Cyber Security Bootcamp 2026, conducted by BharatCares.</w:t>
      </w:r>
    </w:p>
    <w:p>
      <w:pPr>
        <w:spacing w:before="240" w:after="80"/>
      </w:pPr>
      <w:r>
        <w:rPr>
          <w:b/>
          <w:sz w:val="26"/>
        </w:rPr>
        <w:t xml:space="preserve">Objective and scope</w:t>
      </w:r>
    </w:p>
    <w:p>
      <w:pPr>
        <w:spacing w:after="120"/>
      </w:pPr>
      <w:r>
        <w:rPr>
          <w:sz w:val="22"/>
        </w:rPr>
        <w:t xml:space="preserve">The planned prototype classifies labeled CIC-IDS2017 network-flow records into BENIGN (0) and ATTACK (1), where all non-benign source attack labels map to ATTACK. This phase establishes the project specification and reproducible data plan only. No data has been downloaded or inspected, and no model has been trained or evaluated.</w:t>
      </w:r>
    </w:p>
    <w:p>
      <w:pPr>
        <w:spacing w:after="120"/>
      </w:pPr>
      <w:r>
        <w:rPr>
          <w:sz w:val="22"/>
        </w:rPr>
        <w:t xml:space="preserve">Out of scope: multiclass attack-family prediction, live packet capture, dashboards, cloud deployment, and paid APIs.</w:t>
      </w:r>
    </w:p>
    <w:p>
      <w:pPr>
        <w:spacing w:before="240" w:after="80"/>
      </w:pPr>
      <w:r>
        <w:rPr>
          <w:b/>
          <w:sz w:val="26"/>
        </w:rPr>
        <w:t xml:space="preserve">Dataset source</w:t>
      </w:r>
    </w:p>
    <w:p>
      <w:pPr>
        <w:spacing w:after="120"/>
      </w:pPr>
      <w:r>
        <w:rPr>
          <w:sz w:val="22"/>
        </w:rPr>
        <w:t xml:space="preserve">Official Canadian Institute for Cybersecurity CIC-IDS2017 dataset page: https://www.unb.ca/cic/datasets/ids-2017.html. The source page describes labeled CICFlowMeter flow CSVs. Actual files, headers, values, and labels must be verified after acquisition.</w:t>
      </w:r>
    </w:p>
    <w:p>
      <w:pPr>
        <w:spacing w:before="240" w:after="80"/>
      </w:pPr>
      <w:r>
        <w:rPr>
          <w:b/>
          <w:sz w:val="26"/>
        </w:rPr>
        <w:t xml:space="preserve">Loading plan</w:t>
      </w:r>
    </w:p>
    <w:p>
      <w:pPr>
        <w:spacing w:after="120"/>
      </w:pPr>
      <w:r>
        <w:rPr>
          <w:sz w:val="22"/>
        </w:rPr>
        <w:t xml:space="preserve">Keep original CSVs in data/raw and do not commit large raw files. Inventory file sizes and inspect headers before processing. Read incrementally with pandas.read_csv(chunksize=...), starting with a modest chunk such as 100,000 rows and adjust to available memory. Audit schema, labels, missing/infinite values, and class counts per chunk. Use a documented, deterministic sampling method for the initial modeling subset, retaining source-file provenance and writing derived data only to data/sample. Split before fitting preprocessing and fit preprocessing only on training data.</w:t>
      </w:r>
    </w:p>
    <w:p>
      <w:pPr>
        <w:spacing w:before="240" w:after="80"/>
      </w:pPr>
      <w:r>
        <w:rPr>
          <w:b/>
          <w:sz w:val="26"/>
        </w:rPr>
        <w:t xml:space="preserve">Candidate features</w:t>
      </w:r>
    </w:p>
    <w:p>
      <w:pPr>
        <w:spacing w:after="120"/>
      </w:pPr>
      <w:r>
        <w:rPr>
          <w:sz w:val="22"/>
        </w:rPr>
        <w:t xml:space="preserve">Subject to verifying the data schema: flow duration, directional packet and byte counts, packet-length summaries, rates, TCP flag counts, and protocol when suitable. Exclude direct identifiers, source/destination IP addresses, raw timestamps, and the target from the initial feature set; inspect ports, duplicates, and all columns for leakage.</w:t>
      </w:r>
    </w:p>
    <w:p>
      <w:pPr>
        <w:spacing w:before="240" w:after="80"/>
      </w:pPr>
      <w:r>
        <w:rPr>
          <w:b/>
          <w:sz w:val="26"/>
        </w:rPr>
        <w:t xml:space="preserve">Evaluation plan</w:t>
      </w:r>
    </w:p>
    <w:p>
      <w:pPr>
        <w:spacing w:after="120"/>
      </w:pPr>
      <w:r>
        <w:rPr>
          <w:sz w:val="22"/>
        </w:rPr>
        <w:t xml:space="preserve">In a later phase, compare a simple baseline with a small number of binary classifiers using a documented train/validation/test split. Report a confusion matrix, attack precision, recall and F1, PR-AUC and ROC-AUC where meaningful, and accuracy as supporting context. Consider file/day-aware split and duplicate/group leakage. No metric results are available in this phase.</w:t>
      </w:r>
    </w:p>
    <w:p>
      <w:pPr>
        <w:spacing w:before="240" w:after="80"/>
      </w:pPr>
      <w:r>
        <w:rPr>
          <w:b/>
          <w:sz w:val="26"/>
        </w:rPr>
        <w:t xml:space="preserve">Risks and limitations</w:t>
      </w:r>
    </w:p>
    <w:p>
      <w:pPr>
        <w:spacing w:after="120"/>
      </w:pPr>
      <w:r>
        <w:rPr>
          <w:sz w:val="22"/>
        </w:rPr>
        <w:t xml:space="preserve">The benchmark is dated and may not represent modern production traffic. Class imbalance, inconsistent CSV labels/columns, malformed values, duplicates, leakage across related flows or days, and biased subsampling can distort results. Chunking limits per-read memory but does not guarantee representative sampling. Offline scores will not establish production effectiveness or real-time capability.</w:t>
      </w:r>
    </w:p>
    <w:p>
      <w:pPr>
        <w:spacing w:before="240" w:after="80"/>
      </w:pPr>
      <w:r>
        <w:rPr>
          <w:b/>
          <w:sz w:val="26"/>
        </w:rPr>
        <w:t xml:space="preserve">Reproducibility</w:t>
      </w:r>
    </w:p>
    <w:p>
      <w:pPr>
        <w:spacing w:after="120"/>
      </w:pPr>
      <w:r>
        <w:rPr>
          <w:sz w:val="22"/>
        </w:rPr>
        <w:t xml:space="preserve">Record Python and package versions, source URLs, selected filenames and SHA-256 checksums, chunk size, sampling seed and method, label mapping, feature list, cleaning decisions, split logic, and model parameters. Keep raw data unmodified and outside version control. Do not claim results until observed and validated.</w:t>
      </w:r>
    </w:p>
    <w:p>
      <w:pPr>
        <w:spacing w:before="240" w:after="80"/>
      </w:pPr>
      <w:r>
        <w:rPr>
          <w:b/>
          <w:sz w:val="26"/>
        </w:rPr>
        <w:t xml:space="preserve">Planned project structure</w:t>
      </w:r>
    </w:p>
    <w:p>
      <w:pPr>
        <w:spacing w:after="120"/>
      </w:pPr>
      <w:r>
        <w:rPr>
          <w:sz w:val="22"/>
        </w:rPr>
        <w:t xml:space="preserve">RianRenju_NetGuardML.ipynb; RianRenju_ProjectReport.docx; README.md; PROJECT_SPEC.md; requirements.txt; data/raw/; data/sample/; artifacts/; outputs/figures/; outputs/reports/. The filename prefix uses the user's confirmed preferred name.</w:t>
      </w:r>
    </w:p>
    <w:p>
      <w:pPr>
        <w:spacing w:before="240" w:after="80"/>
      </w:pPr>
      <w:r>
        <w:rPr>
          <w:b/>
          <w:sz w:val="26"/>
        </w:rPr>
        <w:t xml:space="preserve">Documentation consulted</w:t>
      </w:r>
    </w:p>
    <w:p>
      <w:pPr>
        <w:spacing w:after="120"/>
      </w:pPr>
      <w:r>
        <w:rPr>
          <w:sz w:val="22"/>
        </w:rPr>
        <w:t xml:space="preserve">CIC-IDS2017: https://www.unb.ca/cic/datasets/ids-2017.html</w:t>
      </w:r>
    </w:p>
    <w:p>
      <w:pPr>
        <w:spacing w:after="120"/>
      </w:pPr>
      <w:r>
        <w:rPr>
          <w:sz w:val="22"/>
        </w:rPr>
        <w:t xml:space="preserve">pandas CSV I/O and chunking: https://pandas.pydata.org/docs/user_guide/io.html#io-chunking</w:t>
      </w:r>
    </w:p>
    <w:p>
      <w:pPr>
        <w:spacing w:after="120"/>
      </w:pPr>
      <w:r>
        <w:rPr>
          <w:sz w:val="22"/>
        </w:rPr>
        <w:t xml:space="preserve">scikit-learn classification metrics: https://scikit-learn.org/stable/modules/model_evaluation.html</w:t>
      </w:r>
    </w:p>
    <w:sectPr>
      <w:pgSz w:w="12240" w:h="15840"/>
      <w:pgMar w:top="1440" w:right="1440" w:bottom="1440" w:left="1440"/>
    </w:sectPr>
  </w:body>
</w:document>
</file>