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rPr/>
      </w:pPr>
      <w:bookmarkStart w:colFirst="0" w:colLast="0" w:name="_5gbbezwrjzo5" w:id="0"/>
      <w:bookmarkEnd w:id="0"/>
      <w:r w:rsidDel="00000000" w:rsidR="00000000" w:rsidRPr="00000000">
        <w:rPr>
          <w:rtl w:val="0"/>
        </w:rPr>
        <w:t xml:space="preserve">4.1 Gestão de estoques</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gestão de estoques envolve o conjunto de decisões que buscam coordenar a demanda existente e a oferta de produtos ao longo do tempo, considerando as características de cada item, da operação e da própria demanda (WANKE, 2012). Três decisões centrais orientam esse processo: quando pedir, quanto pedir e quanto manter como estoque de segurança — respostas que dependem das circunstâncias de cada produto e não podem ser generalizadas para todo o estoque de uma organização.</w:t>
      </w:r>
      <w:r w:rsidDel="00000000" w:rsidR="00000000" w:rsidRPr="00000000">
        <w:rPr>
          <w:rtl w:val="0"/>
        </w:rPr>
      </w:r>
    </w:p>
    <w:p w:rsidR="00000000" w:rsidDel="00000000" w:rsidP="00000000" w:rsidRDefault="00000000" w:rsidRPr="00000000" w14:paraId="00000004">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O comportamento da demanda é uma das principais variáveis dessas decisões. Wanke (2012) demonstra que itens diferentes apresentam padrões de consumo e variabilidade distintos, de modo que um único parâmetro de reposição aplicado a todo o estoque tende a gerar distorções: itens de alto consumo exigem lógica diferente da aplicada a itens de baixo consumo. Essa constatação sustenta a necessidade de classificar os itens individualmente antes de definir políticas de estoque, e é a base conceitual adotada neste trabalho.</w:t>
      </w:r>
      <w:r w:rsidDel="00000000" w:rsidR="00000000" w:rsidRPr="00000000">
        <w:rPr>
          <w:rtl w:val="0"/>
        </w:rPr>
      </w:r>
    </w:p>
    <w:p w:rsidR="00000000" w:rsidDel="00000000" w:rsidP="00000000" w:rsidRDefault="00000000" w:rsidRPr="00000000" w14:paraId="0000000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gestão de estoques também depende do controle das movimentações — entradas, saídas e consumo — para que decisões de reposição sejam tomadas com base em informações confiáveis, sem o que a organização perde a capacidade de identificar quais itens exigem atenção e qual nível de estoque é compatível com sua demanda real (WANKE, 2012). Essa fundamentação orienta a discussão a seguir, voltada às particularidades da gestão de estoques em pequenos restaurantes.</w:t>
      </w:r>
    </w:p>
    <w:p w:rsidR="00000000" w:rsidDel="00000000" w:rsidP="00000000" w:rsidRDefault="00000000" w:rsidRPr="00000000" w14:paraId="00000006">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Style w:val="Heading2"/>
        <w:spacing w:line="360" w:lineRule="auto"/>
        <w:rPr/>
      </w:pPr>
      <w:bookmarkStart w:colFirst="0" w:colLast="0" w:name="_gc57ejf7zrcr" w:id="1"/>
      <w:bookmarkEnd w:id="1"/>
      <w:r w:rsidDel="00000000" w:rsidR="00000000" w:rsidRPr="00000000">
        <w:rPr>
          <w:rtl w:val="0"/>
        </w:rPr>
        <w:t xml:space="preserve">4.2 Gestão de estoques em pequenos restaurantes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Em pequenos restaurantes, a gestão de estoques soma às decisões gerais de reposição a perecibilidade dos insumos, a limitação de pessoal e a variabilidade da demanda por prato. Controles precisam ser simples e adequados à quantidade reduzida de funcionários, que frequentemente acumulam funções de compra, recebimento e preparo. Moreira et al. (2025), ao investigarem as barreiras na gestão de estoques de um restaurante familiar, identificaram controles predominantemente manuais e destacaram a influência da demanda sazonal e da cultura organizacional sobre os mecanismos de controle utilizados.</w:t>
      </w:r>
      <w:r w:rsidDel="00000000" w:rsidR="00000000" w:rsidRPr="00000000">
        <w:rPr>
          <w:rtl w:val="0"/>
        </w:rPr>
      </w:r>
    </w:p>
    <w:p w:rsidR="00000000" w:rsidDel="00000000" w:rsidP="00000000" w:rsidRDefault="00000000" w:rsidRPr="00000000" w14:paraId="0000000B">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perecibilidade dos insumos é outro aspecto central: ingredientes com vida útil curta não podem ser adquiridos apenas com base em descontos ou disponibilidade, sob risco de deterioração antes do consumo. Magalhães et al. (2022), em estudo de caso em um restaurante, aplicaram a classificação ABC sobre grupos de produtos do cardápio e compararam políticas de revisão contínua e periódica para apoiar a definição do estoque de reserva, demonstrando a aplicabilidade de técnicas de gestão de estoques mesmo em operações de pequeno porte.</w:t>
      </w:r>
      <w:r w:rsidDel="00000000" w:rsidR="00000000" w:rsidRPr="00000000">
        <w:rPr>
          <w:rtl w:val="0"/>
        </w:rPr>
      </w:r>
    </w:p>
    <w:p w:rsidR="00000000" w:rsidDel="00000000" w:rsidP="00000000" w:rsidRDefault="00000000" w:rsidRPr="00000000" w14:paraId="0000000C">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demanda de um restaurante, porém, não pode ser tratada como uma grandeza única: cada prato consome insumos em proporções diferentes, e um mesmo insumo costuma ser compartilhado entre vários pratos. Um item que compõe seis pratos diferentes tende a ter uma demanda agregada mais estável e previsível do que outro utilizado em apenas três receitas, cuja demanda soma variações menos correlacionadas entre si. Essa interdependência — em que a demanda de um insumo resulta da soma das vendas de vários itens do cardápio, e não da venda de um único produto — é reconhecida na literatura sobre controle de estoques como um dos aspectos que aumentam a complexidade de sistemas com múltiplos itens relacionados, ainda pouco explorado em aplicações práticas (BERGSMA; DE RUIJT; BHULAI, 2025). Essa característica reforça que a previsão de demanda de um pequeno restaurante não pode ser conduzida item a item de forma isolada, sendo necessário considerar como os insumos se relacionam por meio das fichas técnicas dos pratos.</w:t>
      </w:r>
      <w:r w:rsidDel="00000000" w:rsidR="00000000" w:rsidRPr="00000000">
        <w:rPr>
          <w:rtl w:val="0"/>
        </w:rPr>
      </w:r>
    </w:p>
    <w:p w:rsidR="00000000" w:rsidDel="00000000" w:rsidP="00000000" w:rsidRDefault="00000000" w:rsidRPr="00000000" w14:paraId="0000000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Essas particularidades — perecibilidade, limitação de estrutura e insumos compartilhados entre pratos — tornam a gestão de estoques em restaurantes especialmente sensível ao problema do desperdício de alimentos, discutido a seguir.</w:t>
      </w:r>
    </w:p>
    <w:p w:rsidR="00000000" w:rsidDel="00000000" w:rsidP="00000000" w:rsidRDefault="00000000" w:rsidRPr="00000000" w14:paraId="0000000E">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Style w:val="Heading2"/>
        <w:spacing w:line="360" w:lineRule="auto"/>
        <w:rPr/>
      </w:pPr>
      <w:bookmarkStart w:colFirst="0" w:colLast="0" w:name="_dqqfk2ko6tjy" w:id="2"/>
      <w:bookmarkEnd w:id="2"/>
      <w:r w:rsidDel="00000000" w:rsidR="00000000" w:rsidRPr="00000000">
        <w:rPr>
          <w:rtl w:val="0"/>
        </w:rPr>
        <w:t xml:space="preserve">4.3 Desperdício de alimentos</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O desperdício de alimentos refere-se à redução na quantidade ou qualidade dos alimentos decorrente de decisões tomadas por varejistas, serviços de alimentação e consumidores, distinguindo-se das perdas ocorridas em etapas anteriores da cadeia produtiva (FAO, 2024). Segundo o </w:t>
      </w:r>
      <w:r w:rsidDel="00000000" w:rsidR="00000000" w:rsidRPr="00000000">
        <w:rPr>
          <w:rFonts w:ascii="Arial" w:cs="Arial" w:eastAsia="Arial" w:hAnsi="Arial"/>
          <w:i w:val="1"/>
          <w:iCs w:val="1"/>
          <w:sz w:val="24"/>
          <w:szCs w:val="24"/>
          <w:rtl w:val="0"/>
        </w:rPr>
        <w:t xml:space="preserve">Food Waste Index Report </w:t>
      </w:r>
      <w:r w:rsidDel="00000000" w:rsidR="00000000" w:rsidRPr="00000000">
        <w:rPr>
          <w:rFonts w:ascii="Arial" w:cs="Arial" w:eastAsia="Arial" w:hAnsi="Arial"/>
          <w:sz w:val="24"/>
          <w:szCs w:val="24"/>
          <w:rtl w:val="0"/>
        </w:rPr>
        <w:t xml:space="preserve">2024, aproximadamente 1,05 bilhão de toneladas de alimentos foram desperdiçadas em 2022 nos níveis de varejo, serviços de alimentação e domicílios — cerca de 19% dos alimentos disponíveis aos consumidores nesses segmentos —, dos quais aproximadamente 290 milhões de toneladas (28%) foram atribuídas ao setor de serviços de alimentação (UNEP, 2024). Além do impacto econômico direto, a FAO estima que perdas e desperdício de alimentos estejam associados a cerca de 8% a 10% das emissões globais de gases de efeito estufa (FAO, 2024).</w:t>
      </w:r>
      <w:r w:rsidDel="00000000" w:rsidR="00000000" w:rsidRPr="00000000">
        <w:rPr>
          <w:rtl w:val="0"/>
        </w:rPr>
      </w:r>
    </w:p>
    <w:p w:rsidR="00000000" w:rsidDel="00000000" w:rsidP="00000000" w:rsidRDefault="00000000" w:rsidRPr="00000000" w14:paraId="00000012">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No ambiente de restaurantes, o desperdício pode ocorrer em diferentes momentos: durante o preparo, em pratos não servidos, em sobras deixadas pelos consumidores e em alimentos não vendidos. Maganha et al. (2025), em estudo de caso em um restaurante japonês, identificaram essas quatro situações e relacionaram o excesso de estoque a previsões inadequadas de demanda e vendas, apontando a previsão imprecisa como a causa mais provável do desperdício observado no estabelecimento. A revisão sistemática de Kaman et al. (2024) reforça que o desperdício em restaurantes tem natureza multifatorial, envolvendo tanto aspectos operacionais quanto comportamentais dos consumidores.</w:t>
      </w:r>
      <w:r w:rsidDel="00000000" w:rsidR="00000000" w:rsidRPr="00000000">
        <w:rPr>
          <w:rtl w:val="0"/>
        </w:rPr>
      </w:r>
    </w:p>
    <w:p w:rsidR="00000000" w:rsidDel="00000000" w:rsidP="00000000" w:rsidRDefault="00000000" w:rsidRPr="00000000" w14:paraId="00000013">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multiplicidade de causas indica que a previsão de demanda pode contribuir para reduzir formas específicas de desperdício associadas ao excesso de produção ou de compra, mas não elimina outras causas, como erros de preparo ou porções mal dimensionadas (MAGANHA et al., 2025; KAMAN et al., 2024). Essa ressalva orienta a forma como a Inteligência Artificial é tratada neste trabalho: como recurso de apoio a um problema específico, e não como solução geral para o desperdício.</w:t>
      </w:r>
    </w:p>
    <w:p w:rsidR="00000000" w:rsidDel="00000000" w:rsidP="00000000" w:rsidRDefault="00000000" w:rsidRPr="00000000" w14:paraId="0000001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Style w:val="Heading2"/>
        <w:spacing w:line="360" w:lineRule="auto"/>
        <w:rPr/>
      </w:pPr>
      <w:bookmarkStart w:colFirst="0" w:colLast="0" w:name="_e4vus4re4ob3" w:id="3"/>
      <w:bookmarkEnd w:id="3"/>
      <w:r w:rsidDel="00000000" w:rsidR="00000000" w:rsidRPr="00000000">
        <w:rPr>
          <w:rtl w:val="0"/>
        </w:rPr>
        <w:t xml:space="preserve">4.4 Inteligência Artificial</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Inteligência Artificial (IA) é definida pela OECD (2024) como um sistema baseado em máquina que, a partir de objetivos explícitos ou implícitos, utiliza informações recebidas para inferir como produzir previsões, conteúdos, recomendações ou decisões capazes de influenciar ambientes físicos ou virtuais, podendo apresentar diferentes níveis de autonomia e adaptação após sua implantação. Essa definição situa a IA como um campo amplo de métodos orientados à produção de resultados a partir de dados e objetivos previamente estabelecidos, e não apenas como automação de tarefas.</w:t>
      </w:r>
      <w:r w:rsidDel="00000000" w:rsidR="00000000" w:rsidRPr="00000000">
        <w:rPr>
          <w:rtl w:val="0"/>
        </w:rPr>
      </w:r>
    </w:p>
    <w:p w:rsidR="00000000" w:rsidDel="00000000" w:rsidP="00000000" w:rsidRDefault="00000000" w:rsidRPr="00000000" w14:paraId="00000018">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Dentro desse campo, o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(ML) corresponde a um subconjunto de técnicas baseadas em métodos estatísticos, voltado à identificação de padrões diretamente a partir de dados históricos (OECD, 2022). Essa distinção é relevante para este trabalho: a IA é o conceito abrangente que fundamenta a utilização de sistemas de apoio à decisão, enquanto o ML é a técnica específica utilizada para transformar dados operacionais em previsões.</w:t>
      </w:r>
      <w:r w:rsidDel="00000000" w:rsidR="00000000" w:rsidRPr="00000000">
        <w:rPr>
          <w:rtl w:val="0"/>
        </w:rPr>
      </w:r>
    </w:p>
    <w:p w:rsidR="00000000" w:rsidDel="00000000" w:rsidP="00000000" w:rsidRDefault="00000000" w:rsidRPr="00000000" w14:paraId="00000019">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Em pequenos negócios, a adoção de IA envolve limitações relacionadas à disponibilidade de dados, recursos financeiros e conhecimento técnico, de modo que sua utilização deve estar associada a uma necessidade operacional concreta e a resultados compreensíveis pelos responsáveis pelo processo. Sistemas de IA devem ainda considerar aspectos de confiabilidade, transparência e gerenciamento de vieses (TABASSI, 2023), já que uma previsão incorreta pode influenciar diretamente uma decisão de compra e resultar em excesso de estoque ou falta de produtos. A revisão de Bergsma, de Ruijt e Bhulai (2025), que analisou 122 estudos sobre ML aplicado ao controle de estoques, identifica a previsão de demanda como uma das principais formas de integração entre ML e gestão de estoques, ao lado de desafios ainda existentes quanto à aplicação em situações reais.</w:t>
      </w:r>
      <w:r w:rsidDel="00000000" w:rsidR="00000000" w:rsidRPr="00000000">
        <w:rPr>
          <w:rtl w:val="0"/>
        </w:rPr>
      </w:r>
    </w:p>
    <w:p w:rsidR="00000000" w:rsidDel="00000000" w:rsidP="00000000" w:rsidRDefault="00000000" w:rsidRPr="00000000" w14:paraId="0000001A">
      <w:pPr>
        <w:pStyle w:val="Heading2"/>
        <w:spacing w:after="240" w:before="240" w:line="360" w:lineRule="auto"/>
        <w:rPr>
          <w:i w:val="1"/>
          <w:iCs w:val="1"/>
        </w:rPr>
      </w:pPr>
      <w:bookmarkStart w:colFirst="0" w:colLast="0" w:name="_kk6w68ccvbe8" w:id="4"/>
      <w:bookmarkEnd w:id="4"/>
      <w:r w:rsidDel="00000000" w:rsidR="00000000" w:rsidRPr="00000000">
        <w:rPr>
          <w:rtl w:val="0"/>
        </w:rPr>
        <w:t xml:space="preserve">4.5 </w:t>
      </w:r>
      <w:r w:rsidDel="00000000" w:rsidR="00000000" w:rsidRPr="00000000">
        <w:rPr>
          <w:i w:val="1"/>
          <w:iCs w:val="1"/>
          <w:rtl w:val="0"/>
        </w:rPr>
        <w:t xml:space="preserve">Machine Learning</w:t>
      </w:r>
    </w:p>
    <w:p w:rsidR="00000000" w:rsidDel="00000000" w:rsidP="00000000" w:rsidRDefault="00000000" w:rsidRPr="00000000" w14:paraId="0000001B">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constitui uma área da IA voltada ao desenvolvimento de sistemas capazes de aprender padrões a partir de dados de treinamento, em vez de depender exclusivamente de regras definidas manualmente (GÉRON, 2022). O processo típico envolve a preparação dos dados, o treinamento do modelo, sua avaliação com dados não utilizados no treinamento e, por fim, sua utilização para produzir previsões — etapa em que a qualidade e a representatividade dos dados são tão determinantes quanto a técnica escolhida (GÉRON, 2022).</w:t>
      </w:r>
      <w:r w:rsidDel="00000000" w:rsidR="00000000" w:rsidRPr="00000000">
        <w:rPr>
          <w:rtl w:val="0"/>
        </w:rPr>
      </w:r>
    </w:p>
    <w:p w:rsidR="00000000" w:rsidDel="00000000" w:rsidP="00000000" w:rsidRDefault="00000000" w:rsidRPr="00000000" w14:paraId="0000001C">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Entre as principais formas de aprendizado estão o supervisionado, o não supervisionado e o por reforço. No aprendizado supervisionado — o mais relevante para problemas de previsão —, o algoritmo aprende a relação entre variáveis de entrada e um resultado conhecido, podendo estimar categorias (classificação) ou valores numéricos (regressão), como a quantidade futura de demanda a partir de dados históricos de vendas (OECD, 2022). Um dos principais riscos nesse processo é o overfitting, quando o modelo se ajusta excessivamente aos dados de treinamento e perde capacidade de generalizar para novas situações (GÉRON, 2022).</w:t>
      </w:r>
      <w:r w:rsidDel="00000000" w:rsidR="00000000" w:rsidRPr="00000000">
        <w:rPr>
          <w:rtl w:val="0"/>
        </w:rPr>
      </w:r>
    </w:p>
    <w:p w:rsidR="00000000" w:rsidDel="00000000" w:rsidP="00000000" w:rsidRDefault="00000000" w:rsidRPr="00000000" w14:paraId="0000001D">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Bergsma, de Ruijt e Bhulai (2025) identificam três formas de integrar ML ao controle de estoques: utilizá-lo para gerar estimativas de demanda antes da otimização; incorporá-lo diretamente aos modelos de otimização; ou empregá-lo, por meio de aprendizado por reforço, para definir políticas de estoque de forma dinâmica. Os autores também apontam que sistemas com múltiplos itens relacionados entre si — como ocorre quando vários produtos finais compartilham os mesmos insumos — ainda representam uma lacuna pouco explorada pelas aplicações práticas de ML em estoques, o que reforça a relevância de investigar esse aspecto no contexto de restaurantes, discutido na seção seguinte.</w:t>
      </w:r>
      <w:r w:rsidDel="00000000" w:rsidR="00000000" w:rsidRPr="00000000">
        <w:rPr>
          <w:rtl w:val="0"/>
        </w:rPr>
      </w:r>
    </w:p>
    <w:p w:rsidR="00000000" w:rsidDel="00000000" w:rsidP="00000000" w:rsidRDefault="00000000" w:rsidRPr="00000000" w14:paraId="0000001E">
      <w:pPr>
        <w:pStyle w:val="Heading2"/>
        <w:spacing w:after="240" w:before="240" w:line="360" w:lineRule="auto"/>
        <w:rPr/>
      </w:pPr>
      <w:bookmarkStart w:colFirst="0" w:colLast="0" w:name="_konr0pmauuvc" w:id="5"/>
      <w:bookmarkEnd w:id="5"/>
      <w:r w:rsidDel="00000000" w:rsidR="00000000" w:rsidRPr="00000000">
        <w:rPr>
          <w:rtl w:val="0"/>
        </w:rPr>
        <w:t xml:space="preserve">4.6 Previsão de demanda</w:t>
      </w:r>
    </w:p>
    <w:p w:rsidR="00000000" w:rsidDel="00000000" w:rsidP="00000000" w:rsidRDefault="00000000" w:rsidRPr="00000000" w14:paraId="0000001F">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previsão de demanda consiste em estimar o comportamento futuro da procura por produtos a partir de dados históricos, com o objetivo de apoiar decisões de planejamento, e não de eliminar a incerteza sobre a demanda futura (ACKERMANN; SELLITTO, 2022). Entre os métodos disponíveis estão abordagens qualitativas, baseadas em julgamento de especialistas, e quantitativas, que utilizam séries temporais para identificar componentes como tendência e sazonalidade e projetá-los para períodos futuros (ACKERMANN; SELLITTO, 2022).</w:t>
      </w:r>
      <w:r w:rsidDel="00000000" w:rsidR="00000000" w:rsidRPr="00000000">
        <w:rPr>
          <w:rtl w:val="0"/>
        </w:rPr>
      </w:r>
    </w:p>
    <w:p w:rsidR="00000000" w:rsidDel="00000000" w:rsidP="00000000" w:rsidRDefault="00000000" w:rsidRPr="00000000" w14:paraId="00000020">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A qualidade de uma previsão é avaliada comparando valores previstos e observados por meio de métricas como o erro absoluto médio (MAE), a raiz do erro quadrático médio (RMSE) e o erro percentual absoluto médio (MAPE), cada uma mais adequada a determinados contextos de dados e de custo do erro (ACKERMANN; SELLITTO, 2022). Em restaurantes, essa escolha tem implicações práticas: um erro que leva à superestimação da demanda de um insumo perecível tende a ser mais custoso do que o mesmo erro aplicado a um item não perecível.</w:t>
      </w:r>
      <w:r w:rsidDel="00000000" w:rsidR="00000000" w:rsidRPr="00000000">
        <w:rPr>
          <w:rtl w:val="0"/>
        </w:rPr>
      </w:r>
    </w:p>
    <w:p w:rsidR="00000000" w:rsidDel="00000000" w:rsidP="00000000" w:rsidRDefault="00000000" w:rsidRPr="00000000" w14:paraId="00000021">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Estudos recentes aplicam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à previsão de vendas em restaurantes com resultados relevantes. Schmidt, Kabir e Hoque (2022) avaliaram diferentes modelos de ML para prever vendas em um restaurante de médio porte, destacando a importância da seleção de variáveis relacionadas a tendência e sazonalidade. Posch et al. (2022) desenvolveram modelos para prever vendas diárias de itens de cardápio a partir de dados de ponto de venda, identificando múltiplas sazonalidades e valores atípicos como características típicas desse tipo de série. Chae, Sheu e Park (2024) compararam modelos tradicionais, de ML e de </w:t>
      </w:r>
      <w:r w:rsidDel="00000000" w:rsidR="00000000" w:rsidRPr="00000000">
        <w:rPr>
          <w:rFonts w:ascii="Arial" w:cs="Arial" w:eastAsia="Arial" w:hAnsi="Arial"/>
          <w:i w:val="1"/>
          <w:iCs w:val="1"/>
          <w:sz w:val="24"/>
          <w:szCs w:val="24"/>
          <w:rtl w:val="0"/>
        </w:rPr>
        <w:t xml:space="preserve">Deep Learning</w:t>
      </w:r>
      <w:r w:rsidDel="00000000" w:rsidR="00000000" w:rsidRPr="00000000">
        <w:rPr>
          <w:rFonts w:ascii="Arial" w:cs="Arial" w:eastAsia="Arial" w:hAnsi="Arial"/>
          <w:sz w:val="24"/>
          <w:szCs w:val="24"/>
          <w:rtl w:val="0"/>
        </w:rPr>
        <w:t xml:space="preserve"> em uma rede de restaurantes, constatando que o desempenho relativo entre eles varia conforme o período e as características dos dados analisados. Mais recentemente, Kim (2025) desenvolveu um sistema baseado em redes neurais para modelar individualmente centenas de itens de cardápio, incorporando dados meteorológicos além do histórico de vendas.</w:t>
      </w:r>
      <w:r w:rsidDel="00000000" w:rsidR="00000000" w:rsidRPr="00000000">
        <w:rPr>
          <w:rtl w:val="0"/>
        </w:rPr>
      </w:r>
    </w:p>
    <w:p w:rsidR="00000000" w:rsidDel="00000000" w:rsidP="00000000" w:rsidRDefault="00000000" w:rsidRPr="00000000" w14:paraId="00000022">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Esse nível de detalhamento por item é especialmente relevante para o problema investigado neste trabalho: como os insumos de um restaurante costumam ser compartilhados entre vários pratos, a demanda de cada ingrediente resulta da combinação das vendas de diferentes itens do cardápio, e não de um único produto. Modelar a demanda apenas no nível do prato, sem considerar essa relação entre receitas e insumos, tende a subestimar a complexidade real do problema de estoque em pequenos restaurantes — uma lacuna que a literatura sobre ML em controle de estoques ainda identifica como pouco explorada (BERGSMA; DE RUIJT; BHULAI, 2025).</w:t>
      </w:r>
      <w:r w:rsidDel="00000000" w:rsidR="00000000" w:rsidRPr="00000000">
        <w:rPr>
          <w:rtl w:val="0"/>
        </w:rPr>
      </w:r>
    </w:p>
    <w:p w:rsidR="00000000" w:rsidDel="00000000" w:rsidP="00000000" w:rsidRDefault="00000000" w:rsidRPr="00000000" w14:paraId="00000023">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Dessa forma, a previsão de demanda constitui uma etapa intermediária entre os dados históricos e as decisões de estoque: os dados descrevem o comportamento passado, o modelo produz uma estimativa e essa estimativa, considerada dentro de sua margem de erro, apoia — sem substituir — a avaliação do responsável pela gestão do restaurante.</w:t>
      </w:r>
      <w:r w:rsidDel="00000000" w:rsidR="00000000" w:rsidRPr="00000000">
        <w:rPr>
          <w:rtl w:val="0"/>
        </w:rPr>
      </w:r>
    </w:p>
    <w:p w:rsidR="00000000" w:rsidDel="00000000" w:rsidP="00000000" w:rsidRDefault="00000000" w:rsidRPr="00000000" w14:paraId="00000024">
      <w:pPr>
        <w:pageBreakBefore w:val="1"/>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spacing w:after="240" w:before="240" w:line="360" w:lineRule="auto"/>
        <w:rPr/>
      </w:pPr>
      <w:bookmarkStart w:colFirst="0" w:colLast="0" w:name="_p4vtj2ne4om2" w:id="6"/>
      <w:bookmarkEnd w:id="6"/>
      <w:r w:rsidDel="00000000" w:rsidR="00000000" w:rsidRPr="00000000">
        <w:rPr>
          <w:rtl w:val="0"/>
        </w:rPr>
        <w:t xml:space="preserve">REFERÊNCIAS</w:t>
      </w:r>
    </w:p>
    <w:p w:rsidR="00000000" w:rsidDel="00000000" w:rsidP="00000000" w:rsidRDefault="00000000" w:rsidRPr="00000000" w14:paraId="00000026">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ACKERMANN, Andres E. F.; SELLITTO, Miguel A. Métodos de previsão de demanda: uma revisão da literatura. Innovar, v. 32, n. 85, p. 83-99, 2022. DOI: https://doi.org/10.15446/innovar.v32n85.100979. Acesso em: 28 set. 2026.</w:t>
      </w:r>
      <w:r w:rsidDel="00000000" w:rsidR="00000000" w:rsidRPr="00000000">
        <w:rPr>
          <w:rtl w:val="0"/>
        </w:rPr>
      </w:r>
    </w:p>
    <w:p w:rsidR="00000000" w:rsidDel="00000000" w:rsidP="00000000" w:rsidRDefault="00000000" w:rsidRPr="00000000" w14:paraId="00000027">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BERGSMA, Ritsaart; DE RUIJT, Corné; BHULAI, Sandjai.</w:t>
      </w:r>
      <w:r w:rsidDel="00000000" w:rsidR="00000000" w:rsidRPr="00000000">
        <w:rPr>
          <w:rFonts w:ascii="Arial" w:cs="Arial" w:eastAsia="Arial" w:hAnsi="Arial"/>
          <w:i w:val="1"/>
          <w:iCs w:val="1"/>
          <w:sz w:val="24"/>
          <w:szCs w:val="24"/>
          <w:rtl w:val="0"/>
        </w:rPr>
        <w:t xml:space="preserve"> A systematic review of machine learning approaches in inventory control optimization. Operations Research Perspectives</w:t>
      </w:r>
      <w:r w:rsidDel="00000000" w:rsidR="00000000" w:rsidRPr="00000000">
        <w:rPr>
          <w:rFonts w:ascii="Arial" w:cs="Arial" w:eastAsia="Arial" w:hAnsi="Arial"/>
          <w:sz w:val="24"/>
          <w:szCs w:val="24"/>
          <w:rtl w:val="0"/>
        </w:rPr>
        <w:t xml:space="preserve">, v. 15, 100367, 2025. DOI: https://doi.org/10.1016/j.orp.2025.100367. Acesso em: 28 set. 2026.</w:t>
      </w:r>
      <w:r w:rsidDel="00000000" w:rsidR="00000000" w:rsidRPr="00000000">
        <w:rPr>
          <w:rtl w:val="0"/>
        </w:rPr>
      </w:r>
    </w:p>
    <w:p w:rsidR="00000000" w:rsidDel="00000000" w:rsidP="00000000" w:rsidRDefault="00000000" w:rsidRPr="00000000" w14:paraId="00000028">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CHAE, Bongsug (Kevin); SHEU, Chwen; PARK, Eunhye Olivia. </w:t>
      </w:r>
      <w:r w:rsidDel="00000000" w:rsidR="00000000" w:rsidRPr="00000000">
        <w:rPr>
          <w:rFonts w:ascii="Arial" w:cs="Arial" w:eastAsia="Arial" w:hAnsi="Arial"/>
          <w:i w:val="1"/>
          <w:iCs w:val="1"/>
          <w:sz w:val="24"/>
          <w:szCs w:val="24"/>
          <w:rtl w:val="0"/>
        </w:rPr>
        <w:t xml:space="preserve">The value of data, machine learning, and deep learning in restaurant demand forecasting: insights and lessons learned from a large restaurant chain. Decision Support Systems</w:t>
      </w:r>
      <w:r w:rsidDel="00000000" w:rsidR="00000000" w:rsidRPr="00000000">
        <w:rPr>
          <w:rFonts w:ascii="Arial" w:cs="Arial" w:eastAsia="Arial" w:hAnsi="Arial"/>
          <w:sz w:val="24"/>
          <w:szCs w:val="24"/>
          <w:rtl w:val="0"/>
        </w:rPr>
        <w:t xml:space="preserve">, v. 184, 114291, 2024. DOI: https://doi.org/10.1016/j.dss.2024.114291. Acesso em: 14 set. 2026.</w:t>
      </w:r>
      <w:r w:rsidDel="00000000" w:rsidR="00000000" w:rsidRPr="00000000">
        <w:rPr>
          <w:rtl w:val="0"/>
        </w:rPr>
      </w:r>
    </w:p>
    <w:p w:rsidR="00000000" w:rsidDel="00000000" w:rsidP="00000000" w:rsidRDefault="00000000" w:rsidRPr="00000000" w14:paraId="00000029">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FAO. </w:t>
      </w:r>
      <w:r w:rsidDel="00000000" w:rsidR="00000000" w:rsidRPr="00000000">
        <w:rPr>
          <w:rFonts w:ascii="Arial" w:cs="Arial" w:eastAsia="Arial" w:hAnsi="Arial"/>
          <w:i w:val="1"/>
          <w:iCs w:val="1"/>
          <w:sz w:val="24"/>
          <w:szCs w:val="24"/>
          <w:rtl w:val="0"/>
        </w:rPr>
        <w:t xml:space="preserve">Food loss and food waste. Rome: Food and Agriculture Organization of the United Nations</w:t>
      </w:r>
      <w:r w:rsidDel="00000000" w:rsidR="00000000" w:rsidRPr="00000000">
        <w:rPr>
          <w:rFonts w:ascii="Arial" w:cs="Arial" w:eastAsia="Arial" w:hAnsi="Arial"/>
          <w:sz w:val="24"/>
          <w:szCs w:val="24"/>
          <w:rtl w:val="0"/>
        </w:rPr>
        <w:t xml:space="preserve">, 2024. Disponível em: https://www.fao.org/policy-support/policy-themes/food-loss-and-food-waste/en. Acesso em: 13 set. 2026.</w:t>
      </w:r>
      <w:r w:rsidDel="00000000" w:rsidR="00000000" w:rsidRPr="00000000">
        <w:rPr>
          <w:rtl w:val="0"/>
        </w:rPr>
      </w:r>
    </w:p>
    <w:p w:rsidR="00000000" w:rsidDel="00000000" w:rsidP="00000000" w:rsidRDefault="00000000" w:rsidRPr="00000000" w14:paraId="0000002A">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GÉRON, Aurélien. </w:t>
      </w:r>
      <w:r w:rsidDel="00000000" w:rsidR="00000000" w:rsidRPr="00000000">
        <w:rPr>
          <w:rFonts w:ascii="Arial" w:cs="Arial" w:eastAsia="Arial" w:hAnsi="Arial"/>
          <w:i w:val="1"/>
          <w:iCs w:val="1"/>
          <w:sz w:val="24"/>
          <w:szCs w:val="24"/>
          <w:rtl w:val="0"/>
        </w:rPr>
        <w:t xml:space="preserve">Hands-on machine learning with Scikit-Learn, Keras, and TensorFlow.</w:t>
      </w:r>
      <w:r w:rsidDel="00000000" w:rsidR="00000000" w:rsidRPr="00000000">
        <w:rPr>
          <w:rFonts w:ascii="Arial" w:cs="Arial" w:eastAsia="Arial" w:hAnsi="Arial"/>
          <w:sz w:val="24"/>
          <w:szCs w:val="24"/>
          <w:rtl w:val="0"/>
        </w:rPr>
        <w:t xml:space="preserve"> 3. ed. Sebastopol: O'Reilly Media, 2022.</w:t>
      </w:r>
      <w:r w:rsidDel="00000000" w:rsidR="00000000" w:rsidRPr="00000000">
        <w:rPr>
          <w:rtl w:val="0"/>
        </w:rPr>
      </w:r>
    </w:p>
    <w:p w:rsidR="00000000" w:rsidDel="00000000" w:rsidP="00000000" w:rsidRDefault="00000000" w:rsidRPr="00000000" w14:paraId="0000002B">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KAMAN, Gizem Sultan et al. </w:t>
      </w:r>
      <w:r w:rsidDel="00000000" w:rsidR="00000000" w:rsidRPr="00000000">
        <w:rPr>
          <w:rFonts w:ascii="Arial" w:cs="Arial" w:eastAsia="Arial" w:hAnsi="Arial"/>
          <w:i w:val="1"/>
          <w:iCs w:val="1"/>
          <w:sz w:val="24"/>
          <w:szCs w:val="24"/>
          <w:rtl w:val="0"/>
        </w:rPr>
        <w:t xml:space="preserve">The strategy food waste in restaurants: a systematic literature review. Trends in Food Science &amp; Technology</w:t>
      </w:r>
      <w:r w:rsidDel="00000000" w:rsidR="00000000" w:rsidRPr="00000000">
        <w:rPr>
          <w:rFonts w:ascii="Arial" w:cs="Arial" w:eastAsia="Arial" w:hAnsi="Arial"/>
          <w:sz w:val="24"/>
          <w:szCs w:val="24"/>
          <w:rtl w:val="0"/>
        </w:rPr>
        <w:t xml:space="preserve">, v. 151, 104625, 2024. DOI: https://doi.org/10.1016/j.tifs.2024.104625. Acesso em: 16 set. 2026.</w:t>
      </w:r>
      <w:r w:rsidDel="00000000" w:rsidR="00000000" w:rsidRPr="00000000">
        <w:rPr>
          <w:rtl w:val="0"/>
        </w:rPr>
      </w:r>
    </w:p>
    <w:p w:rsidR="00000000" w:rsidDel="00000000" w:rsidP="00000000" w:rsidRDefault="00000000" w:rsidRPr="00000000" w14:paraId="0000002C">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KIM, Sangoh.</w:t>
      </w:r>
      <w:r w:rsidDel="00000000" w:rsidR="00000000" w:rsidRPr="00000000">
        <w:rPr>
          <w:rFonts w:ascii="Arial" w:cs="Arial" w:eastAsia="Arial" w:hAnsi="Arial"/>
          <w:i w:val="1"/>
          <w:iCs w:val="1"/>
          <w:sz w:val="24"/>
          <w:szCs w:val="24"/>
          <w:rtl w:val="0"/>
        </w:rPr>
        <w:t xml:space="preserve"> Development of an AI-based restaurant menu demand prediction model utilizing sales and meteorological data. Food Science and Biotechnology</w:t>
      </w:r>
      <w:r w:rsidDel="00000000" w:rsidR="00000000" w:rsidRPr="00000000">
        <w:rPr>
          <w:rFonts w:ascii="Arial" w:cs="Arial" w:eastAsia="Arial" w:hAnsi="Arial"/>
          <w:sz w:val="24"/>
          <w:szCs w:val="24"/>
          <w:rtl w:val="0"/>
        </w:rPr>
        <w:t xml:space="preserve">, v. 34, n. 15, p. 3597-3606, 2025. DOI: https://doi.org/10.1007/s10068-025-01956-2. Acesso em: 28 set. 2026.</w:t>
      </w:r>
      <w:r w:rsidDel="00000000" w:rsidR="00000000" w:rsidRPr="00000000">
        <w:rPr>
          <w:rtl w:val="0"/>
        </w:rPr>
      </w:r>
    </w:p>
    <w:p w:rsidR="00000000" w:rsidDel="00000000" w:rsidP="00000000" w:rsidRDefault="00000000" w:rsidRPr="00000000" w14:paraId="0000002D">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MAGALHÃES, Mariana Carrilho et al. Aplicação de técnicas de gestão de estoques em uma pequena empresa: o caso de um restaurante. Zeiki - Revista Interdisciplinar da Unemat Barra do Bugres, 2022. Disponível em: https://periodicos.unemat.br/index.php/zeiki/article/view/6154. Acesso em: 16 set. 2026.</w:t>
      </w:r>
      <w:r w:rsidDel="00000000" w:rsidR="00000000" w:rsidRPr="00000000">
        <w:rPr>
          <w:rtl w:val="0"/>
        </w:rPr>
      </w:r>
    </w:p>
    <w:p w:rsidR="00000000" w:rsidDel="00000000" w:rsidP="00000000" w:rsidRDefault="00000000" w:rsidRPr="00000000" w14:paraId="0000002E">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MAGANHA, Isabela et al. </w:t>
      </w:r>
      <w:r w:rsidDel="00000000" w:rsidR="00000000" w:rsidRPr="00000000">
        <w:rPr>
          <w:rFonts w:ascii="Arial" w:cs="Arial" w:eastAsia="Arial" w:hAnsi="Arial"/>
          <w:i w:val="1"/>
          <w:iCs w:val="1"/>
          <w:sz w:val="24"/>
          <w:szCs w:val="24"/>
          <w:rtl w:val="0"/>
        </w:rPr>
        <w:t xml:space="preserve">Unveiling food waste: a case study of a restaurant specializing in Japanese cuisine in Brazil. Waste Management Bulletin</w:t>
      </w:r>
      <w:r w:rsidDel="00000000" w:rsidR="00000000" w:rsidRPr="00000000">
        <w:rPr>
          <w:rFonts w:ascii="Arial" w:cs="Arial" w:eastAsia="Arial" w:hAnsi="Arial"/>
          <w:sz w:val="24"/>
          <w:szCs w:val="24"/>
          <w:rtl w:val="0"/>
        </w:rPr>
        <w:t xml:space="preserve">, v. 3, n. 4, 100261, 2025. DOI: https://doi.org/10.1016/j.wmb.2025.100261. Acesso em: 12 set. 2026.</w:t>
      </w:r>
      <w:r w:rsidDel="00000000" w:rsidR="00000000" w:rsidRPr="00000000">
        <w:rPr>
          <w:rtl w:val="0"/>
        </w:rPr>
      </w:r>
    </w:p>
    <w:p w:rsidR="00000000" w:rsidDel="00000000" w:rsidP="00000000" w:rsidRDefault="00000000" w:rsidRPr="00000000" w14:paraId="0000002F">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MOREIRA, Vicente et al. Avaliação das barreiras na gestão de estoques do Restaurante Iguarias Cozinha do Mar utilizando o método DEMATEL. Revista ADMPG, v. 14, n. 2, 2025. DOI: https://doi.org/10.5212/Admpg.v.01.2503.016. Acesso em: 12 set. 2026.</w:t>
      </w:r>
      <w:r w:rsidDel="00000000" w:rsidR="00000000" w:rsidRPr="00000000">
        <w:rPr>
          <w:rtl w:val="0"/>
        </w:rPr>
      </w:r>
    </w:p>
    <w:p w:rsidR="00000000" w:rsidDel="00000000" w:rsidP="00000000" w:rsidRDefault="00000000" w:rsidRPr="00000000" w14:paraId="00000030">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OECD. OECD </w:t>
      </w:r>
      <w:r w:rsidDel="00000000" w:rsidR="00000000" w:rsidRPr="00000000">
        <w:rPr>
          <w:rFonts w:ascii="Arial" w:cs="Arial" w:eastAsia="Arial" w:hAnsi="Arial"/>
          <w:i w:val="1"/>
          <w:iCs w:val="1"/>
          <w:sz w:val="24"/>
          <w:szCs w:val="24"/>
          <w:rtl w:val="0"/>
        </w:rPr>
        <w:t xml:space="preserve">Framework for the Classification of AI Systems. Paris: OECD Publishing</w:t>
      </w:r>
      <w:r w:rsidDel="00000000" w:rsidR="00000000" w:rsidRPr="00000000">
        <w:rPr>
          <w:rFonts w:ascii="Arial" w:cs="Arial" w:eastAsia="Arial" w:hAnsi="Arial"/>
          <w:sz w:val="24"/>
          <w:szCs w:val="24"/>
          <w:rtl w:val="0"/>
        </w:rPr>
        <w:t xml:space="preserve">, 2022. DOI: https://doi.org/10.1787/cb6d9eca-en. Acesso em: 16 set. 2026.</w:t>
      </w:r>
      <w:r w:rsidDel="00000000" w:rsidR="00000000" w:rsidRPr="00000000">
        <w:rPr>
          <w:rtl w:val="0"/>
        </w:rPr>
      </w:r>
    </w:p>
    <w:p w:rsidR="00000000" w:rsidDel="00000000" w:rsidP="00000000" w:rsidRDefault="00000000" w:rsidRPr="00000000" w14:paraId="00000031">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OECD. </w:t>
      </w:r>
      <w:r w:rsidDel="00000000" w:rsidR="00000000" w:rsidRPr="00000000">
        <w:rPr>
          <w:rFonts w:ascii="Arial" w:cs="Arial" w:eastAsia="Arial" w:hAnsi="Arial"/>
          <w:i w:val="1"/>
          <w:iCs w:val="1"/>
          <w:sz w:val="24"/>
          <w:szCs w:val="24"/>
          <w:rtl w:val="0"/>
        </w:rPr>
        <w:t xml:space="preserve">Explanatory memorandum on the updated OECD definition of an AI system. Paris: OECD Publishing</w:t>
      </w:r>
      <w:r w:rsidDel="00000000" w:rsidR="00000000" w:rsidRPr="00000000">
        <w:rPr>
          <w:rFonts w:ascii="Arial" w:cs="Arial" w:eastAsia="Arial" w:hAnsi="Arial"/>
          <w:sz w:val="24"/>
          <w:szCs w:val="24"/>
          <w:rtl w:val="0"/>
        </w:rPr>
        <w:t xml:space="preserve">, 2024. DOI: https://doi.org/10.1787/623da898-en. Acesso em: 16 set. 2026.</w:t>
      </w:r>
      <w:r w:rsidDel="00000000" w:rsidR="00000000" w:rsidRPr="00000000">
        <w:rPr>
          <w:rtl w:val="0"/>
        </w:rPr>
      </w:r>
    </w:p>
    <w:p w:rsidR="00000000" w:rsidDel="00000000" w:rsidP="00000000" w:rsidRDefault="00000000" w:rsidRPr="00000000" w14:paraId="00000032">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POSCH,</w:t>
      </w:r>
      <w:r w:rsidDel="00000000" w:rsidR="00000000" w:rsidRPr="00000000">
        <w:rPr>
          <w:rFonts w:ascii="Arial" w:cs="Arial" w:eastAsia="Arial" w:hAnsi="Arial"/>
          <w:i w:val="1"/>
          <w:iCs w:val="1"/>
          <w:sz w:val="24"/>
          <w:szCs w:val="24"/>
          <w:rtl w:val="0"/>
        </w:rPr>
        <w:t xml:space="preserve"> Konstantin et al. A Bayesian approach for predicting food and beverage sales in staff canteens and restaurants. International Journal of Forecasting</w:t>
      </w:r>
      <w:r w:rsidDel="00000000" w:rsidR="00000000" w:rsidRPr="00000000">
        <w:rPr>
          <w:rFonts w:ascii="Arial" w:cs="Arial" w:eastAsia="Arial" w:hAnsi="Arial"/>
          <w:sz w:val="24"/>
          <w:szCs w:val="24"/>
          <w:rtl w:val="0"/>
        </w:rPr>
        <w:t xml:space="preserve">, v. 38, n. 1, p. 321-338, 2022. DOI: https://doi.org/10.1016/j.ijforecast.2021.06.001. Acesso em: 11 set. 2026.</w:t>
      </w:r>
      <w:r w:rsidDel="00000000" w:rsidR="00000000" w:rsidRPr="00000000">
        <w:rPr>
          <w:rtl w:val="0"/>
        </w:rPr>
      </w:r>
    </w:p>
    <w:p w:rsidR="00000000" w:rsidDel="00000000" w:rsidP="00000000" w:rsidRDefault="00000000" w:rsidRPr="00000000" w14:paraId="00000033">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SCHMIDT, Austin; KABIR, Md Wasi Ul; HOQUE, Md Tamjidul.</w:t>
      </w:r>
      <w:r w:rsidDel="00000000" w:rsidR="00000000" w:rsidRPr="00000000">
        <w:rPr>
          <w:rFonts w:ascii="Arial" w:cs="Arial" w:eastAsia="Arial" w:hAnsi="Arial"/>
          <w:i w:val="1"/>
          <w:iCs w:val="1"/>
          <w:sz w:val="24"/>
          <w:szCs w:val="24"/>
          <w:rtl w:val="0"/>
        </w:rPr>
        <w:t xml:space="preserve"> Machine Learning Based Restaurant Sales Forecasting. Machine Learning and Knowledge Extraction,</w:t>
      </w:r>
      <w:r w:rsidDel="00000000" w:rsidR="00000000" w:rsidRPr="00000000">
        <w:rPr>
          <w:rFonts w:ascii="Arial" w:cs="Arial" w:eastAsia="Arial" w:hAnsi="Arial"/>
          <w:sz w:val="24"/>
          <w:szCs w:val="24"/>
          <w:rtl w:val="0"/>
        </w:rPr>
        <w:t xml:space="preserve"> v. 4, n. 1, p. 105-130, 2022. DOI: https://doi.org/10.3390/make4010006. Acesso em: 11 set. 2026.</w:t>
      </w:r>
      <w:r w:rsidDel="00000000" w:rsidR="00000000" w:rsidRPr="00000000">
        <w:rPr>
          <w:rtl w:val="0"/>
        </w:rPr>
      </w:r>
    </w:p>
    <w:p w:rsidR="00000000" w:rsidDel="00000000" w:rsidP="00000000" w:rsidRDefault="00000000" w:rsidRPr="00000000" w14:paraId="00000034">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TABASSI, Elham. </w:t>
      </w:r>
      <w:r w:rsidDel="00000000" w:rsidR="00000000" w:rsidRPr="00000000">
        <w:rPr>
          <w:rFonts w:ascii="Arial" w:cs="Arial" w:eastAsia="Arial" w:hAnsi="Arial"/>
          <w:i w:val="1"/>
          <w:iCs w:val="1"/>
          <w:sz w:val="24"/>
          <w:szCs w:val="24"/>
          <w:rtl w:val="0"/>
        </w:rPr>
        <w:t xml:space="preserve">Artificial intelligence risk management framework (AI RMF 1.0). Gaithersburg: National Institute of Standards and Technology, </w:t>
      </w:r>
      <w:r w:rsidDel="00000000" w:rsidR="00000000" w:rsidRPr="00000000">
        <w:rPr>
          <w:rFonts w:ascii="Arial" w:cs="Arial" w:eastAsia="Arial" w:hAnsi="Arial"/>
          <w:sz w:val="24"/>
          <w:szCs w:val="24"/>
          <w:rtl w:val="0"/>
        </w:rPr>
        <w:t xml:space="preserve">2023. DOI: https://doi.org/10.6028/NIST.AI.100-1. Acesso em: 12 set. 2026.</w:t>
      </w:r>
      <w:r w:rsidDel="00000000" w:rsidR="00000000" w:rsidRPr="00000000">
        <w:rPr>
          <w:rtl w:val="0"/>
        </w:rPr>
      </w:r>
    </w:p>
    <w:p w:rsidR="00000000" w:rsidDel="00000000" w:rsidP="00000000" w:rsidRDefault="00000000" w:rsidRPr="00000000" w14:paraId="00000035">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UNEP. </w:t>
      </w:r>
      <w:r w:rsidDel="00000000" w:rsidR="00000000" w:rsidRPr="00000000">
        <w:rPr>
          <w:rFonts w:ascii="Arial" w:cs="Arial" w:eastAsia="Arial" w:hAnsi="Arial"/>
          <w:i w:val="1"/>
          <w:iCs w:val="1"/>
          <w:sz w:val="24"/>
          <w:szCs w:val="24"/>
          <w:rtl w:val="0"/>
        </w:rPr>
        <w:t xml:space="preserve">Food waste index report 2024. Nairobi: United Nations Environment Programme</w:t>
      </w:r>
      <w:r w:rsidDel="00000000" w:rsidR="00000000" w:rsidRPr="00000000">
        <w:rPr>
          <w:rFonts w:ascii="Arial" w:cs="Arial" w:eastAsia="Arial" w:hAnsi="Arial"/>
          <w:sz w:val="24"/>
          <w:szCs w:val="24"/>
          <w:rtl w:val="0"/>
        </w:rPr>
        <w:t xml:space="preserve">, 2024.</w:t>
      </w:r>
      <w:r w:rsidDel="00000000" w:rsidR="00000000" w:rsidRPr="00000000">
        <w:rPr>
          <w:rtl w:val="0"/>
        </w:rPr>
      </w:r>
    </w:p>
    <w:p w:rsidR="00000000" w:rsidDel="00000000" w:rsidP="00000000" w:rsidRDefault="00000000" w:rsidRPr="00000000" w14:paraId="00000036">
      <w:pPr>
        <w:spacing w:after="240" w:line="360" w:lineRule="auto"/>
        <w:jc w:val="left"/>
        <w:rPr>
          <w:rFonts w:ascii="Arial" w:cs="Arial" w:eastAsia="Arial" w:hAnsi="Arial"/>
        </w:rPr>
      </w:pPr>
      <w:r w:rsidDel="00000000" w:rsidR="00000000" w:rsidRPr="00000000">
        <w:rPr>
          <w:rFonts w:ascii="Arial" w:cs="Arial" w:eastAsia="Arial" w:hAnsi="Arial"/>
          <w:sz w:val="24"/>
          <w:szCs w:val="24"/>
          <w:rtl w:val="0"/>
        </w:rPr>
        <w:t xml:space="preserve">WANKE, Peter. Quadro conceitual para gestão de estoques: enfoque nos itens de baixo consumo. Gestão &amp; Produção, São Carlos, v. 19, n. 4, p. 677-687, 2012. DOI: https://doi.org/10.1590/S0104-530X2012000400002. Acesso em: 12 set. 2026.</w:t>
      </w: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pPr>
    <w:rPr>
      <w:rFonts w:ascii="Arial" w:cs="Arial" w:eastAsia="Arial" w:hAnsi="Arial"/>
      <w:b w:val="1"/>
      <w:bCs w:val="1"/>
      <w:sz w:val="32"/>
      <w:szCs w:val="32"/>
    </w:rPr>
  </w:style>
  <w:style w:type="paragraph" w:styleId="Heading2">
    <w:name w:val="heading 2"/>
    <w:basedOn w:val="Normal"/>
    <w:next w:val="Normal"/>
    <w:pPr/>
    <w:rPr>
      <w:rFonts w:ascii="Arial" w:cs="Arial" w:eastAsia="Arial" w:hAnsi="Arial"/>
      <w:b w:val="1"/>
      <w:b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