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62B0" w14:textId="2B8268CE" w:rsidR="00401FC2" w:rsidRDefault="007347C3" w:rsidP="00721046">
      <w:pPr>
        <w:pStyle w:val="Title"/>
      </w:pPr>
      <w:r>
        <w:t xml:space="preserve">CIBA </w:t>
      </w:r>
      <w:r w:rsidR="00590F94">
        <w:t>Resolution Standard</w:t>
      </w:r>
    </w:p>
    <w:p w14:paraId="5CF2733B" w14:textId="3B93C55D" w:rsidR="00057D57" w:rsidRPr="00B15ECA" w:rsidRDefault="00057D57" w:rsidP="00057D57">
      <w:pPr>
        <w:spacing w:line="360" w:lineRule="auto"/>
        <w:rPr>
          <w:sz w:val="22"/>
          <w:szCs w:val="22"/>
        </w:rPr>
      </w:pPr>
      <w:r w:rsidRPr="00B15ECA">
        <w:rPr>
          <w:sz w:val="22"/>
          <w:szCs w:val="22"/>
        </w:rPr>
        <w:t>Resolution standards are essential for calibrating and characterising the spatial resolution and scan dimensions of imaging systems. These standards enable precise determination of minimum resolvable distance, scan field dimensions, and beam spot size, particularly those employing charged particles like protons and electrons. For proton and electron beam imaging, requirements include high spatial resolution, precise beam spot size measurement, and low uncertainty in scan size calibration.</w:t>
      </w:r>
    </w:p>
    <w:p w14:paraId="2CB51C3A" w14:textId="53380063" w:rsidR="00E31251" w:rsidRPr="00B15ECA" w:rsidRDefault="00AD1882" w:rsidP="00056010">
      <w:pPr>
        <w:spacing w:line="360" w:lineRule="auto"/>
        <w:rPr>
          <w:sz w:val="22"/>
          <w:szCs w:val="22"/>
        </w:rPr>
      </w:pPr>
      <w:r>
        <w:rPr>
          <w:sz w:val="22"/>
          <w:szCs w:val="22"/>
        </w:rPr>
        <w:t xml:space="preserve">In 2013, </w:t>
      </w:r>
      <w:r w:rsidRPr="00AD1882">
        <w:rPr>
          <w:sz w:val="22"/>
          <w:szCs w:val="22"/>
        </w:rPr>
        <w:t>Yao et al. [1] demonstrated via simulation that proton beam lithography can achieve resolution standards with remarkably vertical side walls (89.7°) in 500</w:t>
      </w:r>
      <w:r w:rsidR="00E03B5D">
        <w:rPr>
          <w:sz w:val="22"/>
          <w:szCs w:val="22"/>
        </w:rPr>
        <w:t> </w:t>
      </w:r>
      <w:r w:rsidRPr="00AD1882">
        <w:rPr>
          <w:sz w:val="22"/>
          <w:szCs w:val="22"/>
        </w:rPr>
        <w:t xml:space="preserve">nm thick </w:t>
      </w:r>
      <w:r w:rsidR="00D427F5">
        <w:rPr>
          <w:sz w:val="22"/>
          <w:szCs w:val="22"/>
        </w:rPr>
        <w:t>nickel</w:t>
      </w:r>
      <w:r w:rsidRPr="00AD1882">
        <w:rPr>
          <w:sz w:val="22"/>
          <w:szCs w:val="22"/>
        </w:rPr>
        <w:t>, utili</w:t>
      </w:r>
      <w:r w:rsidR="00FE6950">
        <w:rPr>
          <w:sz w:val="22"/>
          <w:szCs w:val="22"/>
        </w:rPr>
        <w:t>s</w:t>
      </w:r>
      <w:r w:rsidRPr="00AD1882">
        <w:rPr>
          <w:sz w:val="22"/>
          <w:szCs w:val="22"/>
        </w:rPr>
        <w:t xml:space="preserve">ing poly-methyl methacrylate (PMMA) resist material. </w:t>
      </w:r>
      <w:r w:rsidR="009B38F8" w:rsidRPr="009B38F8">
        <w:rPr>
          <w:sz w:val="22"/>
          <w:szCs w:val="22"/>
        </w:rPr>
        <w:t>This feat is unattainable with electron beam lithography due to significant electron straggling in PMMA, resulting in large side wall gradients.</w:t>
      </w:r>
      <w:r w:rsidR="001F5E36" w:rsidRPr="00B15ECA">
        <w:rPr>
          <w:sz w:val="22"/>
          <w:szCs w:val="22"/>
        </w:rPr>
        <w:t xml:space="preserve"> </w:t>
      </w:r>
      <w:r w:rsidR="0067174E" w:rsidRPr="0067174E">
        <w:rPr>
          <w:sz w:val="22"/>
          <w:szCs w:val="22"/>
        </w:rPr>
        <w:t>In contrast, protons</w:t>
      </w:r>
      <w:r w:rsidR="0067174E">
        <w:rPr>
          <w:sz w:val="22"/>
          <w:szCs w:val="22"/>
        </w:rPr>
        <w:t xml:space="preserve"> – </w:t>
      </w:r>
      <w:r w:rsidR="0067174E" w:rsidRPr="0067174E">
        <w:rPr>
          <w:sz w:val="22"/>
          <w:szCs w:val="22"/>
        </w:rPr>
        <w:t>1836 times heavier than electrons</w:t>
      </w:r>
      <w:r w:rsidR="0067174E">
        <w:rPr>
          <w:sz w:val="22"/>
          <w:szCs w:val="22"/>
        </w:rPr>
        <w:t xml:space="preserve"> – </w:t>
      </w:r>
      <w:r w:rsidR="0067174E" w:rsidRPr="0067174E">
        <w:rPr>
          <w:sz w:val="22"/>
          <w:szCs w:val="22"/>
        </w:rPr>
        <w:t>travel largely undeflected through the medium, enabling the creation of straight side walls.</w:t>
      </w:r>
    </w:p>
    <w:p w14:paraId="0546D3E8" w14:textId="71480407" w:rsidR="00056010" w:rsidRPr="00B15ECA" w:rsidRDefault="003D1C40" w:rsidP="00056010">
      <w:pPr>
        <w:spacing w:line="360" w:lineRule="auto"/>
        <w:rPr>
          <w:sz w:val="22"/>
          <w:szCs w:val="22"/>
        </w:rPr>
      </w:pPr>
      <w:r w:rsidRPr="00B15ECA">
        <w:rPr>
          <w:noProof/>
          <w:sz w:val="22"/>
          <w:szCs w:val="22"/>
        </w:rPr>
        <w:drawing>
          <wp:anchor distT="0" distB="0" distL="114300" distR="114300" simplePos="0" relativeHeight="251658240" behindDoc="0" locked="0" layoutInCell="1" allowOverlap="1" wp14:anchorId="00F05606" wp14:editId="320BC48E">
            <wp:simplePos x="0" y="0"/>
            <wp:positionH relativeFrom="margin">
              <wp:posOffset>2867025</wp:posOffset>
            </wp:positionH>
            <wp:positionV relativeFrom="paragraph">
              <wp:posOffset>7620</wp:posOffset>
            </wp:positionV>
            <wp:extent cx="2865120" cy="2454275"/>
            <wp:effectExtent l="0" t="0" r="0" b="3175"/>
            <wp:wrapSquare wrapText="bothSides"/>
            <wp:docPr id="155355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50038" name="Picture 1"/>
                    <pic:cNvPicPr/>
                  </pic:nvPicPr>
                  <pic:blipFill>
                    <a:blip r:embed="rId10" cstate="print">
                      <a:extLst>
                        <a:ext uri="{28A0092B-C50C-407E-A947-70E740481C1C}">
                          <a14:useLocalDpi xmlns:a14="http://schemas.microsoft.com/office/drawing/2010/main" val="0"/>
                        </a:ext>
                      </a:extLst>
                    </a:blip>
                    <a:srcRect t="9271" b="9271"/>
                    <a:stretch>
                      <a:fillRect/>
                    </a:stretch>
                  </pic:blipFill>
                  <pic:spPr bwMode="auto">
                    <a:xfrm>
                      <a:off x="0" y="0"/>
                      <a:ext cx="2865120" cy="2454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A0775" w:rsidRPr="006A0775">
        <w:rPr>
          <w:noProof/>
          <w:sz w:val="22"/>
          <w:szCs w:val="22"/>
        </w:rPr>
        <w:t>CIBA</w:t>
      </w:r>
      <w:r w:rsidR="007133AD">
        <w:rPr>
          <w:noProof/>
          <w:sz w:val="22"/>
          <w:szCs w:val="22"/>
        </w:rPr>
        <w:t>’</w:t>
      </w:r>
      <w:r w:rsidR="006A0775" w:rsidRPr="006A0775">
        <w:rPr>
          <w:noProof/>
          <w:sz w:val="22"/>
          <w:szCs w:val="22"/>
        </w:rPr>
        <w:t>s state-of-the-art accelerator drives our pioneering proton beam writing (PBW) system, which has yielded an array of achievements. These include significant biological applications [2] and the attainment of record-breaking spot sizes [3].</w:t>
      </w:r>
    </w:p>
    <w:p w14:paraId="7DA8A276" w14:textId="0AC6B028" w:rsidR="00205B77" w:rsidRDefault="003D1C40" w:rsidP="00056010">
      <w:pPr>
        <w:spacing w:line="360" w:lineRule="auto"/>
        <w:rPr>
          <w:sz w:val="22"/>
          <w:szCs w:val="22"/>
        </w:rPr>
      </w:pPr>
      <w:r w:rsidRPr="00910D54">
        <w:rPr>
          <w:noProof/>
          <w:sz w:val="22"/>
          <w:szCs w:val="22"/>
        </w:rPr>
        <mc:AlternateContent>
          <mc:Choice Requires="wps">
            <w:drawing>
              <wp:anchor distT="0" distB="0" distL="114300" distR="114300" simplePos="0" relativeHeight="251658241" behindDoc="0" locked="0" layoutInCell="1" allowOverlap="1" wp14:anchorId="4E0E3116" wp14:editId="6FD2E16F">
                <wp:simplePos x="0" y="0"/>
                <wp:positionH relativeFrom="margin">
                  <wp:posOffset>2866390</wp:posOffset>
                </wp:positionH>
                <wp:positionV relativeFrom="paragraph">
                  <wp:posOffset>975360</wp:posOffset>
                </wp:positionV>
                <wp:extent cx="2865120" cy="523875"/>
                <wp:effectExtent l="0" t="0" r="0" b="9525"/>
                <wp:wrapSquare wrapText="bothSides"/>
                <wp:docPr id="559129058" name="Text Box 1"/>
                <wp:cNvGraphicFramePr/>
                <a:graphic xmlns:a="http://schemas.openxmlformats.org/drawingml/2006/main">
                  <a:graphicData uri="http://schemas.microsoft.com/office/word/2010/wordprocessingShape">
                    <wps:wsp>
                      <wps:cNvSpPr txBox="1"/>
                      <wps:spPr>
                        <a:xfrm>
                          <a:off x="0" y="0"/>
                          <a:ext cx="2865120" cy="523875"/>
                        </a:xfrm>
                        <a:prstGeom prst="rect">
                          <a:avLst/>
                        </a:prstGeom>
                        <a:solidFill>
                          <a:prstClr val="white"/>
                        </a:solidFill>
                        <a:ln>
                          <a:noFill/>
                        </a:ln>
                      </wps:spPr>
                      <wps:txbx>
                        <w:txbxContent>
                          <w:p w14:paraId="36555849" w14:textId="646644AB" w:rsidR="00141583" w:rsidRPr="00776B9F" w:rsidRDefault="00141583" w:rsidP="00141583">
                            <w:pPr>
                              <w:pStyle w:val="Caption"/>
                              <w:jc w:val="center"/>
                              <w:rPr>
                                <w:noProof/>
                                <w:color w:val="auto"/>
                                <w:sz w:val="22"/>
                                <w:szCs w:val="22"/>
                              </w:rPr>
                            </w:pPr>
                            <w:r w:rsidRPr="00776B9F">
                              <w:rPr>
                                <w:color w:val="auto"/>
                              </w:rPr>
                              <w:t xml:space="preserve">Figure </w:t>
                            </w:r>
                            <w:r w:rsidRPr="00776B9F">
                              <w:rPr>
                                <w:color w:val="auto"/>
                              </w:rPr>
                              <w:fldChar w:fldCharType="begin"/>
                            </w:r>
                            <w:r w:rsidRPr="00776B9F">
                              <w:rPr>
                                <w:color w:val="auto"/>
                              </w:rPr>
                              <w:instrText xml:space="preserve"> SEQ Figure \* ARABIC </w:instrText>
                            </w:r>
                            <w:r w:rsidRPr="00776B9F">
                              <w:rPr>
                                <w:color w:val="auto"/>
                              </w:rPr>
                              <w:fldChar w:fldCharType="separate"/>
                            </w:r>
                            <w:r w:rsidRPr="00776B9F">
                              <w:rPr>
                                <w:noProof/>
                                <w:color w:val="auto"/>
                              </w:rPr>
                              <w:t>1</w:t>
                            </w:r>
                            <w:r w:rsidRPr="00776B9F">
                              <w:rPr>
                                <w:color w:val="auto"/>
                              </w:rPr>
                              <w:fldChar w:fldCharType="end"/>
                            </w:r>
                            <w:r w:rsidRPr="00776B9F">
                              <w:rPr>
                                <w:color w:val="auto"/>
                              </w:rPr>
                              <w:t>: Optical micrographs (a, b) and SEM images</w:t>
                            </w:r>
                            <w:r w:rsidR="00776B9F" w:rsidRPr="00776B9F">
                              <w:rPr>
                                <w:color w:val="auto"/>
                              </w:rPr>
                              <w:br/>
                            </w:r>
                            <w:r w:rsidRPr="00776B9F">
                              <w:rPr>
                                <w:color w:val="auto"/>
                              </w:rPr>
                              <w:t>(c, d) of fabricated nickel resolution standard</w:t>
                            </w:r>
                            <w:r w:rsidR="00776B9F" w:rsidRPr="00776B9F">
                              <w:rPr>
                                <w:color w:val="auto"/>
                              </w:rPr>
                              <w:br/>
                              <w:t>(Obtained from Yao et al. [1])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E0E3116" id="_x0000_t202" coordsize="21600,21600" o:spt="202" path="m,l,21600r21600,l21600,xe">
                <v:stroke joinstyle="miter"/>
                <v:path gradientshapeok="t" o:connecttype="rect"/>
              </v:shapetype>
              <v:shape id="Text Box 1" o:spid="_x0000_s1026" type="#_x0000_t202" style="position:absolute;left:0;text-align:left;margin-left:225.7pt;margin-top:76.8pt;width:225.6pt;height:41.2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" stroked="f">
                <v:textbox inset="0,0,0,0">
                  <w:txbxContent>
                    <w:p w14:paraId="36555849" w14:textId="646644AB" w:rsidR="00141583" w:rsidRPr="00776B9F" w:rsidRDefault="00141583" w:rsidP="00141583">
                      <w:pPr>
                        <w:pStyle w:val="Caption"/>
                        <w:jc w:val="center"/>
                        <w:rPr>
                          <w:noProof/>
                          <w:color w:val="auto"/>
                          <w:sz w:val="22"/>
                          <w:szCs w:val="22"/>
                        </w:rPr>
                      </w:pPr>
                      <w:r w:rsidRPr="00776B9F">
                        <w:rPr>
                          <w:color w:val="auto"/>
                        </w:rPr>
                        <w:t xml:space="preserve">Figure </w:t>
                      </w:r>
                      <w:r w:rsidRPr="00776B9F">
                        <w:rPr>
                          <w:color w:val="auto"/>
                        </w:rPr>
                        <w:fldChar w:fldCharType="begin"/>
                      </w:r>
                      <w:r w:rsidRPr="00776B9F">
                        <w:rPr>
                          <w:color w:val="auto"/>
                        </w:rPr>
                        <w:instrText xml:space="preserve"> SEQ Figure \* ARABIC </w:instrText>
                      </w:r>
                      <w:r w:rsidRPr="00776B9F">
                        <w:rPr>
                          <w:color w:val="auto"/>
                        </w:rPr>
                        <w:fldChar w:fldCharType="separate"/>
                      </w:r>
                      <w:r w:rsidRPr="00776B9F">
                        <w:rPr>
                          <w:noProof/>
                          <w:color w:val="auto"/>
                        </w:rPr>
                        <w:t>1</w:t>
                      </w:r>
                      <w:r w:rsidRPr="00776B9F">
                        <w:rPr>
                          <w:color w:val="auto"/>
                        </w:rPr>
                        <w:fldChar w:fldCharType="end"/>
                      </w:r>
                      <w:r w:rsidRPr="00776B9F">
                        <w:rPr>
                          <w:color w:val="auto"/>
                        </w:rPr>
                        <w:t>: Optical micrographs (a, b) and SEM images</w:t>
                      </w:r>
                      <w:r w:rsidR="00776B9F" w:rsidRPr="00776B9F">
                        <w:rPr>
                          <w:color w:val="auto"/>
                        </w:rPr>
                        <w:br/>
                      </w:r>
                      <w:r w:rsidRPr="00776B9F">
                        <w:rPr>
                          <w:color w:val="auto"/>
                        </w:rPr>
                        <w:t>(c, d) of fabricated nickel resolution standard</w:t>
                      </w:r>
                      <w:r w:rsidR="00776B9F" w:rsidRPr="00776B9F">
                        <w:rPr>
                          <w:color w:val="auto"/>
                        </w:rPr>
                        <w:br/>
                        <w:t>(Obtained from Yao et al. [1])</w:t>
                      </w:r>
                    </w:p>
                  </w:txbxContent>
                </v:textbox>
                <w10:wrap type="square" anchorx="margin"/>
              </v:shape>
            </w:pict>
          </mc:Fallback>
        </mc:AlternateContent>
      </w:r>
      <w:r w:rsidRPr="00910D54">
        <w:rPr>
          <w:noProof/>
          <w:sz w:val="22"/>
          <w:szCs w:val="22"/>
        </w:rPr>
        <w:t>Utili</w:t>
      </w:r>
      <w:r w:rsidR="00B967DC" w:rsidRPr="00910D54">
        <w:rPr>
          <w:noProof/>
          <w:sz w:val="22"/>
          <w:szCs w:val="22"/>
        </w:rPr>
        <w:t>s</w:t>
      </w:r>
      <w:r w:rsidRPr="00910D54">
        <w:rPr>
          <w:noProof/>
          <w:sz w:val="22"/>
          <w:szCs w:val="22"/>
        </w:rPr>
        <w:t>ing the same advanced proton beam writing (PBW) system, we can produce high-precision resolution standards featuring fine grids. A notable example is the nickel grid fabricated by Yao et al. [1], shown in Figure</w:t>
      </w:r>
      <w:r w:rsidR="005D5765">
        <w:rPr>
          <w:noProof/>
          <w:sz w:val="22"/>
          <w:szCs w:val="22"/>
        </w:rPr>
        <w:t> </w:t>
      </w:r>
      <w:r w:rsidRPr="00910D54">
        <w:rPr>
          <w:noProof/>
          <w:sz w:val="22"/>
          <w:szCs w:val="22"/>
        </w:rPr>
        <w:t>1, which demonstrates the system</w:t>
      </w:r>
      <w:r w:rsidR="00910D54">
        <w:rPr>
          <w:noProof/>
          <w:sz w:val="22"/>
          <w:szCs w:val="22"/>
        </w:rPr>
        <w:t>’</w:t>
      </w:r>
      <w:r w:rsidRPr="00910D54">
        <w:rPr>
          <w:noProof/>
          <w:sz w:val="22"/>
          <w:szCs w:val="22"/>
        </w:rPr>
        <w:t>s exceptional capabilities</w:t>
      </w:r>
      <w:r w:rsidR="00910D54">
        <w:rPr>
          <w:noProof/>
          <w:sz w:val="22"/>
          <w:szCs w:val="22"/>
        </w:rPr>
        <w:t>.</w:t>
      </w:r>
    </w:p>
    <w:p w14:paraId="74C163CF" w14:textId="6C0CCE5F" w:rsidR="009A13FF" w:rsidRDefault="006F1FE9" w:rsidP="00056010">
      <w:pPr>
        <w:spacing w:line="360" w:lineRule="auto"/>
        <w:rPr>
          <w:sz w:val="22"/>
          <w:szCs w:val="22"/>
        </w:rPr>
      </w:pPr>
      <w:r>
        <w:rPr>
          <w:sz w:val="22"/>
          <w:szCs w:val="22"/>
        </w:rPr>
        <w:t>Further</w:t>
      </w:r>
      <w:r w:rsidR="00BB5F58" w:rsidRPr="00BB5F58">
        <w:rPr>
          <w:sz w:val="22"/>
          <w:szCs w:val="22"/>
        </w:rPr>
        <w:t xml:space="preserve"> simulations reveal that our PBW system can achieve resolution standards with remarkably vertical side walls, reaching an unprecedented 89.</w:t>
      </w:r>
      <w:r w:rsidR="008F0B96">
        <w:rPr>
          <w:sz w:val="22"/>
          <w:szCs w:val="22"/>
        </w:rPr>
        <w:t>8</w:t>
      </w:r>
      <w:r w:rsidR="00BB5F58" w:rsidRPr="00BB5F58">
        <w:rPr>
          <w:sz w:val="22"/>
          <w:szCs w:val="22"/>
        </w:rPr>
        <w:t>°</w:t>
      </w:r>
      <w:r w:rsidR="008F0B96">
        <w:rPr>
          <w:sz w:val="22"/>
          <w:szCs w:val="22"/>
        </w:rPr>
        <w:t xml:space="preserve"> - 89.9</w:t>
      </w:r>
      <w:r w:rsidR="008F0B96" w:rsidRPr="00BB5F58">
        <w:rPr>
          <w:sz w:val="22"/>
          <w:szCs w:val="22"/>
        </w:rPr>
        <w:t>°</w:t>
      </w:r>
      <w:r w:rsidR="00BB5F58" w:rsidRPr="00BB5F58">
        <w:rPr>
          <w:sz w:val="22"/>
          <w:szCs w:val="22"/>
        </w:rPr>
        <w:t>.</w:t>
      </w:r>
      <w:r w:rsidR="007E5435">
        <w:rPr>
          <w:sz w:val="22"/>
          <w:szCs w:val="22"/>
        </w:rPr>
        <w:t xml:space="preserve"> </w:t>
      </w:r>
      <w:r w:rsidR="00571E23" w:rsidRPr="00571E23">
        <w:rPr>
          <w:sz w:val="22"/>
          <w:szCs w:val="22"/>
        </w:rPr>
        <w:t>This exceeds the industry standard for straight side walls by an order of magnitude, enhancing the reliability and accuracy of characteri</w:t>
      </w:r>
      <w:r w:rsidR="0033757E">
        <w:rPr>
          <w:sz w:val="22"/>
          <w:szCs w:val="22"/>
        </w:rPr>
        <w:t>s</w:t>
      </w:r>
      <w:r w:rsidR="00571E23" w:rsidRPr="00571E23">
        <w:rPr>
          <w:sz w:val="22"/>
          <w:szCs w:val="22"/>
        </w:rPr>
        <w:t>ation results</w:t>
      </w:r>
      <w:r w:rsidR="00571E23">
        <w:rPr>
          <w:sz w:val="22"/>
          <w:szCs w:val="22"/>
        </w:rPr>
        <w:t>.</w:t>
      </w:r>
    </w:p>
    <w:p w14:paraId="3DE84CB5" w14:textId="4FC76064" w:rsidR="003125E6" w:rsidRPr="00DD7846" w:rsidRDefault="00D12703" w:rsidP="00DD7846">
      <w:pPr>
        <w:spacing w:line="360" w:lineRule="auto"/>
        <w:rPr>
          <w:b/>
          <w:bCs/>
        </w:rPr>
      </w:pPr>
      <w:r w:rsidRPr="00DD7846">
        <w:rPr>
          <w:b/>
          <w:bCs/>
        </w:rPr>
        <w:t xml:space="preserve">Grid vs Spherical </w:t>
      </w:r>
      <w:r w:rsidR="004C3B4F" w:rsidRPr="00DD7846">
        <w:rPr>
          <w:b/>
          <w:bCs/>
        </w:rPr>
        <w:t>Resolution Standards</w:t>
      </w:r>
    </w:p>
    <w:p w14:paraId="09EB91FB" w14:textId="31260D1B" w:rsidR="004C3B4F" w:rsidRDefault="004C3B4F" w:rsidP="00DD7846">
      <w:pPr>
        <w:spacing w:line="360" w:lineRule="auto"/>
      </w:pPr>
      <w:r>
        <w:t xml:space="preserve">In the market, spherical resolution standards such as near-perfect round tin spheres </w:t>
      </w:r>
      <w:r w:rsidR="004027F1">
        <w:t>are used</w:t>
      </w:r>
      <w:r w:rsidR="00F8344B">
        <w:t xml:space="preserve"> to characterise the imaging resolution. They vary in sizes ranging from few nanometres to </w:t>
      </w:r>
      <w:r w:rsidR="00DD7846">
        <w:t>a few hundred nanometres.</w:t>
      </w:r>
      <w:r w:rsidR="0039192B">
        <w:t xml:space="preserve"> </w:t>
      </w:r>
      <w:r w:rsidR="00B00F2B">
        <w:t>Resolution of the imaging system</w:t>
      </w:r>
      <w:r w:rsidR="00570CDE">
        <w:t xml:space="preserve"> using such standards</w:t>
      </w:r>
      <w:r w:rsidR="00B00F2B">
        <w:t xml:space="preserve"> </w:t>
      </w:r>
      <w:r w:rsidR="005D4126">
        <w:t xml:space="preserve">is determined by one of </w:t>
      </w:r>
      <w:r w:rsidR="00570CDE">
        <w:t>three</w:t>
      </w:r>
      <w:r w:rsidR="005D4126">
        <w:t xml:space="preserve"> methods: </w:t>
      </w:r>
      <w:r w:rsidR="00D75F54">
        <w:t>edge definition</w:t>
      </w:r>
      <w:r w:rsidR="00570CDE">
        <w:t>,</w:t>
      </w:r>
      <w:r w:rsidR="00D75F54">
        <w:t xml:space="preserve"> </w:t>
      </w:r>
      <w:r w:rsidR="009729F4">
        <w:t xml:space="preserve">point spread function of the </w:t>
      </w:r>
      <w:r w:rsidR="008E463A">
        <w:t>sphere treated as a point object</w:t>
      </w:r>
      <w:r w:rsidR="00570CDE">
        <w:t xml:space="preserve">, and the gap </w:t>
      </w:r>
      <w:r w:rsidR="00B13A09">
        <w:t>separation test.</w:t>
      </w:r>
    </w:p>
    <w:p w14:paraId="7CF86643" w14:textId="6654C90E" w:rsidR="008E463A" w:rsidRDefault="008E463A" w:rsidP="00DD7846">
      <w:pPr>
        <w:spacing w:line="360" w:lineRule="auto"/>
      </w:pPr>
      <w:r>
        <w:t xml:space="preserve">For the first method, edges of the spheres are </w:t>
      </w:r>
      <w:r w:rsidR="004D44E6">
        <w:t>scanned,</w:t>
      </w:r>
      <w:r>
        <w:t xml:space="preserve"> and </w:t>
      </w:r>
      <w:r w:rsidR="00D706D0">
        <w:t>the</w:t>
      </w:r>
      <w:r w:rsidR="00695FA4">
        <w:t xml:space="preserve"> resulting</w:t>
      </w:r>
      <w:r w:rsidR="00D706D0">
        <w:t xml:space="preserve"> </w:t>
      </w:r>
      <w:r w:rsidR="00D9057F">
        <w:t xml:space="preserve">line profile </w:t>
      </w:r>
      <w:r w:rsidR="00695FA4">
        <w:t xml:space="preserve">is </w:t>
      </w:r>
      <w:r w:rsidR="00E5516E">
        <w:t xml:space="preserve">fitted with a </w:t>
      </w:r>
      <w:r w:rsidR="003D0BED">
        <w:t xml:space="preserve">mathematical </w:t>
      </w:r>
      <w:r w:rsidR="004E5823">
        <w:t xml:space="preserve">function that </w:t>
      </w:r>
      <w:r w:rsidR="00695FA4">
        <w:t>provide</w:t>
      </w:r>
      <w:r w:rsidR="004D44E6">
        <w:t>s the resolution</w:t>
      </w:r>
      <w:r w:rsidR="003D0BED">
        <w:t xml:space="preserve"> as an optimised parameter</w:t>
      </w:r>
      <w:r w:rsidR="00B2745C">
        <w:t>.</w:t>
      </w:r>
      <w:r w:rsidR="004D44E6">
        <w:t xml:space="preserve"> This approach relies on the </w:t>
      </w:r>
      <w:r w:rsidR="00855581">
        <w:t xml:space="preserve">curvature of the </w:t>
      </w:r>
      <w:r w:rsidR="00FF64EE">
        <w:t>side of the sphere.</w:t>
      </w:r>
      <w:r w:rsidR="00526543">
        <w:t xml:space="preserve"> </w:t>
      </w:r>
      <w:r w:rsidR="00526543" w:rsidRPr="00986865">
        <w:rPr>
          <w:i/>
          <w:iCs/>
        </w:rPr>
        <w:t>A grid with straight side</w:t>
      </w:r>
      <w:r w:rsidR="00D131D9" w:rsidRPr="00986865">
        <w:rPr>
          <w:i/>
          <w:iCs/>
        </w:rPr>
        <w:t xml:space="preserve"> </w:t>
      </w:r>
      <w:r w:rsidR="00526543" w:rsidRPr="00986865">
        <w:rPr>
          <w:i/>
          <w:iCs/>
        </w:rPr>
        <w:t xml:space="preserve">walls may perform better and give more accurate results due to </w:t>
      </w:r>
      <w:r w:rsidR="00F44827" w:rsidRPr="00986865">
        <w:rPr>
          <w:i/>
          <w:iCs/>
        </w:rPr>
        <w:t xml:space="preserve">it eliminating any errors contributed </w:t>
      </w:r>
      <w:r w:rsidR="00D131D9" w:rsidRPr="00986865">
        <w:rPr>
          <w:i/>
          <w:iCs/>
        </w:rPr>
        <w:t>by this curvature of the sphere.</w:t>
      </w:r>
    </w:p>
    <w:p w14:paraId="49C91684" w14:textId="7DBD7444" w:rsidR="00986865" w:rsidRDefault="002527FB" w:rsidP="00DD7846">
      <w:pPr>
        <w:spacing w:line="360" w:lineRule="auto"/>
        <w:rPr>
          <w:i/>
          <w:iCs/>
        </w:rPr>
      </w:pPr>
      <w:r>
        <w:t xml:space="preserve">The second method </w:t>
      </w:r>
      <w:r w:rsidR="000E552E">
        <w:t xml:space="preserve">scans the sphere, assuming it to be a point object. The full-width-half-maximum (FWHM) of the resulting </w:t>
      </w:r>
      <w:r w:rsidR="00F30117">
        <w:t xml:space="preserve">processed </w:t>
      </w:r>
      <w:r w:rsidR="000E552E">
        <w:t xml:space="preserve">gaussian </w:t>
      </w:r>
      <w:r w:rsidR="00F30117">
        <w:t xml:space="preserve">profile of the image would give </w:t>
      </w:r>
      <w:r w:rsidR="00CE0261">
        <w:t xml:space="preserve">the resolution of the imaging system. </w:t>
      </w:r>
      <w:r w:rsidR="00CE0261" w:rsidRPr="00AC5D4C">
        <w:rPr>
          <w:i/>
          <w:iCs/>
        </w:rPr>
        <w:t>However, this approach relies heavily on the actual physical dimensions of the sphere</w:t>
      </w:r>
      <w:r w:rsidR="00140A91" w:rsidRPr="00AC5D4C">
        <w:rPr>
          <w:i/>
          <w:iCs/>
        </w:rPr>
        <w:t xml:space="preserve">, whereas </w:t>
      </w:r>
      <w:r w:rsidR="00C12B06" w:rsidRPr="00AC5D4C">
        <w:rPr>
          <w:i/>
          <w:iCs/>
        </w:rPr>
        <w:t xml:space="preserve">the grid </w:t>
      </w:r>
      <w:r w:rsidR="002C3050" w:rsidRPr="00AC5D4C">
        <w:rPr>
          <w:i/>
          <w:iCs/>
        </w:rPr>
        <w:t xml:space="preserve">completely </w:t>
      </w:r>
      <w:r w:rsidR="00912B98" w:rsidRPr="00AC5D4C">
        <w:rPr>
          <w:i/>
          <w:iCs/>
        </w:rPr>
        <w:t xml:space="preserve">overcomes </w:t>
      </w:r>
      <w:r w:rsidR="00373929" w:rsidRPr="00AC5D4C">
        <w:rPr>
          <w:i/>
          <w:iCs/>
        </w:rPr>
        <w:t>this limitation</w:t>
      </w:r>
      <w:r w:rsidR="00AC5D4C" w:rsidRPr="00AC5D4C">
        <w:rPr>
          <w:i/>
          <w:iCs/>
        </w:rPr>
        <w:t xml:space="preserve"> by utilising the edge straightness for the same purpose.</w:t>
      </w:r>
    </w:p>
    <w:p w14:paraId="13FE5174" w14:textId="50661F5D" w:rsidR="00CA034F" w:rsidRDefault="00B13A09" w:rsidP="00DD7846">
      <w:pPr>
        <w:spacing w:line="360" w:lineRule="auto"/>
        <w:rPr>
          <w:i/>
          <w:iCs/>
        </w:rPr>
      </w:pPr>
      <w:r>
        <w:t xml:space="preserve">The third method requires finding a gap between two spheres </w:t>
      </w:r>
      <w:r w:rsidR="00AB3A08">
        <w:t xml:space="preserve">that reside very closely with each other. </w:t>
      </w:r>
      <w:r w:rsidR="00284D93">
        <w:t xml:space="preserve">If the imaging system can </w:t>
      </w:r>
      <w:r w:rsidR="00D77675">
        <w:t xml:space="preserve">clearly </w:t>
      </w:r>
      <w:r w:rsidR="00284D93">
        <w:t>distinguish the gaps between them,</w:t>
      </w:r>
      <w:r w:rsidR="00D77675">
        <w:t xml:space="preserve"> the distance measured by the imaging system would be the resolution. </w:t>
      </w:r>
      <w:r w:rsidR="00D77675" w:rsidRPr="00D77675">
        <w:rPr>
          <w:i/>
          <w:iCs/>
        </w:rPr>
        <w:t>However, this has the same issue as the second method, since the gaps are not the same between any two spheres.</w:t>
      </w:r>
      <w:r w:rsidR="00D77675">
        <w:rPr>
          <w:i/>
          <w:iCs/>
        </w:rPr>
        <w:t xml:space="preserve"> The best measured resolution is hence directly dependant on the physical gap separation.</w:t>
      </w:r>
    </w:p>
    <w:p w14:paraId="16288C62" w14:textId="11CB7408" w:rsidR="00A63AE3" w:rsidRPr="00A63AE3" w:rsidRDefault="001A03CE" w:rsidP="00DD7846">
      <w:pPr>
        <w:spacing w:line="360" w:lineRule="auto"/>
      </w:pPr>
      <w:r>
        <w:t>These conclusions point to the potential our grids could have over commercial spherical resolution standards</w:t>
      </w:r>
      <w:r w:rsidR="000750B3">
        <w:t>.</w:t>
      </w:r>
    </w:p>
    <w:p w14:paraId="0981AA33" w14:textId="77777777" w:rsidR="00AC5D4C" w:rsidRPr="00B15ECA" w:rsidRDefault="00AC5D4C" w:rsidP="00DD7846">
      <w:pPr>
        <w:spacing w:line="360" w:lineRule="auto"/>
      </w:pPr>
    </w:p>
    <w:sectPr w:rsidR="00AC5D4C" w:rsidRPr="00B15ECA">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E72A" w14:textId="77777777" w:rsidR="00236C38" w:rsidRDefault="00236C38" w:rsidP="00E31251">
      <w:pPr>
        <w:spacing w:after="0" w:line="240" w:lineRule="auto"/>
      </w:pPr>
      <w:r>
        <w:separator/>
      </w:r>
    </w:p>
  </w:endnote>
  <w:endnote w:type="continuationSeparator" w:id="0">
    <w:p w14:paraId="51DC46E3" w14:textId="77777777" w:rsidR="00236C38" w:rsidRDefault="00236C38" w:rsidP="00E31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0D4C4" w14:textId="16DF5733" w:rsidR="00E31251" w:rsidRPr="00E31251" w:rsidRDefault="007263F4" w:rsidP="007263F4">
    <w:pPr>
      <w:pStyle w:val="Bibliography"/>
      <w:pBdr>
        <w:bottom w:val="single" w:sz="6" w:space="1" w:color="auto"/>
      </w:pBdr>
      <w:tabs>
        <w:tab w:val="left" w:pos="1005"/>
      </w:tabs>
      <w:spacing w:line="240" w:lineRule="auto"/>
      <w:rPr>
        <w:sz w:val="16"/>
        <w:szCs w:val="14"/>
      </w:rPr>
    </w:pPr>
    <w:r>
      <w:rPr>
        <w:sz w:val="16"/>
        <w:szCs w:val="14"/>
      </w:rPr>
      <w:tab/>
    </w:r>
  </w:p>
  <w:p w14:paraId="6B8C83D9" w14:textId="19E6425F" w:rsidR="00082FFF" w:rsidRDefault="00E31251" w:rsidP="00082FFF">
    <w:pPr>
      <w:pStyle w:val="Bibliography"/>
      <w:numPr>
        <w:ilvl w:val="0"/>
        <w:numId w:val="1"/>
      </w:numPr>
      <w:spacing w:line="240" w:lineRule="auto"/>
      <w:ind w:left="426" w:hanging="426"/>
      <w:rPr>
        <w:noProof/>
        <w:sz w:val="16"/>
        <w:szCs w:val="14"/>
      </w:rPr>
    </w:pPr>
    <w:r w:rsidRPr="00E31251">
      <w:rPr>
        <w:noProof/>
        <w:sz w:val="16"/>
        <w:szCs w:val="14"/>
      </w:rPr>
      <w:t xml:space="preserve">Y. Yao, M. W. van Mourik, P. S. Raman and J. A. van Kan, “Improved beam spot measurements in the 2nd generation proton beam writing system,” </w:t>
    </w:r>
    <w:r w:rsidRPr="00E31251">
      <w:rPr>
        <w:i/>
        <w:iCs/>
        <w:noProof/>
        <w:sz w:val="16"/>
        <w:szCs w:val="14"/>
      </w:rPr>
      <w:t xml:space="preserve">Nuclear Instruments and Methods in Physics Research B, </w:t>
    </w:r>
    <w:r w:rsidRPr="00E31251">
      <w:rPr>
        <w:noProof/>
        <w:sz w:val="16"/>
        <w:szCs w:val="14"/>
      </w:rPr>
      <w:t>vol. 306, pp. 265-270,</w:t>
    </w:r>
    <w:r w:rsidR="00082FFF">
      <w:rPr>
        <w:noProof/>
        <w:sz w:val="16"/>
        <w:szCs w:val="14"/>
      </w:rPr>
      <w:t xml:space="preserve"> 2013.</w:t>
    </w:r>
  </w:p>
  <w:p w14:paraId="7A45EDE9" w14:textId="26C9D0EC" w:rsidR="00082FFF" w:rsidRDefault="006877B4" w:rsidP="00082FFF">
    <w:pPr>
      <w:pStyle w:val="Bibliography"/>
      <w:numPr>
        <w:ilvl w:val="0"/>
        <w:numId w:val="1"/>
      </w:numPr>
      <w:spacing w:line="240" w:lineRule="auto"/>
      <w:ind w:left="426" w:hanging="426"/>
      <w:rPr>
        <w:noProof/>
        <w:sz w:val="16"/>
        <w:szCs w:val="14"/>
      </w:rPr>
    </w:pPr>
    <w:r w:rsidRPr="006877B4">
      <w:rPr>
        <w:noProof/>
        <w:sz w:val="16"/>
        <w:szCs w:val="14"/>
      </w:rPr>
      <w:t xml:space="preserve">C. J. Tan, R. Basak, I. Yadav, J. A. van Kan, V. Arluison and J. R. C. van der Maarel, “Mobility of Bacterial Protein Hfq on dsDNA: Role of C-Terminus- Mediated Transient Binding,” </w:t>
    </w:r>
    <w:r w:rsidRPr="006877B4">
      <w:rPr>
        <w:i/>
        <w:iCs/>
        <w:noProof/>
        <w:sz w:val="16"/>
        <w:szCs w:val="14"/>
      </w:rPr>
      <w:t>Journal of Physical Chemistry B</w:t>
    </w:r>
    <w:r w:rsidRPr="006877B4">
      <w:rPr>
        <w:noProof/>
        <w:sz w:val="16"/>
        <w:szCs w:val="14"/>
      </w:rPr>
      <w:t>, vol. 126, no. 7, pp. 1477-1482, 2022.</w:t>
    </w:r>
  </w:p>
  <w:p w14:paraId="2343DD9C" w14:textId="045DB633" w:rsidR="008F65FF" w:rsidRPr="008F65FF" w:rsidRDefault="00475B8F" w:rsidP="00475B8F">
    <w:pPr>
      <w:pStyle w:val="ListParagraph"/>
      <w:numPr>
        <w:ilvl w:val="0"/>
        <w:numId w:val="1"/>
      </w:numPr>
      <w:ind w:left="426" w:hanging="426"/>
      <w:rPr>
        <w:sz w:val="16"/>
        <w:szCs w:val="16"/>
      </w:rPr>
    </w:pPr>
    <w:r w:rsidRPr="00475B8F">
      <w:rPr>
        <w:sz w:val="16"/>
        <w:szCs w:val="16"/>
      </w:rPr>
      <w:t xml:space="preserve">Y. Dou, T. Osipowicz and J. A. van kan, “Breaking the 10 nm barrier using molecular ions in nuclear microprobes,” </w:t>
    </w:r>
    <w:r w:rsidRPr="00475B8F">
      <w:rPr>
        <w:i/>
        <w:iCs/>
        <w:sz w:val="16"/>
        <w:szCs w:val="16"/>
      </w:rPr>
      <w:t>Ultramicroscopy</w:t>
    </w:r>
    <w:r w:rsidRPr="00475B8F">
      <w:rPr>
        <w:sz w:val="16"/>
        <w:szCs w:val="16"/>
      </w:rPr>
      <w:t>, vol. 253, 2023</w:t>
    </w:r>
    <w:r>
      <w:rPr>
        <w:sz w:val="16"/>
        <w:szCs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61BC" w14:textId="77777777" w:rsidR="00236C38" w:rsidRDefault="00236C38" w:rsidP="00E31251">
      <w:pPr>
        <w:spacing w:after="0" w:line="240" w:lineRule="auto"/>
      </w:pPr>
      <w:r>
        <w:separator/>
      </w:r>
    </w:p>
  </w:footnote>
  <w:footnote w:type="continuationSeparator" w:id="0">
    <w:p w14:paraId="431A8279" w14:textId="77777777" w:rsidR="00236C38" w:rsidRDefault="00236C38" w:rsidP="00E312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10B68"/>
    <w:multiLevelType w:val="hybridMultilevel"/>
    <w:tmpl w:val="1888722C"/>
    <w:lvl w:ilvl="0" w:tplc="7590A8D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388580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469"/>
    <w:rsid w:val="0000364B"/>
    <w:rsid w:val="000103AB"/>
    <w:rsid w:val="00033426"/>
    <w:rsid w:val="00056010"/>
    <w:rsid w:val="00057D57"/>
    <w:rsid w:val="00061DB5"/>
    <w:rsid w:val="000750B3"/>
    <w:rsid w:val="00082FFF"/>
    <w:rsid w:val="000B5730"/>
    <w:rsid w:val="000E37B5"/>
    <w:rsid w:val="000E552E"/>
    <w:rsid w:val="000F28E7"/>
    <w:rsid w:val="000F3A24"/>
    <w:rsid w:val="000F7195"/>
    <w:rsid w:val="00123B52"/>
    <w:rsid w:val="00127D04"/>
    <w:rsid w:val="001335DF"/>
    <w:rsid w:val="00140A91"/>
    <w:rsid w:val="00141583"/>
    <w:rsid w:val="00162C2F"/>
    <w:rsid w:val="001632CA"/>
    <w:rsid w:val="001A03CE"/>
    <w:rsid w:val="001B2FD4"/>
    <w:rsid w:val="001C0E28"/>
    <w:rsid w:val="001D60CB"/>
    <w:rsid w:val="001E1AC5"/>
    <w:rsid w:val="001E5538"/>
    <w:rsid w:val="001F0291"/>
    <w:rsid w:val="001F5E36"/>
    <w:rsid w:val="00205B77"/>
    <w:rsid w:val="002065FF"/>
    <w:rsid w:val="002068E5"/>
    <w:rsid w:val="00234083"/>
    <w:rsid w:val="00236C38"/>
    <w:rsid w:val="002527FB"/>
    <w:rsid w:val="0025325D"/>
    <w:rsid w:val="00264232"/>
    <w:rsid w:val="00283D9E"/>
    <w:rsid w:val="00284D93"/>
    <w:rsid w:val="00286F2C"/>
    <w:rsid w:val="002B1947"/>
    <w:rsid w:val="002C3050"/>
    <w:rsid w:val="002D0A95"/>
    <w:rsid w:val="002D43AA"/>
    <w:rsid w:val="002E2EC6"/>
    <w:rsid w:val="002F305C"/>
    <w:rsid w:val="002F523D"/>
    <w:rsid w:val="002F5495"/>
    <w:rsid w:val="00305EFE"/>
    <w:rsid w:val="003125E6"/>
    <w:rsid w:val="003277C9"/>
    <w:rsid w:val="00333D44"/>
    <w:rsid w:val="0033757E"/>
    <w:rsid w:val="00362C71"/>
    <w:rsid w:val="00373929"/>
    <w:rsid w:val="003904FC"/>
    <w:rsid w:val="0039192B"/>
    <w:rsid w:val="00395B9A"/>
    <w:rsid w:val="003B4C1C"/>
    <w:rsid w:val="003C3AE4"/>
    <w:rsid w:val="003D0BED"/>
    <w:rsid w:val="003D1C40"/>
    <w:rsid w:val="003D676E"/>
    <w:rsid w:val="003E69EC"/>
    <w:rsid w:val="00401FC2"/>
    <w:rsid w:val="004027F1"/>
    <w:rsid w:val="00404906"/>
    <w:rsid w:val="00415074"/>
    <w:rsid w:val="00446668"/>
    <w:rsid w:val="00457950"/>
    <w:rsid w:val="00464276"/>
    <w:rsid w:val="00465438"/>
    <w:rsid w:val="00475B8F"/>
    <w:rsid w:val="004B7296"/>
    <w:rsid w:val="004C3B4F"/>
    <w:rsid w:val="004C4FA6"/>
    <w:rsid w:val="004D44E6"/>
    <w:rsid w:val="004E5823"/>
    <w:rsid w:val="004F2E0E"/>
    <w:rsid w:val="0050179D"/>
    <w:rsid w:val="00512C7E"/>
    <w:rsid w:val="00526543"/>
    <w:rsid w:val="00555008"/>
    <w:rsid w:val="00566D4B"/>
    <w:rsid w:val="00570CDE"/>
    <w:rsid w:val="00571E23"/>
    <w:rsid w:val="00590F94"/>
    <w:rsid w:val="005B18C7"/>
    <w:rsid w:val="005B2232"/>
    <w:rsid w:val="005B3981"/>
    <w:rsid w:val="005B6613"/>
    <w:rsid w:val="005D27F7"/>
    <w:rsid w:val="005D4126"/>
    <w:rsid w:val="005D42B6"/>
    <w:rsid w:val="005D5765"/>
    <w:rsid w:val="006200BA"/>
    <w:rsid w:val="00633269"/>
    <w:rsid w:val="006513DE"/>
    <w:rsid w:val="006517E2"/>
    <w:rsid w:val="006600E5"/>
    <w:rsid w:val="0067174E"/>
    <w:rsid w:val="0067707F"/>
    <w:rsid w:val="0068514E"/>
    <w:rsid w:val="006877B4"/>
    <w:rsid w:val="00694DD2"/>
    <w:rsid w:val="00695FA4"/>
    <w:rsid w:val="006A0775"/>
    <w:rsid w:val="006A28DA"/>
    <w:rsid w:val="006B20B6"/>
    <w:rsid w:val="006F1FE9"/>
    <w:rsid w:val="006F7960"/>
    <w:rsid w:val="007133AD"/>
    <w:rsid w:val="00721046"/>
    <w:rsid w:val="00725B1A"/>
    <w:rsid w:val="007263F4"/>
    <w:rsid w:val="007347C3"/>
    <w:rsid w:val="0074467F"/>
    <w:rsid w:val="00756D53"/>
    <w:rsid w:val="00761A4F"/>
    <w:rsid w:val="0076695E"/>
    <w:rsid w:val="00776B9F"/>
    <w:rsid w:val="00793AC8"/>
    <w:rsid w:val="007C1F49"/>
    <w:rsid w:val="007E5435"/>
    <w:rsid w:val="007E5ECC"/>
    <w:rsid w:val="00811B3F"/>
    <w:rsid w:val="008151C1"/>
    <w:rsid w:val="00817313"/>
    <w:rsid w:val="008312C0"/>
    <w:rsid w:val="0084546A"/>
    <w:rsid w:val="00850090"/>
    <w:rsid w:val="00855581"/>
    <w:rsid w:val="00865323"/>
    <w:rsid w:val="0086559F"/>
    <w:rsid w:val="00870597"/>
    <w:rsid w:val="00891D65"/>
    <w:rsid w:val="008D3497"/>
    <w:rsid w:val="008E463A"/>
    <w:rsid w:val="008F0B96"/>
    <w:rsid w:val="008F65FF"/>
    <w:rsid w:val="00910D54"/>
    <w:rsid w:val="00912B98"/>
    <w:rsid w:val="009179D6"/>
    <w:rsid w:val="00925D53"/>
    <w:rsid w:val="0093773A"/>
    <w:rsid w:val="00941881"/>
    <w:rsid w:val="0094728B"/>
    <w:rsid w:val="00951EB2"/>
    <w:rsid w:val="009622DE"/>
    <w:rsid w:val="009729F4"/>
    <w:rsid w:val="00982458"/>
    <w:rsid w:val="00986865"/>
    <w:rsid w:val="00986F59"/>
    <w:rsid w:val="009A13FF"/>
    <w:rsid w:val="009B2C56"/>
    <w:rsid w:val="009B38F8"/>
    <w:rsid w:val="009B748F"/>
    <w:rsid w:val="009D7070"/>
    <w:rsid w:val="00A022D2"/>
    <w:rsid w:val="00A63AE3"/>
    <w:rsid w:val="00A72BEE"/>
    <w:rsid w:val="00A86352"/>
    <w:rsid w:val="00A91469"/>
    <w:rsid w:val="00AA03BF"/>
    <w:rsid w:val="00AA51F0"/>
    <w:rsid w:val="00AB3A08"/>
    <w:rsid w:val="00AC5D4C"/>
    <w:rsid w:val="00AD1882"/>
    <w:rsid w:val="00AD6375"/>
    <w:rsid w:val="00AF414D"/>
    <w:rsid w:val="00B00F2B"/>
    <w:rsid w:val="00B075D2"/>
    <w:rsid w:val="00B13A09"/>
    <w:rsid w:val="00B15ECA"/>
    <w:rsid w:val="00B17754"/>
    <w:rsid w:val="00B2745C"/>
    <w:rsid w:val="00B501CF"/>
    <w:rsid w:val="00B86645"/>
    <w:rsid w:val="00B967DC"/>
    <w:rsid w:val="00BA6C5A"/>
    <w:rsid w:val="00BB5F58"/>
    <w:rsid w:val="00BC36A0"/>
    <w:rsid w:val="00BC6737"/>
    <w:rsid w:val="00BD09C3"/>
    <w:rsid w:val="00BD6ADF"/>
    <w:rsid w:val="00C12B06"/>
    <w:rsid w:val="00C2621C"/>
    <w:rsid w:val="00C52E7E"/>
    <w:rsid w:val="00C53C96"/>
    <w:rsid w:val="00C61292"/>
    <w:rsid w:val="00C61FD9"/>
    <w:rsid w:val="00C67683"/>
    <w:rsid w:val="00C7441E"/>
    <w:rsid w:val="00C74BC5"/>
    <w:rsid w:val="00C814BF"/>
    <w:rsid w:val="00C876CC"/>
    <w:rsid w:val="00CA034F"/>
    <w:rsid w:val="00CD7465"/>
    <w:rsid w:val="00CE0261"/>
    <w:rsid w:val="00D0055E"/>
    <w:rsid w:val="00D12703"/>
    <w:rsid w:val="00D131D9"/>
    <w:rsid w:val="00D427F5"/>
    <w:rsid w:val="00D706D0"/>
    <w:rsid w:val="00D75F54"/>
    <w:rsid w:val="00D763B5"/>
    <w:rsid w:val="00D77675"/>
    <w:rsid w:val="00D817F8"/>
    <w:rsid w:val="00D9057F"/>
    <w:rsid w:val="00DA768F"/>
    <w:rsid w:val="00DC0560"/>
    <w:rsid w:val="00DD7846"/>
    <w:rsid w:val="00DF3B4C"/>
    <w:rsid w:val="00E03B5D"/>
    <w:rsid w:val="00E0636F"/>
    <w:rsid w:val="00E31251"/>
    <w:rsid w:val="00E32BF0"/>
    <w:rsid w:val="00E47349"/>
    <w:rsid w:val="00E5516E"/>
    <w:rsid w:val="00E551AB"/>
    <w:rsid w:val="00E8361F"/>
    <w:rsid w:val="00E936F4"/>
    <w:rsid w:val="00E9570F"/>
    <w:rsid w:val="00EA3671"/>
    <w:rsid w:val="00ED7663"/>
    <w:rsid w:val="00EE1FE7"/>
    <w:rsid w:val="00EE3F31"/>
    <w:rsid w:val="00EF4C62"/>
    <w:rsid w:val="00EF7196"/>
    <w:rsid w:val="00F010F3"/>
    <w:rsid w:val="00F15AA1"/>
    <w:rsid w:val="00F15D26"/>
    <w:rsid w:val="00F212BC"/>
    <w:rsid w:val="00F30117"/>
    <w:rsid w:val="00F37A52"/>
    <w:rsid w:val="00F44827"/>
    <w:rsid w:val="00F67E0D"/>
    <w:rsid w:val="00F8344B"/>
    <w:rsid w:val="00FD203C"/>
    <w:rsid w:val="00FE6950"/>
    <w:rsid w:val="00FF64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1EECC"/>
  <w15:chartTrackingRefBased/>
  <w15:docId w15:val="{99010A86-1444-4360-B1B4-8FAB48779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046"/>
    <w:pPr>
      <w:jc w:val="both"/>
    </w:pPr>
  </w:style>
  <w:style w:type="paragraph" w:styleId="Heading1">
    <w:name w:val="heading 1"/>
    <w:basedOn w:val="Normal"/>
    <w:next w:val="Normal"/>
    <w:link w:val="Heading1Char"/>
    <w:uiPriority w:val="9"/>
    <w:qFormat/>
    <w:rsid w:val="00A914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914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914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914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914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91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4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914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914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914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914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91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469"/>
    <w:rPr>
      <w:rFonts w:eastAsiaTheme="majorEastAsia" w:cstheme="majorBidi"/>
      <w:color w:val="272727" w:themeColor="text1" w:themeTint="D8"/>
    </w:rPr>
  </w:style>
  <w:style w:type="paragraph" w:styleId="Title">
    <w:name w:val="Title"/>
    <w:basedOn w:val="Normal"/>
    <w:next w:val="Normal"/>
    <w:link w:val="TitleChar"/>
    <w:uiPriority w:val="10"/>
    <w:qFormat/>
    <w:rsid w:val="00A91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469"/>
    <w:pPr>
      <w:spacing w:before="160"/>
      <w:jc w:val="center"/>
    </w:pPr>
    <w:rPr>
      <w:i/>
      <w:iCs/>
      <w:color w:val="404040" w:themeColor="text1" w:themeTint="BF"/>
    </w:rPr>
  </w:style>
  <w:style w:type="character" w:customStyle="1" w:styleId="QuoteChar">
    <w:name w:val="Quote Char"/>
    <w:basedOn w:val="DefaultParagraphFont"/>
    <w:link w:val="Quote"/>
    <w:uiPriority w:val="29"/>
    <w:rsid w:val="00A91469"/>
    <w:rPr>
      <w:i/>
      <w:iCs/>
      <w:color w:val="404040" w:themeColor="text1" w:themeTint="BF"/>
    </w:rPr>
  </w:style>
  <w:style w:type="paragraph" w:styleId="ListParagraph">
    <w:name w:val="List Paragraph"/>
    <w:basedOn w:val="Normal"/>
    <w:uiPriority w:val="34"/>
    <w:qFormat/>
    <w:rsid w:val="00A91469"/>
    <w:pPr>
      <w:ind w:left="720"/>
      <w:contextualSpacing/>
    </w:pPr>
  </w:style>
  <w:style w:type="character" w:styleId="IntenseEmphasis">
    <w:name w:val="Intense Emphasis"/>
    <w:basedOn w:val="DefaultParagraphFont"/>
    <w:uiPriority w:val="21"/>
    <w:qFormat/>
    <w:rsid w:val="00A91469"/>
    <w:rPr>
      <w:i/>
      <w:iCs/>
      <w:color w:val="2E74B5" w:themeColor="accent1" w:themeShade="BF"/>
    </w:rPr>
  </w:style>
  <w:style w:type="paragraph" w:styleId="IntenseQuote">
    <w:name w:val="Intense Quote"/>
    <w:basedOn w:val="Normal"/>
    <w:next w:val="Normal"/>
    <w:link w:val="IntenseQuoteChar"/>
    <w:uiPriority w:val="30"/>
    <w:qFormat/>
    <w:rsid w:val="00A914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91469"/>
    <w:rPr>
      <w:i/>
      <w:iCs/>
      <w:color w:val="2E74B5" w:themeColor="accent1" w:themeShade="BF"/>
    </w:rPr>
  </w:style>
  <w:style w:type="character" w:styleId="IntenseReference">
    <w:name w:val="Intense Reference"/>
    <w:basedOn w:val="DefaultParagraphFont"/>
    <w:uiPriority w:val="32"/>
    <w:qFormat/>
    <w:rsid w:val="00A91469"/>
    <w:rPr>
      <w:b/>
      <w:bCs/>
      <w:smallCaps/>
      <w:color w:val="2E74B5" w:themeColor="accent1" w:themeShade="BF"/>
      <w:spacing w:val="5"/>
    </w:rPr>
  </w:style>
  <w:style w:type="paragraph" w:styleId="Header">
    <w:name w:val="header"/>
    <w:basedOn w:val="Normal"/>
    <w:link w:val="HeaderChar"/>
    <w:uiPriority w:val="99"/>
    <w:unhideWhenUsed/>
    <w:rsid w:val="00E312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1251"/>
  </w:style>
  <w:style w:type="paragraph" w:styleId="Footer">
    <w:name w:val="footer"/>
    <w:basedOn w:val="Normal"/>
    <w:link w:val="FooterChar"/>
    <w:uiPriority w:val="99"/>
    <w:unhideWhenUsed/>
    <w:rsid w:val="00E312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1251"/>
  </w:style>
  <w:style w:type="paragraph" w:styleId="Bibliography">
    <w:name w:val="Bibliography"/>
    <w:basedOn w:val="Normal"/>
    <w:next w:val="Normal"/>
    <w:uiPriority w:val="37"/>
    <w:unhideWhenUsed/>
    <w:rsid w:val="00E31251"/>
    <w:pPr>
      <w:spacing w:line="480" w:lineRule="auto"/>
    </w:pPr>
    <w:rPr>
      <w:kern w:val="0"/>
      <w:szCs w:val="22"/>
      <w14:ligatures w14:val="none"/>
    </w:rPr>
  </w:style>
  <w:style w:type="paragraph" w:styleId="Caption">
    <w:name w:val="caption"/>
    <w:basedOn w:val="Normal"/>
    <w:next w:val="Normal"/>
    <w:uiPriority w:val="35"/>
    <w:unhideWhenUsed/>
    <w:qFormat/>
    <w:rsid w:val="002B19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E0CB9A70ABD934AB75DB6E64DCC563E" ma:contentTypeVersion="18" ma:contentTypeDescription="Create a new document." ma:contentTypeScope="" ma:versionID="e5437afbe7484ccbb5e8824825f226e0">
  <xsd:schema xmlns:xsd="http://www.w3.org/2001/XMLSchema" xmlns:xs="http://www.w3.org/2001/XMLSchema" xmlns:p="http://schemas.microsoft.com/office/2006/metadata/properties" xmlns:ns2="d57804ca-f4b6-4d1a-bc7b-09e1480f5f77" xmlns:ns3="a67a9ec7-d99c-4343-a116-3e51ba2009d6" targetNamespace="http://schemas.microsoft.com/office/2006/metadata/properties" ma:root="true" ma:fieldsID="5ddd4a8312daf1592e350cd3a98cbee8" ns2:_="" ns3:_="">
    <xsd:import namespace="d57804ca-f4b6-4d1a-bc7b-09e1480f5f77"/>
    <xsd:import namespace="a67a9ec7-d99c-4343-a116-3e51ba2009d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7804ca-f4b6-4d1a-bc7b-09e1480f5f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7a9ec7-d99c-4343-a116-3e51ba2009d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6d9742c-e832-40f1-814f-5ece4a5cce65}" ma:internalName="TaxCatchAll" ma:showField="CatchAllData" ma:web="a67a9ec7-d99c-4343-a116-3e51ba2009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67a9ec7-d99c-4343-a116-3e51ba2009d6" xsi:nil="true"/>
    <lcf76f155ced4ddcb4097134ff3c332f xmlns="d57804ca-f4b6-4d1a-bc7b-09e1480f5f7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3D1364-4C14-41A6-83BB-472E51012BCE}">
  <ds:schemaRefs>
    <ds:schemaRef ds:uri="http://schemas.microsoft.com/sharepoint/v3/contenttype/forms"/>
  </ds:schemaRefs>
</ds:datastoreItem>
</file>

<file path=customXml/itemProps2.xml><?xml version="1.0" encoding="utf-8"?>
<ds:datastoreItem xmlns:ds="http://schemas.openxmlformats.org/officeDocument/2006/customXml" ds:itemID="{2EF8332C-022F-481E-B8CE-373ADD4045D3}"/>
</file>

<file path=customXml/itemProps3.xml><?xml version="1.0" encoding="utf-8"?>
<ds:datastoreItem xmlns:ds="http://schemas.openxmlformats.org/officeDocument/2006/customXml" ds:itemID="{27D51EFD-5405-4536-B705-F10C8611779E}">
  <ds:schemaRefs>
    <ds:schemaRef ds:uri="http://schemas.microsoft.com/office/2006/metadata/properties"/>
    <ds:schemaRef ds:uri="http://schemas.microsoft.com/office/infopath/2007/PartnerControls"/>
    <ds:schemaRef ds:uri="a67a9ec7-d99c-4343-a116-3e51ba2009d6"/>
    <ds:schemaRef ds:uri="d57804ca-f4b6-4d1a-bc7b-09e1480f5f77"/>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Pages>
  <Words>554</Words>
  <Characters>3158</Characters>
  <Application>Microsoft Office Word</Application>
  <DocSecurity>4</DocSecurity>
  <Lines>26</Lines>
  <Paragraphs>7</Paragraphs>
  <ScaleCrop>false</ScaleCrop>
  <Company>National University of Singapore</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Chuan Jie</dc:creator>
  <cp:keywords/>
  <dc:description/>
  <cp:lastModifiedBy>Tan Chuan Jie</cp:lastModifiedBy>
  <cp:revision>193</cp:revision>
  <dcterms:created xsi:type="dcterms:W3CDTF">2024-11-12T22:28:00Z</dcterms:created>
  <dcterms:modified xsi:type="dcterms:W3CDTF">2025-11-07T10:37:00Z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0x010100CE0CB9A70ABD934AB75DB6E64DCC563E</vt:lpwstr>
  </property>
  <property fmtid="{D5CDD505-2E9C-101B-9397-08002B2CF9AE}" pid="3" name="MediaServiceImageTags">
    <vt:lpwstr/>
  </property>
</Properties>
</file>