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тестирование генератора псевдослучайных чисел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Создать генератор последовательности равномерно распределенных случайных чисел на основе смешанного алгоритма Лемера. Подобрать параметры генератора, который дает максимальный период.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Для сгенерированной выборки построить гистограмму (20+ интервалов).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Используя критерии хи-квадрат и КС, подтвердить гипотезу о равномерности последовательности.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Отобразить результаты графически.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Сделать вывод о согласованности аналитических расчетов и визуализации.</w:t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Алгоритм Лемера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Исходные данные: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начальное значение (x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a – множитель (a &gt; 0);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c – приращение (c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m – модуль (m&gt;a, m&gt;c, m&gt;x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Тогда искомая последовательность псевдослучайных чисел получается из соотношения: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88"/>
          <w:tab w:val="right" w:leader="none" w:pos="9781"/>
        </w:tabs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n+1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= (a *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+ c) % m, n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</w:t>
        <w:tab/>
        <w:t xml:space="preserve">(1)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Она называется линейной конгруэнтной последовательностью.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953728919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Для обозначения линейных конгруэнтных датчиков с c=0 и c≠0 применяются соответственно термины мультипликативный и смешанный метод.</w:t>
          </w:r>
        </w:sdtContent>
      </w:sdt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Равномерно распределенная на [0; 1) последовательность псевдослучайных чисел (u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,..., 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,...) получается из соотношения 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/m (или 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что более быстро выполняется компьютером). </w:t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Достаточное условие периода максимальной длины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Чтобы получить период максимальной длины m, множитель a и приращение c в линейном конгруэнтном датчике должны удовлетворять следующим условиям: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c и m - взаимно простые числа;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b=a–1 кратно p для любого простого p, являющегося делителем m;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 b кратно 4, если m кратно 4.</w:t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Универсальные тесты для анализа случайных последовательностей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Критерий χ2.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Предположим, что все возможные результаты испытаний разделены на k категорий. Проводится n независимых испытаний (исход каждого испытания не влияет на исход остальных). Пусть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вероятность того, что результат испытания попадет в категорию s, и пусть 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число испытаний, которые действительно попали в категорию s. Сформируем статистику: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88"/>
          <w:tab w:val="right" w:leader="none" w:pos="9781"/>
        </w:tabs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pict>
          <v:shape id="_x0000_s0" style="width:82pt;height:35pt;" type="#_x0000_t75">
            <v:imagedata r:id="rId1" o:title=""/>
          </v:shape>
          <o:OLEObject DrawAspect="Content" r:id="rId2" ObjectID="_1032805441" ProgID="Equation.3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(2)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Формулу (3) можно преобразовать к виду, более удобному для вычислений: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88"/>
          <w:tab w:val="right" w:leader="none" w:pos="9781"/>
        </w:tabs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pict>
          <v:shape id="_x0000_s1" style="width:82pt;height:35pt;" type="#_x0000_t75">
            <v:imagedata r:id="rId3" o:title=""/>
          </v:shape>
          <o:OLEObject DrawAspect="Content" r:id="rId4" ObjectID="_1032243216" ProgID="Equation.3" ShapeID="_x0000_s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(3)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Затем V сравнивается с числом из таблицы для распределения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 количестве степеней свободы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=k–1. Если V меньше значения, соответствующего p=0.99, или больше значения, соответствующего p=0.01, то результаты бракуются как недостаточно случайные. Если p лежит между 0.99 и 0.95 или между 0.05 и 0.01, то результаты считаются "подозрительными". При значениях p, заключенных между 0.95 и 0.90 или 0.10 и 0.05, результаты "слегка подозрительны". Часто с помощью критерия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проверяют по крайней мере три разные части исследуемого ряда чисел. Если не менее двух раз из трех результаты оказываются подозрительными, числа отбрасываются как недостаточно случайные.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Возникает вопрос о длине n последовательности случайных чисел, которую необходимо выбрать для данного теста. Теоретические расчеты показывают, что достоверные оценки получаются в том случае, когда в каждую из категорий попали не менее 5 испытаний, т.е. выполняется условие 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&gt; 4, s=1..k.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Критерий Колмогорова–Смирнова (КС–критерий).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Критерий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применяется в тех случаях, когда результаты испытаний разделяются на конечное число k категорий. Однако часто случайные величины могут принимать бесконечно много значений. В теории вероятностей и математической статистике непрерывные случайные величины описываются с помощью функции распределения: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88"/>
          <w:tab w:val="right" w:leader="none" w:pos="9781"/>
        </w:tabs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F(x)=p{X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x}</w:t>
        <w:tab/>
        <w:t xml:space="preserve">(4)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Используя значения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...,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случайной величины X, можно построить эмпирическую функцию распределения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88"/>
          <w:tab w:val="right" w:leader="none" w:pos="9781"/>
        </w:tabs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pict>
          <v:shape id="_x0000_s2" style="width:78pt;height:35pt;" type="#_x0000_t75">
            <v:imagedata r:id="rId5" o:title=""/>
          </v:shape>
          <o:OLEObject DrawAspect="Content" r:id="rId6" ObjectID="_1032806285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  <w:tab/>
        <w:t xml:space="preserve">(5)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где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" style="width:132pt;height:31pt;" type="#_x0000_t75">
            <v:imagedata r:id="rId7" o:title=""/>
          </v:shape>
          <o:OLEObject DrawAspect="Content" r:id="rId8" ObjectID="_1032809326" ProgID="Equation.3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3679825" cy="2437130"/>
            <wp:effectExtent b="0" l="0" r="0" t="0"/>
            <wp:docPr id="10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2437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Рис. Пример теоретической и эмпирической функций распределения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 увеличении n функции 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(x) должны все более точно аппроксимировать F(x). КС-критерий можно использовать в тех случаях, когда F(x) не имеет скачков, и он должен указать, насколько маловероятны большие расхождения между 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(x) и F(x). Для этого используются следующие статистики: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88"/>
          <w:tab w:val="right" w:leader="none" w:pos="9781"/>
        </w:tabs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pict>
          <v:shape id="_x0000_s4" style="width:132pt;height:45pt;" type="#_x0000_t75">
            <v:imagedata r:id="rId9" o:title=""/>
          </v:shape>
          <o:OLEObject DrawAspect="Content" r:id="rId10" ObjectID="_1032809327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(6)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показывает, каково максимальное отклонение для случая 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&gt;F, а 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для 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&lt;F. Множитель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pict>
          <v:shape id="_x0000_s5" style="width:17pt;height:17pt;" type="#_x0000_t75">
            <v:imagedata r:id="rId11" o:title=""/>
          </v:shape>
          <o:OLEObject DrawAspect="Content" r:id="rId12" ObjectID="_1032806827" ProgID="Equation.3" ShapeID="_x0000_s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нормирует статистики (7) таким образом, чтобы стандартное отклонение не зависело от n. Далее, как и в случае критерия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сравнивают значения (7) с табличными и определяют, имеют ли они высокую или низкую значимость.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Формулы (7) не годятся для машинных расчетов, так как требуется отыскать максимальное среди бесконечного множества чисел. Однако, учитывая, что F(x) неубывающая функция, а 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(x) имеет конечное число скачков, можно определить статистики (7) с помощью следующего алгоритма.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Определяются выборочные значения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... ,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Значения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располагаются в порядке возрастания так, чтобы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Статистики (7) вычисляются по следующим формулам: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88"/>
          <w:tab w:val="right" w:leader="none" w:pos="9781"/>
        </w:tabs>
        <w:spacing w:after="120" w:before="1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pict>
          <v:shape id="_x0000_s6" style="width:126pt;height:60pt;" type="#_x0000_t75">
            <v:imagedata r:id="rId13" o:title=""/>
          </v:shape>
          <o:OLEObject DrawAspect="Content" r:id="rId14" ObjectID="_1032809328" ProgID="Equation.3" ShapeID="_x0000_s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(7)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Критические значения КС-критерия определяются формулой a – b / sqrt(n).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26.999999999999" w:type="dxa"/>
        <w:jc w:val="center"/>
        <w:tblLayout w:type="fixed"/>
        <w:tblLook w:val="0000"/>
      </w:tblPr>
      <w:tblGrid>
        <w:gridCol w:w="313"/>
        <w:gridCol w:w="702"/>
        <w:gridCol w:w="702"/>
        <w:gridCol w:w="702"/>
        <w:gridCol w:w="702"/>
        <w:gridCol w:w="702"/>
        <w:gridCol w:w="702"/>
        <w:gridCol w:w="702"/>
        <w:tblGridChange w:id="0">
          <w:tblGrid>
            <w:gridCol w:w="313"/>
            <w:gridCol w:w="702"/>
            <w:gridCol w:w="702"/>
            <w:gridCol w:w="702"/>
            <w:gridCol w:w="702"/>
            <w:gridCol w:w="702"/>
            <w:gridCol w:w="702"/>
            <w:gridCol w:w="70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0.99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0.95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0.75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0.05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lightGray"/>
                <w:u w:val="none"/>
                <w:vertAlign w:val="baseline"/>
                <w:rtl w:val="0"/>
              </w:rPr>
              <w:t xml:space="preserve">0.01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0.0709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0.1601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0.3793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0.5887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0.8326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1.2239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1.5174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Отображение результатов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Опция 1. Инструменты табличного процессора.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Опция 2. Библиотека matplotlib из Python.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Пример скрипта приведен ниже.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matplotlib.pyplot as plt</w:t>
        <w:br w:type="textWrapping"/>
        <w:br w:type="textWrapping"/>
        <w:t xml:space="preserve">if __name__ == '__main__':</w:t>
        <w:br w:type="textWrapping"/>
        <w:t xml:space="preserve">    random_numbers = [</w:t>
        <w:br w:type="textWrapping"/>
        <w:t xml:space="preserve">        0.7619, 0.0612, 0.2, 0.7483, 0.0612, 0.7143, 0.415, 0.9,</w:t>
        <w:br w:type="textWrapping"/>
        <w:t xml:space="preserve">        0.7143, 0.0544, 0.0816, 0.1633, 0.619, 0.619, 0.1973, 0.51</w:t>
        <w:br w:type="textWrapping"/>
        <w:t xml:space="preserve">    ]</w:t>
        <w:br w:type="textWrapping"/>
        <w:t xml:space="preserve">    plt.hist(random_numbers)</w:t>
        <w:br w:type="textWrapping"/>
        <w:t xml:space="preserve">    plt.show()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widowControl w:val="1"/>
        <w:spacing w:after="120" w:before="120" w:lineRule="auto"/>
        <w:ind w:left="0" w:firstLine="567"/>
        <w:rPr>
          <w:b w:val="1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Deadline </w:t>
      </w:r>
      <w:r w:rsidDel="00000000" w:rsidR="00000000" w:rsidRPr="00000000">
        <w:rPr>
          <w:b w:val="1"/>
          <w:sz w:val="22"/>
          <w:szCs w:val="22"/>
          <w:rtl w:val="0"/>
        </w:rPr>
        <w:t xml:space="preserve">4.10 23:59</w:t>
      </w:r>
    </w:p>
    <w:p w:rsidR="00000000" w:rsidDel="00000000" w:rsidP="00000000" w:rsidRDefault="00000000" w:rsidRPr="00000000" w14:paraId="00000057">
      <w:pPr>
        <w:keepNext w:val="1"/>
        <w:widowControl w:val="1"/>
        <w:spacing w:after="120" w:before="120" w:lineRule="auto"/>
        <w:ind w:left="0" w:firstLine="567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widowControl w:val="1"/>
        <w:spacing w:after="120" w:before="120" w:lineRule="auto"/>
        <w:ind w:left="0" w:firstLine="56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Структура отчета</w:t>
      </w:r>
    </w:p>
    <w:p w:rsidR="00000000" w:rsidDel="00000000" w:rsidP="00000000" w:rsidRDefault="00000000" w:rsidRPr="00000000" w14:paraId="00000059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Код датчика</w:t>
      </w:r>
    </w:p>
    <w:p w:rsidR="00000000" w:rsidDel="00000000" w:rsidP="00000000" w:rsidRDefault="00000000" w:rsidRPr="00000000" w14:paraId="0000005A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Результаты трех прогонов для критерия </w:t>
      </w:r>
      <w:r w:rsidDel="00000000" w:rsidR="00000000" w:rsidRPr="00000000">
        <w:rPr>
          <w:rFonts w:ascii="Symbol" w:cs="Symbol" w:eastAsia="Symbol" w:hAnsi="Symbol"/>
          <w:sz w:val="20"/>
          <w:szCs w:val="20"/>
          <w:rtl w:val="0"/>
        </w:rPr>
        <w:t xml:space="preserve">χ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B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гистограмма</w:t>
      </w:r>
    </w:p>
    <w:p w:rsidR="00000000" w:rsidDel="00000000" w:rsidP="00000000" w:rsidRDefault="00000000" w:rsidRPr="00000000" w14:paraId="0000005C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значения V и p </w:t>
      </w:r>
    </w:p>
    <w:p w:rsidR="00000000" w:rsidDel="00000000" w:rsidP="00000000" w:rsidRDefault="00000000" w:rsidRPr="00000000" w14:paraId="0000005D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Результаты трех прогонов для КС-критерия</w:t>
      </w:r>
    </w:p>
    <w:p w:rsidR="00000000" w:rsidDel="00000000" w:rsidP="00000000" w:rsidRDefault="00000000" w:rsidRPr="00000000" w14:paraId="0000005E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графики теоретического и эмпирического распределений </w:t>
      </w:r>
    </w:p>
    <w:p w:rsidR="00000000" w:rsidDel="00000000" w:rsidP="00000000" w:rsidRDefault="00000000" w:rsidRPr="00000000" w14:paraId="0000005F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значения K+, K-, p-отрезка в который попадают. </w:t>
      </w:r>
    </w:p>
    <w:p w:rsidR="00000000" w:rsidDel="00000000" w:rsidP="00000000" w:rsidRDefault="00000000" w:rsidRPr="00000000" w14:paraId="00000060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widowControl w:val="1"/>
        <w:spacing w:after="120" w:before="120" w:lineRule="auto"/>
        <w:ind w:left="0" w:firstLine="56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Артефакты для СЭО</w:t>
      </w:r>
    </w:p>
    <w:p w:rsidR="00000000" w:rsidDel="00000000" w:rsidP="00000000" w:rsidRDefault="00000000" w:rsidRPr="00000000" w14:paraId="00000062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отчет</w:t>
      </w:r>
    </w:p>
    <w:p w:rsidR="00000000" w:rsidDel="00000000" w:rsidP="00000000" w:rsidRDefault="00000000" w:rsidRPr="00000000" w14:paraId="00000063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архив с кодами для тестирования датчиков</w:t>
      </w:r>
    </w:p>
    <w:p w:rsidR="00000000" w:rsidDel="00000000" w:rsidP="00000000" w:rsidRDefault="00000000" w:rsidRPr="00000000" w14:paraId="00000064">
      <w:pPr>
        <w:widowControl w:val="1"/>
        <w:ind w:left="0" w:firstLine="567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widowControl w:val="1"/>
        <w:spacing w:after="120" w:before="120" w:lineRule="auto"/>
        <w:ind w:left="0" w:firstLine="567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22" w:type="default"/>
      <w:pgSz w:h="16838" w:w="11906" w:orient="portrait"/>
      <w:pgMar w:bottom="851" w:top="567" w:left="1559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Gungsuh"/>
  <w:font w:name="Arial Narrow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  <w:font w:name="Symbo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567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567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widowControl w:val="0"/>
        <w:ind w:left="72" w:firstLine="63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567"/>
      <w:jc w:val="center"/>
    </w:pPr>
    <w:rPr>
      <w:rFonts w:ascii="Calibri" w:cs="Calibri" w:eastAsia="Calibri" w:hAnsi="Calibri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0"/>
    <w:next w:val="Head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="567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odyTextIndent">
    <w:name w:val="Body Text Indent"/>
    <w:basedOn w:val="Normal0"/>
    <w:next w:val="BodyTextIndent"/>
    <w:autoRedefine w:val="0"/>
    <w:hidden w:val="0"/>
    <w:qFormat w:val="0"/>
    <w:pPr>
      <w:suppressAutoHyphens w:val="1"/>
      <w:spacing w:line="1" w:lineRule="atLeast"/>
      <w:ind w:leftChars="-1" w:rightChars="0" w:firstLine="567" w:firstLineChars="-1"/>
      <w:jc w:val="both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H1">
    <w:name w:val="H1"/>
    <w:next w:val="H2"/>
    <w:autoRedefine w:val="0"/>
    <w:hidden w:val="0"/>
    <w:qFormat w:val="0"/>
    <w:pPr>
      <w:keepNext w:val="1"/>
      <w:suppressAutoHyphens w:val="1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32"/>
      <w:effect w:val="none"/>
      <w:vertAlign w:val="baseline"/>
      <w:cs w:val="0"/>
      <w:em w:val="none"/>
      <w:lang w:bidi="ar-SA" w:eastAsia="ru-RU" w:val="ru-RU"/>
    </w:rPr>
  </w:style>
  <w:style w:type="paragraph" w:styleId="H2">
    <w:name w:val="H2"/>
    <w:basedOn w:val="H1"/>
    <w:next w:val="Normal0"/>
    <w:autoRedefine w:val="0"/>
    <w:hidden w:val="0"/>
    <w:qFormat w:val="0"/>
    <w:pPr>
      <w:keepNext w:val="1"/>
      <w:suppressAutoHyphens w:val="1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ru-RU" w:val="ru-RU"/>
    </w:rPr>
  </w:style>
  <w:style w:type="paragraph" w:styleId="Фомула">
    <w:name w:val="Фомула"/>
    <w:next w:val="Normal0"/>
    <w:autoRedefine w:val="0"/>
    <w:hidden w:val="0"/>
    <w:qFormat w:val="0"/>
    <w:pPr>
      <w:tabs>
        <w:tab w:val="center" w:leader="none" w:pos="4888"/>
        <w:tab w:val="right" w:leader="none" w:pos="9781"/>
      </w:tabs>
      <w:suppressAutoHyphens w:val="1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spacing w:val="20"/>
      <w:w w:val="100"/>
      <w:position w:val="-1"/>
      <w:effect w:val="none"/>
      <w:vertAlign w:val="baseline"/>
      <w:cs w:val="0"/>
      <w:em w:val="none"/>
      <w:lang w:bidi="ar-SA" w:eastAsia="ru-RU" w:val="en-US"/>
    </w:rPr>
  </w:style>
  <w:style w:type="paragraph" w:styleId="Код">
    <w:name w:val="Код"/>
    <w:next w:val="Normal0"/>
    <w:autoRedefine w:val="0"/>
    <w:hidden w:val="0"/>
    <w:qFormat w:val="0"/>
    <w:pPr>
      <w:suppressAutoHyphens w:val="1"/>
      <w:spacing w:line="1" w:lineRule="atLeast"/>
      <w:ind w:left="851"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spacing w:val="-20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character" w:styleId="Hyperlink">
    <w:name w:val="Hyperlink"/>
    <w:next w:val="Hyperlink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Формулавнутритекста">
    <w:name w:val="Формула внутри текста"/>
    <w:next w:val="Формулавнутритекста"/>
    <w:autoRedefine w:val="0"/>
    <w:hidden w:val="0"/>
    <w:qFormat w:val="0"/>
    <w:rPr>
      <w:noProof w:val="1"/>
      <w:spacing w:val="20"/>
      <w:w w:val="100"/>
      <w:position w:val="-1"/>
      <w:effect w:val="none"/>
      <w:vertAlign w:val="baseline"/>
      <w:cs w:val="0"/>
      <w:em w:val="none"/>
      <w:lang w:eastAsia="und" w:val="und"/>
    </w:rPr>
  </w:style>
  <w:style w:type="paragraph" w:styleId="H3">
    <w:name w:val="H3"/>
    <w:next w:val="Normal0"/>
    <w:autoRedefine w:val="0"/>
    <w:hidden w:val="0"/>
    <w:qFormat w:val="0"/>
    <w:pPr>
      <w:keepNext w:val="1"/>
      <w:suppressAutoHyphens w:val="1"/>
      <w:spacing w:after="120" w:before="120" w:line="1" w:lineRule="atLeast"/>
      <w:ind w:leftChars="-1" w:rightChars="0" w:firstLine="567" w:firstLineChars="-1"/>
      <w:jc w:val="both"/>
      <w:textDirection w:val="btLr"/>
      <w:textAlignment w:val="top"/>
      <w:outlineLvl w:val="0"/>
    </w:pPr>
    <w:rPr>
      <w:noProof w:val="1"/>
      <w:spacing w:val="20"/>
      <w:w w:val="100"/>
      <w:position w:val="-1"/>
      <w:sz w:val="22"/>
      <w:effect w:val="none"/>
      <w:vertAlign w:val="baseline"/>
      <w:cs w:val="0"/>
      <w:em w:val="none"/>
      <w:lang w:bidi="ar-SA" w:eastAsia="und" w:val="und"/>
    </w:rPr>
  </w:style>
  <w:style w:type="character" w:styleId="Подпункт">
    <w:name w:val="Подпункт"/>
    <w:next w:val="Подпункт"/>
    <w:autoRedefine w:val="0"/>
    <w:hidden w:val="0"/>
    <w:qFormat w:val="0"/>
    <w:rPr>
      <w:i w:val="1"/>
      <w:spacing w:val="20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HTMLPreformatted">
    <w:name w:val="HTML Preformatted"/>
    <w:basedOn w:val="Normal0"/>
    <w:next w:val="HTMLPreformatted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line="1" w:lineRule="atLeast"/>
      <w:ind w:leftChars="-1" w:rightChars="0" w:firstLine="0" w:firstLineChars="-1"/>
      <w:jc w:val="left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b w:val="1"/>
      <w:bCs w:val="1"/>
      <w:w w:val="100"/>
      <w:position w:val="-1"/>
      <w:sz w:val="32"/>
      <w:szCs w:val="30"/>
      <w:effect w:val="none"/>
      <w:vertAlign w:val="baseline"/>
      <w:cs w:val="0"/>
      <w:em w:val="none"/>
      <w:lang/>
    </w:rPr>
  </w:style>
  <w:style w:type="paragraph" w:styleId="Лаб">
    <w:name w:val="Лаб"/>
    <w:basedOn w:val="Normal0"/>
    <w:next w:val="Normal0"/>
    <w:autoRedefine w:val="0"/>
    <w:hidden w:val="0"/>
    <w:qFormat w:val="0"/>
    <w:pPr>
      <w:keepNext w:val="1"/>
      <w:suppressAutoHyphens w:val="1"/>
      <w:spacing w:after="120" w:before="480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w w:val="100"/>
      <w:position w:val="-1"/>
      <w:sz w:val="28"/>
      <w:u w:val="single"/>
      <w:effect w:val="none"/>
      <w:vertAlign w:val="baseline"/>
      <w:cs w:val="0"/>
      <w:em w:val="none"/>
      <w:lang w:bidi="ar-SA" w:eastAsia="ru-RU" w:val="ru-RU"/>
    </w:rPr>
  </w:style>
  <w:style w:type="paragraph" w:styleId="Тема">
    <w:name w:val="Тема"/>
    <w:basedOn w:val="Title"/>
    <w:next w:val="Normal0"/>
    <w:autoRedefine w:val="0"/>
    <w:hidden w:val="0"/>
    <w:qFormat w:val="0"/>
    <w:pPr>
      <w:suppressAutoHyphens w:val="1"/>
      <w:spacing w:after="120" w:before="240" w:line="1" w:lineRule="atLeast"/>
      <w:ind w:leftChars="-1" w:rightChars="0" w:firstLine="0" w:firstLineChars="-1"/>
      <w:jc w:val="center"/>
      <w:textDirection w:val="btLr"/>
      <w:textAlignment w:val="top"/>
      <w:outlineLvl w:val="9"/>
    </w:pPr>
    <w:rPr>
      <w:rFonts w:ascii="Times New Roman" w:cs="Times New Roman" w:eastAsia="Times New Roman" w:hAnsi="Times New Roman"/>
      <w:b w:val="0"/>
      <w:bCs w:val="0"/>
      <w:w w:val="100"/>
      <w:kern w:val="0"/>
      <w:position w:val="-1"/>
      <w:sz w:val="28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TitleChar">
    <w:name w:val="Title Char"/>
    <w:next w:val="Title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customXml" Target="../customXML/item1.xml"/><Relationship Id="rId11" Type="http://schemas.openxmlformats.org/officeDocument/2006/relationships/image" Target="media/image3.wmf"/><Relationship Id="rId22" Type="http://schemas.openxmlformats.org/officeDocument/2006/relationships/header" Target="header1.xml"/><Relationship Id="rId21" Type="http://schemas.openxmlformats.org/officeDocument/2006/relationships/image" Target="media/image8.png"/><Relationship Id="rId10" Type="http://schemas.openxmlformats.org/officeDocument/2006/relationships/oleObject" Target="embeddings/oleObject4.bin"/><Relationship Id="rId13" Type="http://schemas.openxmlformats.org/officeDocument/2006/relationships/image" Target="media/image1.wmf"/><Relationship Id="rId12" Type="http://schemas.openxmlformats.org/officeDocument/2006/relationships/oleObject" Target="embeddings/oleObject3.bin"/><Relationship Id="rId1" Type="http://schemas.openxmlformats.org/officeDocument/2006/relationships/image" Target="media/image5.wmf"/><Relationship Id="rId2" Type="http://schemas.openxmlformats.org/officeDocument/2006/relationships/oleObject" Target="embeddings/oleObject5.bin"/><Relationship Id="rId3" Type="http://schemas.openxmlformats.org/officeDocument/2006/relationships/image" Target="media/image7.wmf"/><Relationship Id="rId4" Type="http://schemas.openxmlformats.org/officeDocument/2006/relationships/oleObject" Target="embeddings/oleObject7.bin"/><Relationship Id="rId15" Type="http://schemas.openxmlformats.org/officeDocument/2006/relationships/theme" Target="theme/theme1.xml"/><Relationship Id="rId9" Type="http://schemas.openxmlformats.org/officeDocument/2006/relationships/image" Target="media/image4.wmf"/><Relationship Id="rId14" Type="http://schemas.openxmlformats.org/officeDocument/2006/relationships/oleObject" Target="embeddings/oleObject1.bin"/><Relationship Id="rId17" Type="http://schemas.openxmlformats.org/officeDocument/2006/relationships/fontTable" Target="fontTable.xml"/><Relationship Id="rId16" Type="http://schemas.openxmlformats.org/officeDocument/2006/relationships/settings" Target="settings.xml"/><Relationship Id="rId19" Type="http://schemas.openxmlformats.org/officeDocument/2006/relationships/styles" Target="styles.xml"/><Relationship Id="rId5" Type="http://schemas.openxmlformats.org/officeDocument/2006/relationships/image" Target="media/image6.wmf"/><Relationship Id="rId18" Type="http://schemas.openxmlformats.org/officeDocument/2006/relationships/numbering" Target="numbering.xml"/><Relationship Id="rId6" Type="http://schemas.openxmlformats.org/officeDocument/2006/relationships/oleObject" Target="embeddings/oleObject6.bin"/><Relationship Id="rId7" Type="http://schemas.openxmlformats.org/officeDocument/2006/relationships/image" Target="media/image2.wmf"/><Relationship Id="rId8" Type="http://schemas.openxmlformats.org/officeDocument/2006/relationships/oleObject" Target="embeddings/oleObject2.bin"/></Relationships>
</file>

<file path=word/_rels/fontTable.xml.rels><?xml version="1.0" encoding="UTF-8" standalone="yes"?><Relationships xmlns="http://schemas.openxmlformats.org/package/2006/relationships"><Relationship Id="rId15" Type="http://schemas.openxmlformats.org/officeDocument/2006/relationships/font" Target="fonts/ArialNarrow-regular.ttf"/><Relationship Id="rId17" Type="http://schemas.openxmlformats.org/officeDocument/2006/relationships/font" Target="fonts/ArialNarrow-italic.ttf"/><Relationship Id="rId16" Type="http://schemas.openxmlformats.org/officeDocument/2006/relationships/font" Target="fonts/ArialNarrow-bold.ttf"/><Relationship Id="rId18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8p1R9xwTJcHjuY1FJbBrlmkc0w==">CgMxLjAaJQoBMBIgCh4IB0IaCg9UaW1lcyBOZXcgUm9tYW4SB0d1bmdzdWg4AHIhMXQ5MnYxWDhwemFqRDBXdVBEbUx2dXg1OTNROVgwY3NV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2024-05-24T13:49:00Z</dcterms:created>
  <dc:creator>Математический факультет</dc:creator>
</cp:coreProperties>
</file>