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E38B" w14:textId="77777777">
      <w:pPr>
        <w:jc w:val="both"/>
        <w:rPr>
          <w:b/>
          <w:bCs/>
        </w:rPr>
      </w:pPr>
      <w:proofErr w:type="spellStart"/>
      <w:r>
        <w:rPr>
          <w:b/>
          <w:bCs/>
        </w:rPr>
        <w:t>Medimesh</w:t>
      </w:r>
      <w:proofErr w:type="spellEnd"/>
      <w:r>
        <w:rPr>
          <w:rFonts w:ascii="Arial" w:hAnsi="Arial" w:cs="Arial"/>
          <w:b/>
          <w:bCs/>
        </w:rPr>
        <w:t> </w:t>
      </w:r>
      <w:r>
        <w:rPr>
          <w:b/>
          <w:bCs/>
        </w:rPr>
        <w:t>Clinic</w:t>
      </w:r>
      <w:r>
        <w:rPr>
          <w:rFonts w:ascii="Arial" w:hAnsi="Arial" w:cs="Arial"/>
          <w:b/>
          <w:bCs/>
        </w:rPr>
        <w:t> </w:t>
      </w:r>
      <w:r>
        <w:rPr>
          <w:b/>
          <w:bCs/>
        </w:rPr>
        <w:t>Intelligence</w:t>
      </w:r>
      <w:r>
        <w:rPr>
          <w:rFonts w:ascii="Arial" w:hAnsi="Arial" w:cs="Arial"/>
          <w:b/>
          <w:bCs/>
        </w:rPr>
        <w:t> </w:t>
      </w:r>
      <w:r>
        <w:rPr>
          <w:b/>
          <w:bCs/>
        </w:rPr>
        <w:t>Platform</w:t>
      </w:r>
    </w:p>
    <w:p w14:paraId="3A0022DD" w14:textId="77777777">
      <w:pPr>
        <w:jc w:val="both"/>
        <w:rPr>
          <w:b/>
          <w:bCs/>
        </w:rPr>
      </w:pPr>
      <w:r>
        <w:rPr>
          <w:b/>
          <w:bCs/>
        </w:rPr>
        <w:t>Pilot Implementation Proposal — SN Karau &amp; Associates Clinic</w:t>
      </w:r>
    </w:p>
    <w:p w14:paraId="32464A2F" w14:textId="77777777">
      <w:pPr>
        <w:jc w:val="both"/>
      </w:pPr>
      <w:r>
        <w:pict w14:anchorId="0B3C052D">
          <v:rect id="_x0000_i1025" style="width:0;height:1.5pt" o:hralign="center" o:hrstd="t" o:hr="t" fillcolor="#a0a0a0" stroked="f"/>
        </w:pict>
      </w:r>
    </w:p>
    <w:p w14:paraId="4D98B501" w14:textId="77777777">
      <w:pPr>
        <w:pStyle w:val="ListParagraph"/>
        <w:numPr>
          <w:ilvl w:val="0"/>
          <w:numId w:val="10"/>
        </w:numPr>
        <w:jc w:val="both"/>
        <w:rPr>
          <w:b/>
          <w:bCs/>
        </w:rPr>
      </w:pPr>
      <w:r>
        <w:rPr>
          <w:b/>
          <w:bCs/>
        </w:rPr>
        <w:t>Executive</w:t>
      </w:r>
      <w:r>
        <w:rPr>
          <w:rFonts w:ascii="Arial" w:hAnsi="Arial" w:cs="Arial"/>
          <w:b/>
          <w:bCs/>
        </w:rPr>
        <w:t> </w:t>
      </w:r>
      <w:r>
        <w:rPr>
          <w:b/>
          <w:bCs/>
        </w:rPr>
        <w:t>Summary</w:t>
      </w:r>
    </w:p>
    <w:p w14:paraId="7664CF96" w14:textId="77777777">
      <w:pPr>
        <w:jc w:val="both"/>
      </w:pPr>
      <w:proofErr w:type="spellStart"/>
      <w:r>
        <w:t>Medimesh</w:t>
      </w:r>
      <w:proofErr w:type="spellEnd"/>
      <w:r>
        <w:t xml:space="preserve"> is a modular, open</w:t>
      </w:r>
      <w:r>
        <w:noBreakHyphen/>
        <w:t>source–powered platform that unifies electronic health records (EHR), operational workflows, and real</w:t>
      </w:r>
      <w:r>
        <w:noBreakHyphen/>
        <w:t>time analytics for small</w:t>
      </w:r>
      <w:r>
        <w:noBreakHyphen/>
        <w:t>to</w:t>
      </w:r>
      <w:r>
        <w:noBreakHyphen/>
        <w:t>medium clinics.</w:t>
      </w:r>
      <w:r>
        <w:br/>
        <w:t>This proposal details the minimum viable product (MVP) to be deployed at SN</w:t>
      </w:r>
      <w:r>
        <w:rPr>
          <w:rFonts w:ascii="Arial" w:hAnsi="Arial" w:cs="Arial"/>
        </w:rPr>
        <w:t> </w:t>
      </w:r>
      <w:r>
        <w:t>Karau</w:t>
      </w:r>
      <w:r>
        <w:rPr>
          <w:rFonts w:ascii="Aptos" w:hAnsi="Aptos" w:cs="Aptos"/>
        </w:rPr>
        <w:t> </w:t>
      </w:r>
      <w:r>
        <w:t>&amp;</w:t>
      </w:r>
      <w:r>
        <w:rPr>
          <w:rFonts w:ascii="Arial" w:hAnsi="Arial" w:cs="Arial"/>
        </w:rPr>
        <w:t> </w:t>
      </w:r>
      <w:r>
        <w:t>Associates Clinic as the reference implementation before scaling to additional facilities.</w:t>
      </w:r>
    </w:p>
    <w:p w14:paraId="147CA0BC" w14:textId="77777777">
      <w:pPr>
        <w:pStyle w:val="ListParagraph"/>
        <w:numPr>
          <w:ilvl w:val="0"/>
          <w:numId w:val="10"/>
        </w:numPr>
        <w:jc w:val="both"/>
        <w:rPr>
          <w:b/>
          <w:bCs/>
        </w:rPr>
      </w:pPr>
      <w:r>
        <w:rPr>
          <w:b/>
          <w:bCs/>
        </w:rPr>
        <w:t>Background &amp; Problem Statement</w:t>
      </w:r>
    </w:p>
    <w:p w14:paraId="0C2F0DDD" w14:textId="77777777">
      <w:pPr>
        <w:jc w:val="both"/>
      </w:pPr>
      <w:r>
        <w:t>Level</w:t>
      </w:r>
      <w:r>
        <w:rPr>
          <w:rFonts w:ascii="Arial" w:hAnsi="Arial" w:cs="Arial"/>
        </w:rPr>
        <w:t> </w:t>
      </w:r>
      <w:r>
        <w:t>1 and Level</w:t>
      </w:r>
      <w:r>
        <w:rPr>
          <w:rFonts w:ascii="Arial" w:hAnsi="Arial" w:cs="Arial"/>
        </w:rPr>
        <w:t> </w:t>
      </w:r>
      <w:r>
        <w:t>2 clinics across Kenya still rely on battered patient registers, improvised notebooks, and disconnected Excel sheets. Every manual hand</w:t>
      </w:r>
      <w:r>
        <w:noBreakHyphen/>
        <w:t xml:space="preserve">off </w:t>
      </w:r>
      <w:proofErr w:type="gramStart"/>
      <w:r>
        <w:t>delays</w:t>
      </w:r>
      <w:proofErr w:type="gramEnd"/>
      <w:r>
        <w:t xml:space="preserve"> diagnosis, drags billing across days, and invites transcription errors that can threaten patient safety. When these facilities look to </w:t>
      </w:r>
      <w:proofErr w:type="spellStart"/>
      <w:proofErr w:type="gramStart"/>
      <w:r>
        <w:t>digitise</w:t>
      </w:r>
      <w:proofErr w:type="spellEnd"/>
      <w:r>
        <w:t>,</w:t>
      </w:r>
      <w:proofErr w:type="gramEnd"/>
      <w:r>
        <w:t xml:space="preserve"> they are greeted by enterprise EHR suites built</w:t>
      </w:r>
      <w:r>
        <w:rPr>
          <w:rFonts w:ascii="Aptos" w:hAnsi="Aptos" w:cs="Aptos"/>
        </w:rPr>
        <w:t>—</w:t>
      </w:r>
      <w:r>
        <w:t>and priced</w:t>
      </w:r>
      <w:r>
        <w:rPr>
          <w:rFonts w:ascii="Aptos" w:hAnsi="Aptos" w:cs="Aptos"/>
        </w:rPr>
        <w:t>—</w:t>
      </w:r>
      <w:r>
        <w:t xml:space="preserve">for tertiary hospitals: steep annual </w:t>
      </w:r>
      <w:proofErr w:type="spellStart"/>
      <w:r>
        <w:t>licences</w:t>
      </w:r>
      <w:proofErr w:type="spellEnd"/>
      <w:r>
        <w:t xml:space="preserve">, complex deployment contracts, and proprietary clouds that place their data out of reach. </w:t>
      </w:r>
      <w:proofErr w:type="spellStart"/>
      <w:r>
        <w:t>Medimesh</w:t>
      </w:r>
      <w:proofErr w:type="spellEnd"/>
      <w:r>
        <w:t xml:space="preserve"> was designed to close this gap. The platform runs comfortably on a modest on</w:t>
      </w:r>
      <w:r>
        <w:noBreakHyphen/>
        <w:t xml:space="preserve">prem server </w:t>
      </w:r>
      <w:r>
        <w:rPr>
          <w:i/>
          <w:iCs/>
        </w:rPr>
        <w:t>or</w:t>
      </w:r>
      <w:r>
        <w:t xml:space="preserve"> as a secure, Kenyan</w:t>
      </w:r>
      <w:r>
        <w:noBreakHyphen/>
        <w:t>hosted cloud instance, and its offline</w:t>
      </w:r>
      <w:r>
        <w:noBreakHyphen/>
        <w:t>capable mobile app turns the Android phones and tablets clinicians already carry into point</w:t>
      </w:r>
      <w:r>
        <w:noBreakHyphen/>
        <w:t>of</w:t>
      </w:r>
      <w:r>
        <w:noBreakHyphen/>
        <w:t>care recorders. Notes, vitals, and even images sync automatically once connectivity returns, giving caregivers real</w:t>
      </w:r>
      <w:r>
        <w:noBreakHyphen/>
        <w:t xml:space="preserve">time visibility without demanding constant Internet. All information remains encrypted and fully compliant with the </w:t>
      </w:r>
      <w:r>
        <w:rPr>
          <w:i/>
          <w:iCs/>
        </w:rPr>
        <w:t>Kenya Data Protection Act 2019</w:t>
      </w:r>
      <w:r>
        <w:t xml:space="preserve">, while </w:t>
      </w:r>
      <w:proofErr w:type="spellStart"/>
      <w:r>
        <w:t>Medimesh’s</w:t>
      </w:r>
      <w:proofErr w:type="spellEnd"/>
      <w:r>
        <w:t xml:space="preserve"> open APIs are already mapped to the upcoming </w:t>
      </w:r>
      <w:r>
        <w:t>S</w:t>
      </w:r>
      <w:r>
        <w:t>HIF e</w:t>
      </w:r>
      <w:r>
        <w:noBreakHyphen/>
        <w:t>claims specification—helping small clinics claim reimbursements faster without surrendering ownership of their data.</w:t>
      </w:r>
    </w:p>
    <w:p w14:paraId="0433884B" w14:textId="77777777">
      <w:pPr>
        <w:pStyle w:val="ListParagraph"/>
        <w:numPr>
          <w:ilvl w:val="0"/>
          <w:numId w:val="10"/>
        </w:numPr>
        <w:jc w:val="both"/>
        <w:rPr>
          <w:b/>
          <w:bCs/>
        </w:rPr>
      </w:pPr>
      <w:r>
        <w:rPr>
          <w:b/>
          <w:bCs/>
        </w:rPr>
        <w:t>Vision</w:t>
      </w:r>
    </w:p>
    <w:p w14:paraId="480050C7" w14:textId="77777777">
      <w:pPr>
        <w:jc w:val="both"/>
      </w:pPr>
      <w:r>
        <w:rPr>
          <w:i/>
          <w:iCs/>
        </w:rPr>
        <w:t>“One lightweight mesh for every clinic—secure, interoperable, and insight</w:t>
      </w:r>
      <w:r>
        <w:rPr>
          <w:i/>
          <w:iCs/>
        </w:rPr>
        <w:noBreakHyphen/>
        <w:t>driven.”</w:t>
      </w:r>
    </w:p>
    <w:p w14:paraId="4F27D096" w14:textId="77777777">
      <w:pPr>
        <w:pStyle w:val="ListParagraph"/>
        <w:numPr>
          <w:ilvl w:val="0"/>
          <w:numId w:val="10"/>
        </w:numPr>
        <w:jc w:val="both"/>
        <w:rPr>
          <w:b/>
          <w:bCs/>
        </w:rPr>
      </w:pPr>
      <w:r>
        <w:rPr>
          <w:b/>
          <w:bCs/>
        </w:rPr>
        <w:t>Objectives &amp; Success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5"/>
        <w:gridCol w:w="4054"/>
        <w:gridCol w:w="2111"/>
      </w:tblGrid>
      <w:tr w14:paraId="133C4045" w14:textId="77777777">
        <w:trPr>
          <w:tblCellSpacing w:w="15" w:type="dxa"/>
        </w:trPr>
        <w:tc>
          <w:tcPr>
            <w:tcW w:w="0" w:type="auto"/>
            <w:vAlign w:val="center"/>
            <w:hideMark/>
          </w:tcPr>
          <w:p w14:paraId="4579F2B8" w14:textId="77777777">
            <w:pPr>
              <w:spacing w:after="0" w:line="360" w:lineRule="auto"/>
              <w:jc w:val="both"/>
              <w:rPr>
                <w:rFonts w:eastAsia="Times New Roman" w:cs="Times New Roman"/>
                <w:b/>
                <w:bCs/>
                <w:kern w:val="0"/>
                <w14:ligatures w14:val="none"/>
              </w:rPr>
            </w:pPr>
            <w:r>
              <w:rPr>
                <w:rFonts w:eastAsia="Times New Roman" w:cs="Times New Roman"/>
                <w:b/>
                <w:bCs/>
                <w:kern w:val="0"/>
                <w14:ligatures w14:val="none"/>
              </w:rPr>
              <w:t>Objective</w:t>
            </w:r>
          </w:p>
        </w:tc>
        <w:tc>
          <w:tcPr>
            <w:tcW w:w="0" w:type="auto"/>
            <w:vAlign w:val="center"/>
            <w:hideMark/>
          </w:tcPr>
          <w:p w14:paraId="726149B8" w14:textId="77777777">
            <w:pPr>
              <w:spacing w:after="0" w:line="360" w:lineRule="auto"/>
              <w:jc w:val="both"/>
              <w:rPr>
                <w:rFonts w:eastAsia="Times New Roman" w:cs="Times New Roman"/>
                <w:b/>
                <w:bCs/>
                <w:kern w:val="0"/>
                <w14:ligatures w14:val="none"/>
              </w:rPr>
            </w:pPr>
            <w:r>
              <w:rPr>
                <w:rFonts w:eastAsia="Times New Roman" w:cs="Times New Roman"/>
                <w:b/>
                <w:bCs/>
                <w:kern w:val="0"/>
                <w14:ligatures w14:val="none"/>
              </w:rPr>
              <w:t>KPI</w:t>
            </w:r>
          </w:p>
        </w:tc>
        <w:tc>
          <w:tcPr>
            <w:tcW w:w="0" w:type="auto"/>
            <w:vAlign w:val="center"/>
            <w:hideMark/>
          </w:tcPr>
          <w:p w14:paraId="1955FF9F" w14:textId="77777777">
            <w:pPr>
              <w:spacing w:after="0" w:line="360" w:lineRule="auto"/>
              <w:jc w:val="both"/>
              <w:rPr>
                <w:rFonts w:eastAsia="Times New Roman" w:cs="Times New Roman"/>
                <w:b/>
                <w:bCs/>
                <w:kern w:val="0"/>
                <w14:ligatures w14:val="none"/>
              </w:rPr>
            </w:pPr>
            <w:r>
              <w:rPr>
                <w:rFonts w:eastAsia="Times New Roman" w:cs="Times New Roman"/>
                <w:b/>
                <w:bCs/>
                <w:kern w:val="0"/>
                <w14:ligatures w14:val="none"/>
              </w:rPr>
              <w:t>Target</w:t>
            </w:r>
          </w:p>
        </w:tc>
      </w:tr>
      <w:tr w14:paraId="4448ABFC" w14:textId="77777777">
        <w:trPr>
          <w:tblCellSpacing w:w="15" w:type="dxa"/>
        </w:trPr>
        <w:tc>
          <w:tcPr>
            <w:tcW w:w="0" w:type="auto"/>
            <w:vAlign w:val="center"/>
            <w:hideMark/>
          </w:tcPr>
          <w:p w14:paraId="097A51D0"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 xml:space="preserve">Capture every </w:t>
            </w:r>
            <w:proofErr w:type="gramStart"/>
            <w:r>
              <w:rPr>
                <w:rFonts w:eastAsia="Times New Roman" w:cs="Times New Roman"/>
                <w:b/>
                <w:bCs/>
                <w:kern w:val="0"/>
                <w14:ligatures w14:val="none"/>
              </w:rPr>
              <w:t>patient touch</w:t>
            </w:r>
            <w:r>
              <w:rPr>
                <w:rFonts w:eastAsia="Times New Roman" w:cs="Times New Roman"/>
                <w:b/>
                <w:bCs/>
                <w:kern w:val="0"/>
                <w14:ligatures w14:val="none"/>
              </w:rPr>
              <w:noBreakHyphen/>
            </w:r>
            <w:proofErr w:type="gramEnd"/>
            <w:r>
              <w:rPr>
                <w:rFonts w:eastAsia="Times New Roman" w:cs="Times New Roman"/>
                <w:b/>
                <w:bCs/>
                <w:kern w:val="0"/>
                <w14:ligatures w14:val="none"/>
              </w:rPr>
              <w:t>point digitally</w:t>
            </w:r>
          </w:p>
        </w:tc>
        <w:tc>
          <w:tcPr>
            <w:tcW w:w="0" w:type="auto"/>
            <w:vAlign w:val="center"/>
            <w:hideMark/>
          </w:tcPr>
          <w:p w14:paraId="34A15BA0" w14:textId="77777777">
            <w:pPr>
              <w:spacing w:after="0" w:line="360" w:lineRule="auto"/>
              <w:jc w:val="both"/>
              <w:rPr>
                <w:rFonts w:eastAsia="Times New Roman" w:cs="Times New Roman"/>
                <w:kern w:val="0"/>
                <w14:ligatures w14:val="none"/>
              </w:rPr>
            </w:pPr>
            <w:r>
              <w:rPr>
                <w:rFonts w:eastAsia="Times New Roman" w:cs="Times New Roman"/>
                <w:kern w:val="0"/>
                <w14:ligatures w14:val="none"/>
              </w:rPr>
              <w:t xml:space="preserve">% of encounters recorded in </w:t>
            </w:r>
            <w:proofErr w:type="spellStart"/>
            <w:r>
              <w:rPr>
                <w:rFonts w:eastAsia="Times New Roman" w:cs="Times New Roman"/>
                <w:kern w:val="0"/>
                <w14:ligatures w14:val="none"/>
              </w:rPr>
              <w:t>Medimesh</w:t>
            </w:r>
            <w:proofErr w:type="spellEnd"/>
            <w:r>
              <w:rPr>
                <w:rFonts w:eastAsia="Times New Roman" w:cs="Times New Roman"/>
                <w:kern w:val="0"/>
                <w14:ligatures w14:val="none"/>
              </w:rPr>
              <w:t xml:space="preserve"> (mobile or desktop)</w:t>
            </w:r>
          </w:p>
        </w:tc>
        <w:tc>
          <w:tcPr>
            <w:tcW w:w="0" w:type="auto"/>
            <w:vAlign w:val="center"/>
            <w:hideMark/>
          </w:tcPr>
          <w:p w14:paraId="2D44D268"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95</w:t>
            </w:r>
            <w:r>
              <w:rPr>
                <w:rFonts w:ascii="Arial" w:eastAsia="Times New Roman" w:hAnsi="Arial" w:cs="Arial"/>
                <w:b/>
                <w:bCs/>
                <w:kern w:val="0"/>
                <w14:ligatures w14:val="none"/>
              </w:rPr>
              <w:t> </w:t>
            </w:r>
            <w:r>
              <w:rPr>
                <w:rFonts w:eastAsia="Times New Roman" w:cs="Times New Roman"/>
                <w:b/>
                <w:bCs/>
                <w:kern w:val="0"/>
                <w14:ligatures w14:val="none"/>
              </w:rPr>
              <w:t>%</w:t>
            </w:r>
            <w:r>
              <w:rPr>
                <w:rFonts w:eastAsia="Times New Roman" w:cs="Times New Roman"/>
                <w:kern w:val="0"/>
                <w14:ligatures w14:val="none"/>
              </w:rPr>
              <w:t xml:space="preserve"> by end of month</w:t>
            </w:r>
            <w:r>
              <w:rPr>
                <w:rFonts w:ascii="Arial" w:eastAsia="Times New Roman" w:hAnsi="Arial" w:cs="Arial"/>
                <w:kern w:val="0"/>
                <w14:ligatures w14:val="none"/>
              </w:rPr>
              <w:t> </w:t>
            </w:r>
            <w:r>
              <w:rPr>
                <w:rFonts w:eastAsia="Times New Roman" w:cs="Times New Roman"/>
                <w:kern w:val="0"/>
                <w14:ligatures w14:val="none"/>
              </w:rPr>
              <w:t>3</w:t>
            </w:r>
          </w:p>
        </w:tc>
      </w:tr>
      <w:tr w14:paraId="5769B559" w14:textId="77777777">
        <w:trPr>
          <w:tblCellSpacing w:w="15" w:type="dxa"/>
        </w:trPr>
        <w:tc>
          <w:tcPr>
            <w:tcW w:w="0" w:type="auto"/>
            <w:vAlign w:val="center"/>
            <w:hideMark/>
          </w:tcPr>
          <w:p w14:paraId="32FAB1F9"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lastRenderedPageBreak/>
              <w:t>Accelerate cash flow from care to cash</w:t>
            </w:r>
          </w:p>
        </w:tc>
        <w:tc>
          <w:tcPr>
            <w:tcW w:w="0" w:type="auto"/>
            <w:vAlign w:val="center"/>
            <w:hideMark/>
          </w:tcPr>
          <w:p w14:paraId="568A659D" w14:textId="77777777">
            <w:pPr>
              <w:spacing w:after="0" w:line="360" w:lineRule="auto"/>
              <w:jc w:val="both"/>
              <w:rPr>
                <w:rFonts w:eastAsia="Times New Roman" w:cs="Times New Roman"/>
                <w:kern w:val="0"/>
                <w14:ligatures w14:val="none"/>
              </w:rPr>
            </w:pPr>
            <w:r>
              <w:rPr>
                <w:rFonts w:eastAsia="Times New Roman" w:cs="Times New Roman"/>
                <w:kern w:val="0"/>
                <w14:ligatures w14:val="none"/>
              </w:rPr>
              <w:t>Median hours from encounter → claim submission → payment</w:t>
            </w:r>
          </w:p>
        </w:tc>
        <w:tc>
          <w:tcPr>
            <w:tcW w:w="0" w:type="auto"/>
            <w:vAlign w:val="center"/>
            <w:hideMark/>
          </w:tcPr>
          <w:p w14:paraId="16690ECE"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24</w:t>
            </w:r>
            <w:r>
              <w:rPr>
                <w:rFonts w:ascii="Arial" w:eastAsia="Times New Roman" w:hAnsi="Arial" w:cs="Arial"/>
                <w:b/>
                <w:bCs/>
                <w:kern w:val="0"/>
                <w14:ligatures w14:val="none"/>
              </w:rPr>
              <w:t> </w:t>
            </w:r>
            <w:r>
              <w:rPr>
                <w:rFonts w:eastAsia="Times New Roman" w:cs="Times New Roman"/>
                <w:b/>
                <w:bCs/>
                <w:kern w:val="0"/>
                <w14:ligatures w14:val="none"/>
              </w:rPr>
              <w:t>h</w:t>
            </w:r>
            <w:r>
              <w:rPr>
                <w:rFonts w:eastAsia="Times New Roman" w:cs="Times New Roman"/>
                <w:kern w:val="0"/>
                <w14:ligatures w14:val="none"/>
              </w:rPr>
              <w:t xml:space="preserve"> by month</w:t>
            </w:r>
            <w:r>
              <w:rPr>
                <w:rFonts w:ascii="Arial" w:eastAsia="Times New Roman" w:hAnsi="Arial" w:cs="Arial"/>
                <w:kern w:val="0"/>
                <w14:ligatures w14:val="none"/>
              </w:rPr>
              <w:t> </w:t>
            </w:r>
            <w:r>
              <w:rPr>
                <w:rFonts w:eastAsia="Times New Roman" w:cs="Times New Roman"/>
                <w:kern w:val="0"/>
                <w14:ligatures w14:val="none"/>
              </w:rPr>
              <w:t>4</w:t>
            </w:r>
          </w:p>
        </w:tc>
      </w:tr>
      <w:tr w14:paraId="33A14A37" w14:textId="77777777">
        <w:trPr>
          <w:tblCellSpacing w:w="15" w:type="dxa"/>
        </w:trPr>
        <w:tc>
          <w:tcPr>
            <w:tcW w:w="0" w:type="auto"/>
            <w:vAlign w:val="center"/>
            <w:hideMark/>
          </w:tcPr>
          <w:p w14:paraId="0D5F003C"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Empower frontline decisions with insight</w:t>
            </w:r>
          </w:p>
        </w:tc>
        <w:tc>
          <w:tcPr>
            <w:tcW w:w="0" w:type="auto"/>
            <w:vAlign w:val="center"/>
            <w:hideMark/>
          </w:tcPr>
          <w:p w14:paraId="1098BCAA" w14:textId="77777777">
            <w:pPr>
              <w:spacing w:after="0" w:line="360" w:lineRule="auto"/>
              <w:jc w:val="both"/>
              <w:rPr>
                <w:rFonts w:eastAsia="Times New Roman" w:cs="Times New Roman"/>
                <w:kern w:val="0"/>
                <w14:ligatures w14:val="none"/>
              </w:rPr>
            </w:pPr>
            <w:r>
              <w:rPr>
                <w:rFonts w:eastAsia="Times New Roman" w:cs="Times New Roman"/>
                <w:kern w:val="0"/>
                <w14:ligatures w14:val="none"/>
              </w:rPr>
              <w:t>Clinical staff logging into dashboards weekly</w:t>
            </w:r>
          </w:p>
        </w:tc>
        <w:tc>
          <w:tcPr>
            <w:tcW w:w="0" w:type="auto"/>
            <w:vAlign w:val="center"/>
            <w:hideMark/>
          </w:tcPr>
          <w:p w14:paraId="4E8A8872"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85</w:t>
            </w:r>
            <w:r>
              <w:rPr>
                <w:rFonts w:ascii="Arial" w:eastAsia="Times New Roman" w:hAnsi="Arial" w:cs="Arial"/>
                <w:b/>
                <w:bCs/>
                <w:kern w:val="0"/>
                <w14:ligatures w14:val="none"/>
              </w:rPr>
              <w:t> </w:t>
            </w:r>
            <w:r>
              <w:rPr>
                <w:rFonts w:eastAsia="Times New Roman" w:cs="Times New Roman"/>
                <w:b/>
                <w:bCs/>
                <w:kern w:val="0"/>
                <w14:ligatures w14:val="none"/>
              </w:rPr>
              <w:t>%</w:t>
            </w:r>
            <w:r>
              <w:rPr>
                <w:rFonts w:eastAsia="Times New Roman" w:cs="Times New Roman"/>
                <w:kern w:val="0"/>
                <w14:ligatures w14:val="none"/>
              </w:rPr>
              <w:t xml:space="preserve"> adoption by month</w:t>
            </w:r>
            <w:r>
              <w:rPr>
                <w:rFonts w:ascii="Arial" w:eastAsia="Times New Roman" w:hAnsi="Arial" w:cs="Arial"/>
                <w:kern w:val="0"/>
                <w14:ligatures w14:val="none"/>
              </w:rPr>
              <w:t> </w:t>
            </w:r>
            <w:r>
              <w:rPr>
                <w:rFonts w:eastAsia="Times New Roman" w:cs="Times New Roman"/>
                <w:kern w:val="0"/>
                <w14:ligatures w14:val="none"/>
              </w:rPr>
              <w:t>4</w:t>
            </w:r>
          </w:p>
        </w:tc>
      </w:tr>
      <w:tr w14:paraId="50754F8F" w14:textId="77777777">
        <w:trPr>
          <w:tblCellSpacing w:w="15" w:type="dxa"/>
        </w:trPr>
        <w:tc>
          <w:tcPr>
            <w:tcW w:w="0" w:type="auto"/>
            <w:vAlign w:val="center"/>
            <w:hideMark/>
          </w:tcPr>
          <w:p w14:paraId="4DA900CA"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Assure data quality &amp; compliance</w:t>
            </w:r>
          </w:p>
        </w:tc>
        <w:tc>
          <w:tcPr>
            <w:tcW w:w="0" w:type="auto"/>
            <w:vAlign w:val="center"/>
            <w:hideMark/>
          </w:tcPr>
          <w:p w14:paraId="679012EE" w14:textId="77777777">
            <w:pPr>
              <w:spacing w:after="0" w:line="360" w:lineRule="auto"/>
              <w:jc w:val="both"/>
              <w:rPr>
                <w:rFonts w:eastAsia="Times New Roman" w:cs="Times New Roman"/>
                <w:kern w:val="0"/>
                <w14:ligatures w14:val="none"/>
              </w:rPr>
            </w:pPr>
            <w:r>
              <w:rPr>
                <w:rFonts w:eastAsia="Times New Roman" w:cs="Times New Roman"/>
                <w:kern w:val="0"/>
                <w14:ligatures w14:val="none"/>
              </w:rPr>
              <w:t>% of records passing validation &amp; audit checks</w:t>
            </w:r>
          </w:p>
        </w:tc>
        <w:tc>
          <w:tcPr>
            <w:tcW w:w="0" w:type="auto"/>
            <w:vAlign w:val="center"/>
            <w:hideMark/>
          </w:tcPr>
          <w:p w14:paraId="1D333497"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98</w:t>
            </w:r>
            <w:r>
              <w:rPr>
                <w:rFonts w:ascii="Arial" w:eastAsia="Times New Roman" w:hAnsi="Arial" w:cs="Arial"/>
                <w:b/>
                <w:bCs/>
                <w:kern w:val="0"/>
                <w14:ligatures w14:val="none"/>
              </w:rPr>
              <w:t> </w:t>
            </w:r>
            <w:r>
              <w:rPr>
                <w:rFonts w:eastAsia="Times New Roman" w:cs="Times New Roman"/>
                <w:b/>
                <w:bCs/>
                <w:kern w:val="0"/>
                <w14:ligatures w14:val="none"/>
              </w:rPr>
              <w:t>%</w:t>
            </w:r>
            <w:r>
              <w:rPr>
                <w:rFonts w:eastAsia="Times New Roman" w:cs="Times New Roman"/>
                <w:kern w:val="0"/>
                <w14:ligatures w14:val="none"/>
              </w:rPr>
              <w:t xml:space="preserve"> sustained</w:t>
            </w:r>
          </w:p>
        </w:tc>
      </w:tr>
      <w:tr w14:paraId="2D964B7C" w14:textId="77777777">
        <w:trPr>
          <w:tblCellSpacing w:w="15" w:type="dxa"/>
        </w:trPr>
        <w:tc>
          <w:tcPr>
            <w:tcW w:w="0" w:type="auto"/>
            <w:vAlign w:val="center"/>
            <w:hideMark/>
          </w:tcPr>
          <w:p w14:paraId="3F79FE76"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Maintain high system availability</w:t>
            </w:r>
          </w:p>
        </w:tc>
        <w:tc>
          <w:tcPr>
            <w:tcW w:w="0" w:type="auto"/>
            <w:vAlign w:val="center"/>
            <w:hideMark/>
          </w:tcPr>
          <w:p w14:paraId="4623C2B8" w14:textId="77777777">
            <w:pPr>
              <w:spacing w:after="0" w:line="360" w:lineRule="auto"/>
              <w:jc w:val="both"/>
              <w:rPr>
                <w:rFonts w:eastAsia="Times New Roman" w:cs="Times New Roman"/>
                <w:kern w:val="0"/>
                <w14:ligatures w14:val="none"/>
              </w:rPr>
            </w:pPr>
            <w:r>
              <w:rPr>
                <w:rFonts w:eastAsia="Times New Roman" w:cs="Times New Roman"/>
                <w:kern w:val="0"/>
                <w14:ligatures w14:val="none"/>
              </w:rPr>
              <w:t>Uptime during clinic hours</w:t>
            </w:r>
          </w:p>
        </w:tc>
        <w:tc>
          <w:tcPr>
            <w:tcW w:w="0" w:type="auto"/>
            <w:vAlign w:val="center"/>
            <w:hideMark/>
          </w:tcPr>
          <w:p w14:paraId="64F1DC1E"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99</w:t>
            </w:r>
            <w:r>
              <w:rPr>
                <w:rFonts w:ascii="Arial" w:eastAsia="Times New Roman" w:hAnsi="Arial" w:cs="Arial"/>
                <w:b/>
                <w:bCs/>
                <w:kern w:val="0"/>
                <w14:ligatures w14:val="none"/>
              </w:rPr>
              <w:t> </w:t>
            </w:r>
            <w:r>
              <w:rPr>
                <w:rFonts w:eastAsia="Times New Roman" w:cs="Times New Roman"/>
                <w:b/>
                <w:bCs/>
                <w:kern w:val="0"/>
                <w14:ligatures w14:val="none"/>
              </w:rPr>
              <w:t>%</w:t>
            </w:r>
            <w:r>
              <w:rPr>
                <w:rFonts w:eastAsia="Times New Roman" w:cs="Times New Roman"/>
                <w:kern w:val="0"/>
                <w14:ligatures w14:val="none"/>
              </w:rPr>
              <w:t xml:space="preserve"> rolling monthly</w:t>
            </w:r>
          </w:p>
        </w:tc>
      </w:tr>
    </w:tbl>
    <w:p w14:paraId="79DA8CB1" w14:textId="77777777">
      <w:pPr>
        <w:jc w:val="both"/>
        <w:rPr>
          <w:b/>
          <w:bCs/>
        </w:rPr>
      </w:pPr>
    </w:p>
    <w:p w14:paraId="5054486D" w14:textId="77777777">
      <w:pPr>
        <w:pStyle w:val="ListParagraph"/>
        <w:numPr>
          <w:ilvl w:val="0"/>
          <w:numId w:val="10"/>
        </w:numPr>
        <w:jc w:val="both"/>
        <w:rPr>
          <w:b/>
          <w:bCs/>
        </w:rPr>
      </w:pPr>
      <w:r>
        <w:rPr>
          <w:b/>
          <w:bCs/>
        </w:rPr>
        <w:t>Product Scope</w:t>
      </w:r>
    </w:p>
    <w:p w14:paraId="4C6B6D9D" w14:textId="77777777">
      <w:pPr>
        <w:jc w:val="both"/>
      </w:pPr>
      <w:r>
        <w:t xml:space="preserve">Unlike monolithic hospital suites, </w:t>
      </w:r>
      <w:proofErr w:type="spellStart"/>
      <w:r>
        <w:t>Medimesh</w:t>
      </w:r>
      <w:proofErr w:type="spellEnd"/>
      <w:r>
        <w:t xml:space="preserve"> is carved into small, interoperable services that clinics can adopt incrementally. The platform’s spine is a set of core back</w:t>
      </w:r>
      <w:r>
        <w:noBreakHyphen/>
        <w:t>end modules, wrapped by a lightweight, offline</w:t>
      </w:r>
      <w:r>
        <w:noBreakHyphen/>
        <w:t>capable front</w:t>
      </w:r>
      <w:r>
        <w:noBreakHyphen/>
        <w:t>end that runs on any browser or Android handset.</w:t>
      </w:r>
    </w:p>
    <w:p w14:paraId="50590F14" w14:textId="77777777">
      <w:pPr>
        <w:pStyle w:val="ListParagraph"/>
        <w:numPr>
          <w:ilvl w:val="1"/>
          <w:numId w:val="10"/>
        </w:numPr>
        <w:jc w:val="both"/>
        <w:rPr>
          <w:b/>
          <w:bCs/>
        </w:rPr>
      </w:pPr>
      <w:r>
        <w:rPr>
          <w:b/>
          <w:bCs/>
        </w:rPr>
        <w:t>Core Modules</w:t>
      </w:r>
    </w:p>
    <w:p w14:paraId="03A45374" w14:textId="77777777">
      <w:pPr>
        <w:numPr>
          <w:ilvl w:val="0"/>
          <w:numId w:val="1"/>
        </w:numPr>
        <w:jc w:val="both"/>
      </w:pPr>
      <w:r>
        <w:rPr>
          <w:b/>
          <w:bCs/>
        </w:rPr>
        <w:t>Patient EHR</w:t>
      </w:r>
      <w:r>
        <w:t xml:space="preserve"> — Demographics, vitals, clinical notes, diagnostics, imaging links (DICOM).</w:t>
      </w:r>
      <w:r>
        <w:t xml:space="preserve"> </w:t>
      </w:r>
      <w:r>
        <w:t>A longitudinal, FHIR</w:t>
      </w:r>
      <w:r>
        <w:noBreakHyphen/>
        <w:t>compatible record that accompanies each patient from triage to discharge. Structured forms capture demographics, vitals, SOAP notes, prescriptions and diagnostics, while radiology is referenced through secure DICOM links so images stream instantly without bloating the database.</w:t>
      </w:r>
    </w:p>
    <w:p w14:paraId="52222CCE" w14:textId="77777777">
      <w:pPr>
        <w:numPr>
          <w:ilvl w:val="0"/>
          <w:numId w:val="1"/>
        </w:numPr>
        <w:jc w:val="both"/>
      </w:pPr>
      <w:r>
        <w:rPr>
          <w:b/>
          <w:bCs/>
        </w:rPr>
        <w:t>Workflow &amp; Scheduling</w:t>
      </w:r>
      <w:r>
        <w:t xml:space="preserve"> — Appointments, triage queue, task lists.</w:t>
      </w:r>
      <w:r>
        <w:t xml:space="preserve"> </w:t>
      </w:r>
      <w:r>
        <w:t>An elastic queue replaces corridor guess</w:t>
      </w:r>
      <w:r>
        <w:noBreakHyphen/>
        <w:t xml:space="preserve">work: </w:t>
      </w:r>
      <w:proofErr w:type="spellStart"/>
      <w:r>
        <w:t>colour</w:t>
      </w:r>
      <w:proofErr w:type="spellEnd"/>
      <w:r>
        <w:noBreakHyphen/>
        <w:t>coded cards show who is waiting, for what service, and for how long. A drag</w:t>
      </w:r>
      <w:r>
        <w:noBreakHyphen/>
        <w:t>and</w:t>
      </w:r>
      <w:r>
        <w:noBreakHyphen/>
        <w:t>drop calendar powers appointment booking, procedure slots, and outreach camps.</w:t>
      </w:r>
    </w:p>
    <w:p w14:paraId="041DC65D" w14:textId="77777777">
      <w:pPr>
        <w:numPr>
          <w:ilvl w:val="0"/>
          <w:numId w:val="1"/>
        </w:numPr>
        <w:jc w:val="both"/>
      </w:pPr>
      <w:r>
        <w:rPr>
          <w:b/>
          <w:bCs/>
        </w:rPr>
        <w:t>Billing &amp; Insurance</w:t>
      </w:r>
      <w:r>
        <w:t xml:space="preserve"> — Tariff management, </w:t>
      </w:r>
      <w:r>
        <w:t>S</w:t>
      </w:r>
      <w:r>
        <w:t>HIF e</w:t>
      </w:r>
      <w:r>
        <w:noBreakHyphen/>
        <w:t>claim export, M</w:t>
      </w:r>
      <w:r>
        <w:noBreakHyphen/>
        <w:t>Pesa/Bank integrations.</w:t>
      </w:r>
      <w:r>
        <w:t xml:space="preserve"> </w:t>
      </w:r>
      <w:r>
        <w:t>Tariffs live in one authoritative table and auto</w:t>
      </w:r>
      <w:r>
        <w:noBreakHyphen/>
        <w:t>apply clinic</w:t>
      </w:r>
      <w:r>
        <w:noBreakHyphen/>
        <w:t>specific mark</w:t>
      </w:r>
      <w:r>
        <w:noBreakHyphen/>
        <w:t xml:space="preserve">ups. When an encounter closes, </w:t>
      </w:r>
      <w:proofErr w:type="spellStart"/>
      <w:r>
        <w:t>Medimesh</w:t>
      </w:r>
      <w:proofErr w:type="spellEnd"/>
      <w:r>
        <w:t xml:space="preserve"> assembles an electronic claim that meets the </w:t>
      </w:r>
      <w:r>
        <w:rPr>
          <w:highlight w:val="yellow"/>
        </w:rPr>
        <w:t xml:space="preserve">new </w:t>
      </w:r>
      <w:r>
        <w:rPr>
          <w:i/>
          <w:iCs/>
          <w:highlight w:val="yellow"/>
        </w:rPr>
        <w:t>Social Health Insurance Fund (SHIF)</w:t>
      </w:r>
      <w:r>
        <w:rPr>
          <w:highlight w:val="yellow"/>
        </w:rPr>
        <w:t xml:space="preserve"> XML schema</w:t>
      </w:r>
      <w:r>
        <w:t>. One click posts it, and M</w:t>
      </w:r>
      <w:r>
        <w:noBreakHyphen/>
        <w:t xml:space="preserve">Pesa STK </w:t>
      </w:r>
      <w:proofErr w:type="gramStart"/>
      <w:r>
        <w:t>push</w:t>
      </w:r>
      <w:proofErr w:type="gramEnd"/>
      <w:r>
        <w:t xml:space="preserve"> or bank APIs return receipts directly into the ledger.</w:t>
      </w:r>
    </w:p>
    <w:p w14:paraId="054F8401" w14:textId="77777777">
      <w:pPr>
        <w:numPr>
          <w:ilvl w:val="0"/>
          <w:numId w:val="1"/>
        </w:numPr>
        <w:jc w:val="both"/>
      </w:pPr>
      <w:r>
        <w:rPr>
          <w:b/>
          <w:bCs/>
        </w:rPr>
        <w:t>Document &amp; Imaging Vault</w:t>
      </w:r>
      <w:r>
        <w:t xml:space="preserve"> — X</w:t>
      </w:r>
      <w:r>
        <w:noBreakHyphen/>
        <w:t>ray, lab results, consent forms stored in S3</w:t>
      </w:r>
      <w:r>
        <w:noBreakHyphen/>
        <w:t xml:space="preserve">compatible </w:t>
      </w:r>
      <w:proofErr w:type="spellStart"/>
      <w:r>
        <w:t>MinIO</w:t>
      </w:r>
      <w:proofErr w:type="spellEnd"/>
      <w:r>
        <w:t>.</w:t>
      </w:r>
      <w:r>
        <w:t xml:space="preserve"> </w:t>
      </w:r>
      <w:r>
        <w:t xml:space="preserve">Behind the scenes </w:t>
      </w:r>
      <w:proofErr w:type="spellStart"/>
      <w:r>
        <w:t>MinIO</w:t>
      </w:r>
      <w:proofErr w:type="spellEnd"/>
      <w:r>
        <w:t xml:space="preserve"> provides S3</w:t>
      </w:r>
      <w:r>
        <w:noBreakHyphen/>
        <w:t xml:space="preserve">compatible object </w:t>
      </w:r>
      <w:r>
        <w:lastRenderedPageBreak/>
        <w:t>storage with bucket</w:t>
      </w:r>
      <w:r>
        <w:noBreakHyphen/>
        <w:t>level encryption. A lab PDF, a signed consent form, or a 25</w:t>
      </w:r>
      <w:r>
        <w:rPr>
          <w:rFonts w:ascii="Arial" w:hAnsi="Arial" w:cs="Arial"/>
        </w:rPr>
        <w:t> </w:t>
      </w:r>
      <w:r>
        <w:t>MB chest X</w:t>
      </w:r>
      <w:r>
        <w:noBreakHyphen/>
        <w:t>ray are each a URI away from the chart and load on demand.</w:t>
      </w:r>
    </w:p>
    <w:p w14:paraId="5687BFE7" w14:textId="77777777">
      <w:pPr>
        <w:numPr>
          <w:ilvl w:val="0"/>
          <w:numId w:val="1"/>
        </w:numPr>
        <w:jc w:val="both"/>
      </w:pPr>
      <w:r>
        <w:rPr>
          <w:b/>
          <w:bCs/>
        </w:rPr>
        <w:t>Analytics &amp; BI</w:t>
      </w:r>
      <w:r>
        <w:t xml:space="preserve"> — Pre</w:t>
      </w:r>
      <w:r>
        <w:noBreakHyphen/>
        <w:t>built KPI dashboards plus ad</w:t>
      </w:r>
      <w:r>
        <w:noBreakHyphen/>
        <w:t>hoc exploration in Superset.</w:t>
      </w:r>
      <w:r>
        <w:t xml:space="preserve"> </w:t>
      </w:r>
      <w:r>
        <w:t xml:space="preserve">Every event </w:t>
      </w:r>
      <w:proofErr w:type="gramStart"/>
      <w:r>
        <w:t>streams</w:t>
      </w:r>
      <w:proofErr w:type="gramEnd"/>
      <w:r>
        <w:t xml:space="preserve"> through Redis into an Apache Iceberg </w:t>
      </w:r>
      <w:proofErr w:type="spellStart"/>
      <w:r>
        <w:t>lakehouse</w:t>
      </w:r>
      <w:proofErr w:type="spellEnd"/>
      <w:r>
        <w:t>. Superset ships ready</w:t>
      </w:r>
      <w:r>
        <w:noBreakHyphen/>
        <w:t>made dashboards—patient throughput, revenue curves, lab turnaround—while analysts can spin up ad</w:t>
      </w:r>
      <w:r>
        <w:noBreakHyphen/>
        <w:t>hoc SQL without touching production data.</w:t>
      </w:r>
    </w:p>
    <w:p w14:paraId="30D9DAD5" w14:textId="77777777">
      <w:pPr>
        <w:numPr>
          <w:ilvl w:val="0"/>
          <w:numId w:val="1"/>
        </w:numPr>
        <w:jc w:val="both"/>
      </w:pPr>
      <w:r>
        <w:rPr>
          <w:b/>
          <w:bCs/>
        </w:rPr>
        <w:t>Admin &amp; RBAC</w:t>
      </w:r>
      <w:r>
        <w:t xml:space="preserve"> — Fine</w:t>
      </w:r>
      <w:r>
        <w:noBreakHyphen/>
        <w:t>grained roles (doctor, nurse, lab, cashier, admin).</w:t>
      </w:r>
      <w:r>
        <w:t xml:space="preserve"> </w:t>
      </w:r>
      <w:proofErr w:type="spellStart"/>
      <w:r>
        <w:t>Keycloak</w:t>
      </w:r>
      <w:proofErr w:type="spellEnd"/>
      <w:r>
        <w:t xml:space="preserve"> issues short</w:t>
      </w:r>
      <w:r>
        <w:noBreakHyphen/>
        <w:t>lived tokens scoped more finely than a duty roster. A cashier sees only invoices; a locum doctor edits charts but cannot export; every action lands in an immutable audit trail.</w:t>
      </w:r>
    </w:p>
    <w:p w14:paraId="30ACF605" w14:textId="77777777">
      <w:pPr>
        <w:numPr>
          <w:ilvl w:val="0"/>
          <w:numId w:val="1"/>
        </w:numPr>
        <w:jc w:val="both"/>
      </w:pPr>
      <w:r>
        <w:rPr>
          <w:b/>
          <w:bCs/>
        </w:rPr>
        <w:t>Integration APIs</w:t>
      </w:r>
      <w:r>
        <w:t xml:space="preserve"> — FHIR</w:t>
      </w:r>
      <w:r>
        <w:noBreakHyphen/>
        <w:t>compatible REST/</w:t>
      </w:r>
      <w:proofErr w:type="spellStart"/>
      <w:r>
        <w:t>GraphQL</w:t>
      </w:r>
      <w:proofErr w:type="spellEnd"/>
      <w:r>
        <w:t>, Webhooks.</w:t>
      </w:r>
      <w:r>
        <w:t xml:space="preserve"> </w:t>
      </w:r>
      <w:r>
        <w:t xml:space="preserve">REST and </w:t>
      </w:r>
      <w:proofErr w:type="spellStart"/>
      <w:r>
        <w:t>GraphQL</w:t>
      </w:r>
      <w:proofErr w:type="spellEnd"/>
      <w:r>
        <w:t xml:space="preserve"> endpoints mirror underlying FHIR resources, while Webhooks publish real</w:t>
      </w:r>
      <w:r>
        <w:rPr>
          <w:rFonts w:ascii="Cambria Math" w:hAnsi="Cambria Math" w:cs="Cambria Math"/>
        </w:rPr>
        <w:t>‑</w:t>
      </w:r>
      <w:r>
        <w:t>time events (</w:t>
      </w:r>
      <w:proofErr w:type="spellStart"/>
      <w:proofErr w:type="gramStart"/>
      <w:r>
        <w:t>patient.created</w:t>
      </w:r>
      <w:proofErr w:type="spellEnd"/>
      <w:proofErr w:type="gramEnd"/>
      <w:r>
        <w:t xml:space="preserve">, </w:t>
      </w:r>
      <w:proofErr w:type="spellStart"/>
      <w:proofErr w:type="gramStart"/>
      <w:r>
        <w:t>invoice.paid</w:t>
      </w:r>
      <w:proofErr w:type="spellEnd"/>
      <w:proofErr w:type="gramEnd"/>
      <w:r>
        <w:t>) so external labs, DHIS2 gateways, or mobile apps can subscribe.</w:t>
      </w:r>
    </w:p>
    <w:p w14:paraId="7666F315" w14:textId="77777777">
      <w:pPr>
        <w:pStyle w:val="ListParagraph"/>
        <w:numPr>
          <w:ilvl w:val="1"/>
          <w:numId w:val="10"/>
        </w:numPr>
        <w:jc w:val="both"/>
        <w:rPr>
          <w:b/>
          <w:bCs/>
        </w:rPr>
      </w:pPr>
      <w:r>
        <w:rPr>
          <w:b/>
          <w:bCs/>
        </w:rPr>
        <w:t>Front</w:t>
      </w:r>
      <w:r>
        <w:rPr>
          <w:b/>
          <w:bCs/>
        </w:rPr>
        <w:noBreakHyphen/>
        <w:t>end Experience</w:t>
      </w:r>
    </w:p>
    <w:p w14:paraId="66886197" w14:textId="77777777">
      <w:pPr>
        <w:jc w:val="both"/>
      </w:pPr>
      <w:r>
        <w:t xml:space="preserve">The client is a </w:t>
      </w:r>
      <w:r>
        <w:rPr>
          <w:b/>
          <w:bCs/>
        </w:rPr>
        <w:t>React Progressive Web App (PWA)</w:t>
      </w:r>
      <w:r>
        <w:t xml:space="preserve"> that feels as quick and familiar as WhatsApp while remaining robust on a spotty 5</w:t>
      </w:r>
      <w:r>
        <w:rPr>
          <w:rFonts w:ascii="Arial" w:hAnsi="Arial" w:cs="Arial"/>
        </w:rPr>
        <w:t> </w:t>
      </w:r>
      <w:r>
        <w:t>Mbps rural link.</w:t>
      </w:r>
    </w:p>
    <w:p w14:paraId="1914CC87" w14:textId="77777777">
      <w:pPr>
        <w:numPr>
          <w:ilvl w:val="0"/>
          <w:numId w:val="11"/>
        </w:numPr>
        <w:jc w:val="both"/>
      </w:pPr>
      <w:r>
        <w:rPr>
          <w:b/>
          <w:bCs/>
        </w:rPr>
        <w:t>Mobile</w:t>
      </w:r>
      <w:r>
        <w:rPr>
          <w:b/>
          <w:bCs/>
        </w:rPr>
        <w:noBreakHyphen/>
        <w:t>first design</w:t>
      </w:r>
      <w:r>
        <w:rPr>
          <w:b/>
          <w:bCs/>
        </w:rPr>
        <w:t>:</w:t>
      </w:r>
      <w:r>
        <w:t xml:space="preserve"> Finger</w:t>
      </w:r>
      <w:r>
        <w:noBreakHyphen/>
        <w:t>friendly buttons, dark</w:t>
      </w:r>
      <w:r>
        <w:noBreakHyphen/>
        <w:t>mode for night shifts, and adaptive layouts that stretch gracefully onto 14</w:t>
      </w:r>
      <w:r>
        <w:noBreakHyphen/>
        <w:t>inch reception laptops.</w:t>
      </w:r>
    </w:p>
    <w:p w14:paraId="4DF71562" w14:textId="77777777">
      <w:pPr>
        <w:numPr>
          <w:ilvl w:val="0"/>
          <w:numId w:val="11"/>
        </w:numPr>
        <w:jc w:val="both"/>
      </w:pPr>
      <w:r>
        <w:rPr>
          <w:b/>
          <w:bCs/>
        </w:rPr>
        <w:t>Offline</w:t>
      </w:r>
      <w:r>
        <w:rPr>
          <w:b/>
          <w:bCs/>
        </w:rPr>
        <w:noBreakHyphen/>
        <w:t>first workflow</w:t>
      </w:r>
      <w:r>
        <w:rPr>
          <w:b/>
          <w:bCs/>
        </w:rPr>
        <w:t>:</w:t>
      </w:r>
      <w:r>
        <w:t xml:space="preserve"> Data is cached locally with </w:t>
      </w:r>
      <w:proofErr w:type="spellStart"/>
      <w:r>
        <w:t>IndexedDB</w:t>
      </w:r>
      <w:proofErr w:type="spellEnd"/>
      <w:r>
        <w:t>; clinicians continue charting during outages and a subtle badge shows sync status once connectivity resumes.</w:t>
      </w:r>
    </w:p>
    <w:p w14:paraId="1AFC2F3D" w14:textId="77777777">
      <w:pPr>
        <w:numPr>
          <w:ilvl w:val="0"/>
          <w:numId w:val="11"/>
        </w:numPr>
        <w:jc w:val="both"/>
      </w:pPr>
      <w:r>
        <w:rPr>
          <w:b/>
          <w:bCs/>
        </w:rPr>
        <w:t>Smart forms</w:t>
      </w:r>
      <w:r>
        <w:rPr>
          <w:b/>
          <w:bCs/>
        </w:rPr>
        <w:t>:</w:t>
      </w:r>
      <w:r>
        <w:t xml:space="preserve"> Conditional questions surface only when relevant, reducing keystrokes by up to 40</w:t>
      </w:r>
      <w:r>
        <w:rPr>
          <w:rFonts w:ascii="Arial" w:hAnsi="Arial" w:cs="Arial"/>
        </w:rPr>
        <w:t> </w:t>
      </w:r>
      <w:r>
        <w:t xml:space="preserve">%. Autocomplete leverages a local drug dictionary so </w:t>
      </w:r>
      <w:r>
        <w:rPr>
          <w:rFonts w:ascii="Aptos" w:hAnsi="Aptos" w:cs="Aptos"/>
        </w:rPr>
        <w:t>“</w:t>
      </w:r>
      <w:r>
        <w:t>amoxicillin</w:t>
      </w:r>
      <w:r>
        <w:rPr>
          <w:rFonts w:ascii="Aptos" w:hAnsi="Aptos" w:cs="Aptos"/>
        </w:rPr>
        <w:t>”</w:t>
      </w:r>
      <w:r>
        <w:t xml:space="preserve"> is never mistyped.</w:t>
      </w:r>
    </w:p>
    <w:p w14:paraId="57ACFA72" w14:textId="77777777">
      <w:pPr>
        <w:numPr>
          <w:ilvl w:val="0"/>
          <w:numId w:val="11"/>
        </w:numPr>
        <w:jc w:val="both"/>
      </w:pPr>
      <w:r>
        <w:rPr>
          <w:b/>
          <w:bCs/>
        </w:rPr>
        <w:t>Patient search everywhere</w:t>
      </w:r>
      <w:r>
        <w:rPr>
          <w:b/>
          <w:bCs/>
        </w:rPr>
        <w:t>:</w:t>
      </w:r>
      <w:r>
        <w:t xml:space="preserve"> A global search bar, powered by fuzzy matching, brings any chart forward in under 300</w:t>
      </w:r>
      <w:r>
        <w:rPr>
          <w:rFonts w:ascii="Arial" w:hAnsi="Arial" w:cs="Arial"/>
        </w:rPr>
        <w:t> </w:t>
      </w:r>
      <w:proofErr w:type="spellStart"/>
      <w:r>
        <w:t>ms.</w:t>
      </w:r>
      <w:proofErr w:type="spellEnd"/>
    </w:p>
    <w:p w14:paraId="2210C59A" w14:textId="77777777">
      <w:pPr>
        <w:numPr>
          <w:ilvl w:val="0"/>
          <w:numId w:val="11"/>
        </w:numPr>
        <w:jc w:val="both"/>
      </w:pPr>
      <w:r>
        <w:rPr>
          <w:b/>
          <w:bCs/>
        </w:rPr>
        <w:t xml:space="preserve">Accessibility &amp; </w:t>
      </w:r>
      <w:r>
        <w:rPr>
          <w:b/>
          <w:bCs/>
        </w:rPr>
        <w:t>localization:</w:t>
      </w:r>
      <w:r>
        <w:t xml:space="preserve"> WCAG AA </w:t>
      </w:r>
      <w:proofErr w:type="spellStart"/>
      <w:r>
        <w:t>colour</w:t>
      </w:r>
      <w:proofErr w:type="spellEnd"/>
      <w:r>
        <w:t xml:space="preserve"> contrast, English/Swahili toggles, and voice</w:t>
      </w:r>
      <w:r>
        <w:noBreakHyphen/>
        <w:t>to</w:t>
      </w:r>
      <w:r>
        <w:noBreakHyphen/>
        <w:t>text notes for clinicians who prefer dictation.</w:t>
      </w:r>
    </w:p>
    <w:p w14:paraId="787964C8" w14:textId="77777777">
      <w:pPr>
        <w:jc w:val="both"/>
      </w:pPr>
      <w:r>
        <w:t>Whether clinics choose the on</w:t>
      </w:r>
      <w:r>
        <w:noBreakHyphen/>
        <w:t xml:space="preserve">prem </w:t>
      </w:r>
      <w:proofErr w:type="spellStart"/>
      <w:r>
        <w:t>TrueNAS</w:t>
      </w:r>
      <w:proofErr w:type="spellEnd"/>
      <w:r>
        <w:t xml:space="preserve"> node or </w:t>
      </w:r>
      <w:proofErr w:type="spellStart"/>
      <w:r>
        <w:t>Medimesh’s</w:t>
      </w:r>
      <w:proofErr w:type="spellEnd"/>
      <w:r>
        <w:t xml:space="preserve"> secure Kenyan cloud, the experience is identical—allowing facilities to start on shared infrastructure today and transition to local hardware tomorrow, without vendor lock</w:t>
      </w:r>
      <w:r>
        <w:noBreakHyphen/>
        <w:t>in.</w:t>
      </w:r>
    </w:p>
    <w:p w14:paraId="641C4391" w14:textId="77777777">
      <w:pPr>
        <w:pStyle w:val="ListParagraph"/>
        <w:numPr>
          <w:ilvl w:val="1"/>
          <w:numId w:val="10"/>
        </w:numPr>
        <w:jc w:val="both"/>
        <w:rPr>
          <w:b/>
          <w:bCs/>
        </w:rPr>
      </w:pPr>
      <w:r>
        <w:rPr>
          <w:b/>
          <w:bCs/>
        </w:rPr>
        <w:lastRenderedPageBreak/>
        <w:t>Out</w:t>
      </w:r>
      <w:r>
        <w:rPr>
          <w:b/>
          <w:bCs/>
        </w:rPr>
        <w:noBreakHyphen/>
        <w:t>of</w:t>
      </w:r>
      <w:r>
        <w:rPr>
          <w:b/>
          <w:bCs/>
        </w:rPr>
        <w:noBreakHyphen/>
        <w:t>Scope (Phase</w:t>
      </w:r>
      <w:r>
        <w:rPr>
          <w:rFonts w:ascii="Aptos" w:hAnsi="Aptos" w:cs="Aptos"/>
          <w:b/>
          <w:bCs/>
        </w:rPr>
        <w:t> </w:t>
      </w:r>
      <w:r>
        <w:rPr>
          <w:b/>
          <w:bCs/>
        </w:rPr>
        <w:t>II+)</w:t>
      </w:r>
    </w:p>
    <w:p w14:paraId="2B58F5B5" w14:textId="77777777">
      <w:pPr>
        <w:numPr>
          <w:ilvl w:val="0"/>
          <w:numId w:val="2"/>
        </w:numPr>
        <w:jc w:val="both"/>
      </w:pPr>
      <w:r>
        <w:t>Pharmacy inventory.</w:t>
      </w:r>
    </w:p>
    <w:p w14:paraId="0ED6E70A" w14:textId="77777777">
      <w:pPr>
        <w:numPr>
          <w:ilvl w:val="0"/>
          <w:numId w:val="2"/>
        </w:numPr>
        <w:jc w:val="both"/>
      </w:pPr>
      <w:r>
        <w:t>Tele</w:t>
      </w:r>
      <w:r>
        <w:noBreakHyphen/>
        <w:t>medicine video modules.</w:t>
      </w:r>
    </w:p>
    <w:p w14:paraId="656A2CA5" w14:textId="77777777">
      <w:pPr>
        <w:numPr>
          <w:ilvl w:val="0"/>
          <w:numId w:val="2"/>
        </w:numPr>
        <w:jc w:val="both"/>
      </w:pPr>
      <w:r>
        <w:t>AI</w:t>
      </w:r>
      <w:r>
        <w:noBreakHyphen/>
        <w:t>assisted diagnostics.</w:t>
      </w:r>
    </w:p>
    <w:p w14:paraId="353F90C1" w14:textId="77777777">
      <w:pPr>
        <w:jc w:val="both"/>
      </w:pPr>
    </w:p>
    <w:p w14:paraId="62A11BA5" w14:textId="77777777">
      <w:pPr>
        <w:pStyle w:val="ListParagraph"/>
        <w:numPr>
          <w:ilvl w:val="0"/>
          <w:numId w:val="10"/>
        </w:numPr>
        <w:jc w:val="both"/>
        <w:rPr>
          <w:b/>
          <w:bCs/>
        </w:rPr>
      </w:pPr>
      <w:r>
        <w:rPr>
          <w:b/>
          <w:bCs/>
        </w:rPr>
        <w:t>Target Users &amp; Personas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2844"/>
        <w:gridCol w:w="2902"/>
      </w:tblGrid>
      <w:tr w14:paraId="05EC56F3" w14:textId="77777777">
        <w:trPr>
          <w:tblHeader/>
          <w:tblCellSpacing w:w="15" w:type="dxa"/>
        </w:trPr>
        <w:tc>
          <w:tcPr>
            <w:tcW w:w="0" w:type="auto"/>
            <w:vAlign w:val="center"/>
            <w:hideMark/>
          </w:tcPr>
          <w:p w14:paraId="59AE797C" w14:textId="77777777">
            <w:pPr>
              <w:jc w:val="both"/>
              <w:rPr>
                <w:b/>
                <w:bCs/>
              </w:rPr>
            </w:pPr>
            <w:r>
              <w:rPr>
                <w:b/>
                <w:bCs/>
              </w:rPr>
              <w:t>Persona</w:t>
            </w:r>
          </w:p>
        </w:tc>
        <w:tc>
          <w:tcPr>
            <w:tcW w:w="0" w:type="auto"/>
            <w:vAlign w:val="center"/>
            <w:hideMark/>
          </w:tcPr>
          <w:p w14:paraId="15775D25" w14:textId="77777777">
            <w:pPr>
              <w:jc w:val="both"/>
              <w:rPr>
                <w:b/>
                <w:bCs/>
              </w:rPr>
            </w:pPr>
            <w:r>
              <w:rPr>
                <w:b/>
                <w:bCs/>
              </w:rPr>
              <w:t>Key Goals</w:t>
            </w:r>
          </w:p>
        </w:tc>
        <w:tc>
          <w:tcPr>
            <w:tcW w:w="0" w:type="auto"/>
            <w:vAlign w:val="center"/>
            <w:hideMark/>
          </w:tcPr>
          <w:p w14:paraId="1F3D18C7" w14:textId="77777777">
            <w:pPr>
              <w:jc w:val="both"/>
              <w:rPr>
                <w:b/>
                <w:bCs/>
              </w:rPr>
            </w:pPr>
            <w:r>
              <w:rPr>
                <w:b/>
                <w:bCs/>
              </w:rPr>
              <w:t>Pain Points</w:t>
            </w:r>
          </w:p>
        </w:tc>
      </w:tr>
      <w:tr w14:paraId="4947AB83" w14:textId="77777777">
        <w:trPr>
          <w:tblCellSpacing w:w="15" w:type="dxa"/>
        </w:trPr>
        <w:tc>
          <w:tcPr>
            <w:tcW w:w="0" w:type="auto"/>
            <w:vAlign w:val="center"/>
            <w:hideMark/>
          </w:tcPr>
          <w:p w14:paraId="56D054C9" w14:textId="77777777">
            <w:pPr>
              <w:jc w:val="both"/>
            </w:pPr>
            <w:r>
              <w:t>Doctor</w:t>
            </w:r>
          </w:p>
        </w:tc>
        <w:tc>
          <w:tcPr>
            <w:tcW w:w="0" w:type="auto"/>
            <w:vAlign w:val="center"/>
            <w:hideMark/>
          </w:tcPr>
          <w:p w14:paraId="115178D1" w14:textId="77777777">
            <w:pPr>
              <w:jc w:val="both"/>
            </w:pPr>
            <w:r>
              <w:t>Quick patient chart access</w:t>
            </w:r>
          </w:p>
        </w:tc>
        <w:tc>
          <w:tcPr>
            <w:tcW w:w="0" w:type="auto"/>
            <w:vAlign w:val="center"/>
            <w:hideMark/>
          </w:tcPr>
          <w:p w14:paraId="7D949C93" w14:textId="77777777">
            <w:pPr>
              <w:jc w:val="both"/>
            </w:pPr>
            <w:r>
              <w:t>Paper files lost, duplication</w:t>
            </w:r>
          </w:p>
        </w:tc>
      </w:tr>
      <w:tr w14:paraId="4D72C197" w14:textId="77777777">
        <w:trPr>
          <w:tblCellSpacing w:w="15" w:type="dxa"/>
        </w:trPr>
        <w:tc>
          <w:tcPr>
            <w:tcW w:w="0" w:type="auto"/>
            <w:vAlign w:val="center"/>
            <w:hideMark/>
          </w:tcPr>
          <w:p w14:paraId="5D8BA105" w14:textId="77777777">
            <w:pPr>
              <w:jc w:val="both"/>
            </w:pPr>
            <w:r>
              <w:t>Nurse</w:t>
            </w:r>
          </w:p>
        </w:tc>
        <w:tc>
          <w:tcPr>
            <w:tcW w:w="0" w:type="auto"/>
            <w:vAlign w:val="center"/>
            <w:hideMark/>
          </w:tcPr>
          <w:p w14:paraId="50AD3440" w14:textId="77777777">
            <w:pPr>
              <w:jc w:val="both"/>
            </w:pPr>
            <w:r>
              <w:t>Fast triage &amp; vitals capture</w:t>
            </w:r>
          </w:p>
        </w:tc>
        <w:tc>
          <w:tcPr>
            <w:tcW w:w="0" w:type="auto"/>
            <w:vAlign w:val="center"/>
            <w:hideMark/>
          </w:tcPr>
          <w:p w14:paraId="1FBA699F" w14:textId="77777777">
            <w:pPr>
              <w:jc w:val="both"/>
            </w:pPr>
            <w:r>
              <w:t>Re</w:t>
            </w:r>
            <w:r>
              <w:noBreakHyphen/>
              <w:t>entering data into Excel</w:t>
            </w:r>
          </w:p>
        </w:tc>
      </w:tr>
      <w:tr w14:paraId="3D6F3BAA" w14:textId="77777777">
        <w:trPr>
          <w:tblCellSpacing w:w="15" w:type="dxa"/>
        </w:trPr>
        <w:tc>
          <w:tcPr>
            <w:tcW w:w="0" w:type="auto"/>
            <w:vAlign w:val="center"/>
            <w:hideMark/>
          </w:tcPr>
          <w:p w14:paraId="4679ACF9" w14:textId="77777777">
            <w:pPr>
              <w:jc w:val="both"/>
            </w:pPr>
            <w:r>
              <w:t>Accountant</w:t>
            </w:r>
          </w:p>
        </w:tc>
        <w:tc>
          <w:tcPr>
            <w:tcW w:w="0" w:type="auto"/>
            <w:vAlign w:val="center"/>
            <w:hideMark/>
          </w:tcPr>
          <w:p w14:paraId="44EDB49B" w14:textId="77777777">
            <w:pPr>
              <w:jc w:val="both"/>
            </w:pPr>
            <w:r>
              <w:t>Same</w:t>
            </w:r>
            <w:r>
              <w:noBreakHyphen/>
              <w:t>day billing</w:t>
            </w:r>
          </w:p>
        </w:tc>
        <w:tc>
          <w:tcPr>
            <w:tcW w:w="0" w:type="auto"/>
            <w:vAlign w:val="center"/>
            <w:hideMark/>
          </w:tcPr>
          <w:p w14:paraId="6E368A94" w14:textId="77777777">
            <w:pPr>
              <w:jc w:val="both"/>
            </w:pPr>
            <w:r>
              <w:t xml:space="preserve">Manual </w:t>
            </w:r>
            <w:r>
              <w:t>S</w:t>
            </w:r>
            <w:r>
              <w:t>HIF forms</w:t>
            </w:r>
          </w:p>
        </w:tc>
      </w:tr>
      <w:tr w14:paraId="482322E9" w14:textId="77777777">
        <w:trPr>
          <w:tblCellSpacing w:w="15" w:type="dxa"/>
        </w:trPr>
        <w:tc>
          <w:tcPr>
            <w:tcW w:w="0" w:type="auto"/>
            <w:vAlign w:val="center"/>
            <w:hideMark/>
          </w:tcPr>
          <w:p w14:paraId="6F50B1CF" w14:textId="77777777">
            <w:pPr>
              <w:jc w:val="both"/>
            </w:pPr>
            <w:r>
              <w:t>Administrator</w:t>
            </w:r>
          </w:p>
        </w:tc>
        <w:tc>
          <w:tcPr>
            <w:tcW w:w="0" w:type="auto"/>
            <w:vAlign w:val="center"/>
            <w:hideMark/>
          </w:tcPr>
          <w:p w14:paraId="05C2563A" w14:textId="77777777">
            <w:pPr>
              <w:jc w:val="both"/>
            </w:pPr>
            <w:r>
              <w:t>Compliance &amp; uptime</w:t>
            </w:r>
          </w:p>
        </w:tc>
        <w:tc>
          <w:tcPr>
            <w:tcW w:w="0" w:type="auto"/>
            <w:vAlign w:val="center"/>
            <w:hideMark/>
          </w:tcPr>
          <w:p w14:paraId="0B72A4A6" w14:textId="77777777">
            <w:pPr>
              <w:jc w:val="both"/>
            </w:pPr>
            <w:r>
              <w:t>Costly proprietary EHR</w:t>
            </w:r>
          </w:p>
        </w:tc>
      </w:tr>
    </w:tbl>
    <w:p w14:paraId="06FF1DBD" w14:textId="77777777">
      <w:pPr>
        <w:jc w:val="both"/>
        <w:rPr>
          <w:b/>
          <w:bCs/>
        </w:rPr>
      </w:pPr>
    </w:p>
    <w:p w14:paraId="04248E04" w14:textId="77777777">
      <w:pPr>
        <w:pStyle w:val="ListParagraph"/>
        <w:numPr>
          <w:ilvl w:val="0"/>
          <w:numId w:val="10"/>
        </w:numPr>
        <w:jc w:val="both"/>
        <w:rPr>
          <w:b/>
          <w:bCs/>
        </w:rPr>
      </w:pPr>
      <w:r>
        <w:rPr>
          <w:b/>
          <w:bCs/>
        </w:rPr>
        <w:t>Functional Specifications</w:t>
      </w:r>
    </w:p>
    <w:p w14:paraId="0968E555" w14:textId="77777777">
      <w:pPr>
        <w:jc w:val="both"/>
      </w:pPr>
      <w:proofErr w:type="spellStart"/>
      <w:r>
        <w:t>Medimesh</w:t>
      </w:r>
      <w:proofErr w:type="spellEnd"/>
      <w:r>
        <w:t xml:space="preserve"> adheres to five guiding capabilities that keep frontline realities—spotty bandwidth, lean staffing, and strict regulation—at the heart of its design.</w:t>
      </w:r>
    </w:p>
    <w:p w14:paraId="183291FF" w14:textId="77777777">
      <w:pPr>
        <w:numPr>
          <w:ilvl w:val="0"/>
          <w:numId w:val="3"/>
        </w:numPr>
        <w:jc w:val="both"/>
      </w:pPr>
      <w:r>
        <w:rPr>
          <w:b/>
          <w:bCs/>
        </w:rPr>
        <w:t>Search</w:t>
      </w:r>
      <w:r>
        <w:rPr>
          <w:b/>
          <w:bCs/>
        </w:rPr>
        <w:noBreakHyphen/>
        <w:t>first UI</w:t>
      </w:r>
      <w:r>
        <w:t xml:space="preserve"> with global patient lookup.</w:t>
      </w:r>
      <w:r>
        <w:t xml:space="preserve"> </w:t>
      </w:r>
      <w:r>
        <w:t>A universal search bar crowns every screen, accepting a patient’s name, phone number, national ID, or medical</w:t>
      </w:r>
      <w:r>
        <w:noBreakHyphen/>
        <w:t>record number and returning results in well under 300</w:t>
      </w:r>
      <w:r>
        <w:rPr>
          <w:rFonts w:ascii="Arial" w:hAnsi="Arial" w:cs="Arial"/>
        </w:rPr>
        <w:t> </w:t>
      </w:r>
      <w:r>
        <w:t xml:space="preserve">milliseconds. Autocomplete with fuzzy logic mops up spelling errors, while </w:t>
      </w:r>
      <w:proofErr w:type="spellStart"/>
      <w:r>
        <w:t>coloured</w:t>
      </w:r>
      <w:proofErr w:type="spellEnd"/>
      <w:r>
        <w:t xml:space="preserve"> status chips reveal </w:t>
      </w:r>
      <w:proofErr w:type="gramStart"/>
      <w:r>
        <w:t>at a glance</w:t>
      </w:r>
      <w:proofErr w:type="gramEnd"/>
      <w:r>
        <w:t xml:space="preserve"> whether the patient is checked</w:t>
      </w:r>
      <w:r>
        <w:noBreakHyphen/>
        <w:t>in, awaiting triage, or overdue for review.</w:t>
      </w:r>
    </w:p>
    <w:p w14:paraId="6717AC3D" w14:textId="77777777">
      <w:pPr>
        <w:numPr>
          <w:ilvl w:val="0"/>
          <w:numId w:val="3"/>
        </w:numPr>
        <w:jc w:val="both"/>
        <w:rPr>
          <w:b/>
          <w:bCs/>
        </w:rPr>
      </w:pPr>
      <w:r>
        <w:rPr>
          <w:b/>
          <w:bCs/>
        </w:rPr>
        <w:t>Offline</w:t>
      </w:r>
      <w:r>
        <w:rPr>
          <w:b/>
          <w:bCs/>
        </w:rPr>
        <w:noBreakHyphen/>
        <w:t xml:space="preserve">first </w:t>
      </w:r>
      <w:r>
        <w:rPr>
          <w:b/>
          <w:bCs/>
        </w:rPr>
        <w:t>Progressive Web Application</w:t>
      </w:r>
      <w:r>
        <w:rPr>
          <w:b/>
          <w:bCs/>
        </w:rPr>
        <w:t xml:space="preserve"> (</w:t>
      </w:r>
      <w:r>
        <w:rPr>
          <w:b/>
          <w:bCs/>
        </w:rPr>
        <w:t>PWA</w:t>
      </w:r>
      <w:r>
        <w:rPr>
          <w:b/>
          <w:bCs/>
        </w:rPr>
        <w:t>)</w:t>
      </w:r>
      <w:r>
        <w:t>: local cache for intermittent Internet.</w:t>
      </w:r>
      <w:r>
        <w:t xml:space="preserve"> </w:t>
      </w:r>
      <w:r>
        <w:t>Internet drops should not derail care. The client installs like a native app on Android phones, entry</w:t>
      </w:r>
      <w:r>
        <w:noBreakHyphen/>
        <w:t xml:space="preserve">level tablets, or desktop browsers, storing encrypted data locally via </w:t>
      </w:r>
      <w:proofErr w:type="spellStart"/>
      <w:r>
        <w:t>IndexedDB</w:t>
      </w:r>
      <w:proofErr w:type="spellEnd"/>
      <w:r>
        <w:t xml:space="preserve">. Clinicians keep charting; once even a trickle of connectivity returns, </w:t>
      </w:r>
      <w:proofErr w:type="spellStart"/>
      <w:r>
        <w:t>Medimesh</w:t>
      </w:r>
      <w:proofErr w:type="spellEnd"/>
      <w:r>
        <w:t xml:space="preserve"> syncs the delta in the background, merging edits safely and surfacing any conflicts for human review.</w:t>
      </w:r>
    </w:p>
    <w:p w14:paraId="1237A0BD" w14:textId="77777777">
      <w:pPr>
        <w:numPr>
          <w:ilvl w:val="0"/>
          <w:numId w:val="3"/>
        </w:numPr>
        <w:jc w:val="both"/>
      </w:pPr>
      <w:r>
        <w:rPr>
          <w:b/>
          <w:bCs/>
        </w:rPr>
        <w:t>Template</w:t>
      </w:r>
      <w:r>
        <w:rPr>
          <w:b/>
          <w:bCs/>
        </w:rPr>
        <w:noBreakHyphen/>
        <w:t>driven notes</w:t>
      </w:r>
      <w:r>
        <w:t xml:space="preserve"> (SOAP, LOINC codes)</w:t>
      </w:r>
      <w:r>
        <w:t xml:space="preserve">: </w:t>
      </w:r>
      <w:r>
        <w:t>Charting follows the familiar Subjective</w:t>
      </w:r>
      <w:r>
        <w:noBreakHyphen/>
        <w:t>Objective</w:t>
      </w:r>
      <w:r>
        <w:noBreakHyphen/>
        <w:t>Assessment</w:t>
      </w:r>
      <w:r>
        <w:noBreakHyphen/>
        <w:t>Plan (SOAP) framework, but each field is bound to a code from the Logical Observation Identifiers</w:t>
      </w:r>
      <w:r>
        <w:rPr>
          <w:rFonts w:ascii="Arial" w:hAnsi="Arial" w:cs="Arial"/>
        </w:rPr>
        <w:t> </w:t>
      </w:r>
      <w:r>
        <w:t>Names</w:t>
      </w:r>
      <w:r>
        <w:rPr>
          <w:rFonts w:ascii="Arial" w:hAnsi="Arial" w:cs="Arial"/>
        </w:rPr>
        <w:t> </w:t>
      </w:r>
      <w:r>
        <w:t>and</w:t>
      </w:r>
      <w:r>
        <w:rPr>
          <w:rFonts w:ascii="Arial" w:hAnsi="Arial" w:cs="Arial"/>
        </w:rPr>
        <w:t> </w:t>
      </w:r>
      <w:r>
        <w:t xml:space="preserve">Codes (LOINC) standard. </w:t>
      </w:r>
      <w:r>
        <w:lastRenderedPageBreak/>
        <w:t>This transforms narrative entries into structured data ready for decision support engines and national surveillance feeds. A drag</w:t>
      </w:r>
      <w:r>
        <w:noBreakHyphen/>
        <w:t>and</w:t>
      </w:r>
      <w:r>
        <w:noBreakHyphen/>
        <w:t>drop designer lets department heads tweak templates</w:t>
      </w:r>
      <w:r>
        <w:rPr>
          <w:rFonts w:ascii="Aptos" w:hAnsi="Aptos" w:cs="Aptos"/>
        </w:rPr>
        <w:t>—</w:t>
      </w:r>
      <w:r>
        <w:t>e.g., dental girds, obstetric scores</w:t>
      </w:r>
      <w:r>
        <w:rPr>
          <w:rFonts w:ascii="Aptos" w:hAnsi="Aptos" w:cs="Aptos"/>
        </w:rPr>
        <w:t>—</w:t>
      </w:r>
      <w:r>
        <w:t>without writing code.</w:t>
      </w:r>
    </w:p>
    <w:p w14:paraId="7B1E40CF" w14:textId="77777777">
      <w:pPr>
        <w:numPr>
          <w:ilvl w:val="0"/>
          <w:numId w:val="3"/>
        </w:numPr>
        <w:jc w:val="both"/>
      </w:pPr>
      <w:r>
        <w:rPr>
          <w:b/>
          <w:bCs/>
        </w:rPr>
        <w:t>Granular audit trail</w:t>
      </w:r>
      <w:r>
        <w:t xml:space="preserve"> on every update</w:t>
      </w:r>
      <w:r>
        <w:t>:</w:t>
      </w:r>
      <w:r>
        <w:rPr>
          <w:rFonts w:ascii="Times New Roman" w:eastAsia="Times New Roman" w:hAnsi="Times New Roman" w:cs="Times New Roman"/>
          <w:kern w:val="0"/>
          <w14:ligatures w14:val="none"/>
        </w:rPr>
        <w:t xml:space="preserve"> </w:t>
      </w:r>
      <w:r>
        <w:t>Every create, read, update, and delete operation fires an event that captures the acting user, timestamp, endpoint, and a cryptographic hash of the before</w:t>
      </w:r>
      <w:r>
        <w:noBreakHyphen/>
        <w:t>and</w:t>
      </w:r>
      <w:r>
        <w:noBreakHyphen/>
        <w:t>after payload. These immutable logs reside in a Write</w:t>
      </w:r>
      <w:r>
        <w:noBreakHyphen/>
        <w:t>Once</w:t>
      </w:r>
      <w:r>
        <w:noBreakHyphen/>
        <w:t>Read</w:t>
      </w:r>
      <w:r>
        <w:noBreakHyphen/>
        <w:t xml:space="preserve">Many (WORM) </w:t>
      </w:r>
      <w:proofErr w:type="gramStart"/>
      <w:r>
        <w:t>dataset</w:t>
      </w:r>
      <w:proofErr w:type="gramEnd"/>
      <w:r>
        <w:t xml:space="preserve"> on Zettabyte File System (ZFS), satisfying the evidentiary bar of the Kenya Data Protection Act</w:t>
      </w:r>
      <w:r>
        <w:rPr>
          <w:rFonts w:ascii="Arial" w:hAnsi="Arial" w:cs="Arial"/>
        </w:rPr>
        <w:t> </w:t>
      </w:r>
      <w:r>
        <w:t>2019 and, by extension, Health Insurance Portability and Accountability Act (HIPAA) requirements should the clinic ever expand to international research collaborations.</w:t>
      </w:r>
    </w:p>
    <w:p w14:paraId="52A93059" w14:textId="77777777">
      <w:pPr>
        <w:numPr>
          <w:ilvl w:val="0"/>
          <w:numId w:val="3"/>
        </w:numPr>
        <w:jc w:val="both"/>
      </w:pPr>
      <w:r>
        <w:rPr>
          <w:b/>
          <w:bCs/>
        </w:rPr>
        <w:t>Multi</w:t>
      </w:r>
      <w:r>
        <w:rPr>
          <w:b/>
          <w:bCs/>
        </w:rPr>
        <w:noBreakHyphen/>
        <w:t>tenant mode</w:t>
      </w:r>
      <w:r>
        <w:t xml:space="preserve"> flagged off until Phase III.</w:t>
      </w:r>
      <w:r>
        <w:t xml:space="preserve"> T</w:t>
      </w:r>
      <w:r>
        <w:t>he pilot will run in single</w:t>
      </w:r>
      <w:r>
        <w:noBreakHyphen/>
        <w:t>clinic mode for operational simplicity, yet the codebase already prefixes every table with a tenant identifier, and JSON Web Tokens (JWTs) carry a tenant claim. Flipping the feature flag in Phase</w:t>
      </w:r>
      <w:r>
        <w:rPr>
          <w:rFonts w:ascii="Arial" w:hAnsi="Arial" w:cs="Arial"/>
        </w:rPr>
        <w:t> </w:t>
      </w:r>
      <w:r>
        <w:t>III will allow many facilities to co</w:t>
      </w:r>
      <w:r>
        <w:noBreakHyphen/>
        <w:t>exist on a single cloud cluster</w:t>
      </w:r>
      <w:r>
        <w:rPr>
          <w:rFonts w:ascii="Aptos" w:hAnsi="Aptos" w:cs="Aptos"/>
        </w:rPr>
        <w:t>—</w:t>
      </w:r>
      <w:r>
        <w:t>each seeing only its own data</w:t>
      </w:r>
      <w:r>
        <w:rPr>
          <w:rFonts w:ascii="Aptos" w:hAnsi="Aptos" w:cs="Aptos"/>
        </w:rPr>
        <w:t>—</w:t>
      </w:r>
      <w:r>
        <w:t>opening the door to group purchasing power and shared analytics.</w:t>
      </w:r>
    </w:p>
    <w:p w14:paraId="3FB09695" w14:textId="77777777">
      <w:pPr>
        <w:jc w:val="both"/>
      </w:pPr>
    </w:p>
    <w:p w14:paraId="748D9A35" w14:textId="77777777">
      <w:pPr>
        <w:pStyle w:val="ListParagraph"/>
        <w:numPr>
          <w:ilvl w:val="0"/>
          <w:numId w:val="10"/>
        </w:numPr>
        <w:jc w:val="both"/>
        <w:rPr>
          <w:b/>
          <w:bCs/>
        </w:rPr>
      </w:pPr>
      <w:r>
        <w:rPr>
          <w:b/>
          <w:bCs/>
        </w:rPr>
        <w:t>Non</w:t>
      </w:r>
      <w:r>
        <w:rPr>
          <w:b/>
          <w:bCs/>
        </w:rPr>
        <w:noBreakHyphen/>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6336"/>
      </w:tblGrid>
      <w:tr w14:paraId="1B0FF756" w14:textId="77777777">
        <w:trPr>
          <w:tblHeader/>
          <w:tblCellSpacing w:w="15" w:type="dxa"/>
        </w:trPr>
        <w:tc>
          <w:tcPr>
            <w:tcW w:w="0" w:type="auto"/>
            <w:vAlign w:val="center"/>
            <w:hideMark/>
          </w:tcPr>
          <w:p w14:paraId="7761D96A" w14:textId="77777777">
            <w:pPr>
              <w:jc w:val="both"/>
              <w:rPr>
                <w:b/>
                <w:bCs/>
              </w:rPr>
            </w:pPr>
            <w:r>
              <w:rPr>
                <w:b/>
                <w:bCs/>
              </w:rPr>
              <w:t>Category</w:t>
            </w:r>
          </w:p>
        </w:tc>
        <w:tc>
          <w:tcPr>
            <w:tcW w:w="0" w:type="auto"/>
            <w:vAlign w:val="center"/>
            <w:hideMark/>
          </w:tcPr>
          <w:p w14:paraId="7FDEA294" w14:textId="77777777">
            <w:pPr>
              <w:jc w:val="both"/>
              <w:rPr>
                <w:b/>
                <w:bCs/>
              </w:rPr>
            </w:pPr>
            <w:r>
              <w:rPr>
                <w:b/>
                <w:bCs/>
              </w:rPr>
              <w:t>Requirement</w:t>
            </w:r>
          </w:p>
        </w:tc>
      </w:tr>
      <w:tr w14:paraId="27380052" w14:textId="77777777">
        <w:trPr>
          <w:tblCellSpacing w:w="15" w:type="dxa"/>
        </w:trPr>
        <w:tc>
          <w:tcPr>
            <w:tcW w:w="0" w:type="auto"/>
            <w:vAlign w:val="center"/>
            <w:hideMark/>
          </w:tcPr>
          <w:p w14:paraId="4E90638D" w14:textId="77777777">
            <w:pPr>
              <w:jc w:val="both"/>
            </w:pPr>
            <w:r>
              <w:t>Performance</w:t>
            </w:r>
          </w:p>
        </w:tc>
        <w:tc>
          <w:tcPr>
            <w:tcW w:w="0" w:type="auto"/>
            <w:vAlign w:val="center"/>
            <w:hideMark/>
          </w:tcPr>
          <w:p w14:paraId="1447F2BD" w14:textId="77777777">
            <w:pPr>
              <w:jc w:val="both"/>
            </w:pPr>
            <w:r>
              <w:t>≤</w:t>
            </w:r>
            <w:r>
              <w:rPr>
                <w:rFonts w:ascii="Arial" w:hAnsi="Arial" w:cs="Arial"/>
              </w:rPr>
              <w:t> </w:t>
            </w:r>
            <w:r>
              <w:t>300</w:t>
            </w:r>
            <w:r>
              <w:rPr>
                <w:rFonts w:ascii="Arial" w:hAnsi="Arial" w:cs="Arial"/>
              </w:rPr>
              <w:t> </w:t>
            </w:r>
            <w:proofErr w:type="spellStart"/>
            <w:r>
              <w:t>ms</w:t>
            </w:r>
            <w:proofErr w:type="spellEnd"/>
            <w:r>
              <w:t xml:space="preserve"> median API latency, 100</w:t>
            </w:r>
            <w:r>
              <w:rPr>
                <w:rFonts w:ascii="Arial" w:hAnsi="Arial" w:cs="Arial"/>
              </w:rPr>
              <w:t> </w:t>
            </w:r>
            <w:r>
              <w:t>concurrent users</w:t>
            </w:r>
          </w:p>
        </w:tc>
      </w:tr>
      <w:tr w14:paraId="271CF015" w14:textId="77777777">
        <w:trPr>
          <w:tblCellSpacing w:w="15" w:type="dxa"/>
        </w:trPr>
        <w:tc>
          <w:tcPr>
            <w:tcW w:w="0" w:type="auto"/>
            <w:vAlign w:val="center"/>
            <w:hideMark/>
          </w:tcPr>
          <w:p w14:paraId="2A712474" w14:textId="77777777">
            <w:pPr>
              <w:jc w:val="both"/>
            </w:pPr>
            <w:r>
              <w:t>Availability</w:t>
            </w:r>
          </w:p>
        </w:tc>
        <w:tc>
          <w:tcPr>
            <w:tcW w:w="0" w:type="auto"/>
            <w:vAlign w:val="center"/>
            <w:hideMark/>
          </w:tcPr>
          <w:p w14:paraId="519047BD" w14:textId="77777777">
            <w:pPr>
              <w:jc w:val="both"/>
            </w:pPr>
            <w:r>
              <w:t>99.5</w:t>
            </w:r>
            <w:r>
              <w:rPr>
                <w:rFonts w:ascii="Arial" w:hAnsi="Arial" w:cs="Arial"/>
              </w:rPr>
              <w:t> </w:t>
            </w:r>
            <w:r>
              <w:t>% (single</w:t>
            </w:r>
            <w:r>
              <w:noBreakHyphen/>
              <w:t>site), 24/7 support SLA</w:t>
            </w:r>
          </w:p>
        </w:tc>
      </w:tr>
      <w:tr w14:paraId="73170D06" w14:textId="77777777">
        <w:trPr>
          <w:tblCellSpacing w:w="15" w:type="dxa"/>
        </w:trPr>
        <w:tc>
          <w:tcPr>
            <w:tcW w:w="0" w:type="auto"/>
            <w:vAlign w:val="center"/>
            <w:hideMark/>
          </w:tcPr>
          <w:p w14:paraId="1C3327FA" w14:textId="77777777">
            <w:pPr>
              <w:jc w:val="both"/>
            </w:pPr>
            <w:r>
              <w:t>Security</w:t>
            </w:r>
          </w:p>
        </w:tc>
        <w:tc>
          <w:tcPr>
            <w:tcW w:w="0" w:type="auto"/>
            <w:vAlign w:val="center"/>
            <w:hideMark/>
          </w:tcPr>
          <w:p w14:paraId="71916D32" w14:textId="77777777">
            <w:pPr>
              <w:jc w:val="both"/>
            </w:pPr>
            <w:r>
              <w:t>AES</w:t>
            </w:r>
            <w:r>
              <w:noBreakHyphen/>
              <w:t>256 at rest, TLS</w:t>
            </w:r>
            <w:r>
              <w:rPr>
                <w:rFonts w:ascii="Arial" w:hAnsi="Arial" w:cs="Arial"/>
              </w:rPr>
              <w:t> </w:t>
            </w:r>
            <w:r>
              <w:t>1.3 in transit, OWASP</w:t>
            </w:r>
            <w:r>
              <w:rPr>
                <w:rFonts w:ascii="Aptos" w:hAnsi="Aptos" w:cs="Aptos"/>
              </w:rPr>
              <w:t> </w:t>
            </w:r>
            <w:r>
              <w:t>Top</w:t>
            </w:r>
            <w:r>
              <w:noBreakHyphen/>
              <w:t>10 mitigations</w:t>
            </w:r>
          </w:p>
        </w:tc>
      </w:tr>
      <w:tr w14:paraId="71822E37" w14:textId="77777777">
        <w:trPr>
          <w:tblCellSpacing w:w="15" w:type="dxa"/>
        </w:trPr>
        <w:tc>
          <w:tcPr>
            <w:tcW w:w="0" w:type="auto"/>
            <w:vAlign w:val="center"/>
            <w:hideMark/>
          </w:tcPr>
          <w:p w14:paraId="565B94BE" w14:textId="77777777">
            <w:pPr>
              <w:jc w:val="both"/>
            </w:pPr>
            <w:r>
              <w:t>Compliance</w:t>
            </w:r>
          </w:p>
        </w:tc>
        <w:tc>
          <w:tcPr>
            <w:tcW w:w="0" w:type="auto"/>
            <w:vAlign w:val="center"/>
            <w:hideMark/>
          </w:tcPr>
          <w:p w14:paraId="126616B7" w14:textId="77777777">
            <w:pPr>
              <w:jc w:val="both"/>
            </w:pPr>
            <w:r>
              <w:t>Kenya DPA 2019, MOH EMR standards, HIPAA parity</w:t>
            </w:r>
          </w:p>
        </w:tc>
      </w:tr>
      <w:tr w14:paraId="2DC11542" w14:textId="77777777">
        <w:trPr>
          <w:tblCellSpacing w:w="15" w:type="dxa"/>
        </w:trPr>
        <w:tc>
          <w:tcPr>
            <w:tcW w:w="0" w:type="auto"/>
            <w:vAlign w:val="center"/>
            <w:hideMark/>
          </w:tcPr>
          <w:p w14:paraId="2A33D59D" w14:textId="77777777">
            <w:pPr>
              <w:jc w:val="both"/>
            </w:pPr>
            <w:r>
              <w:t>Scalability</w:t>
            </w:r>
          </w:p>
        </w:tc>
        <w:tc>
          <w:tcPr>
            <w:tcW w:w="0" w:type="auto"/>
            <w:vAlign w:val="center"/>
            <w:hideMark/>
          </w:tcPr>
          <w:p w14:paraId="2196B597" w14:textId="77777777">
            <w:pPr>
              <w:jc w:val="both"/>
            </w:pPr>
            <w:r>
              <w:t>Linear scale to 10 clinics (Phase III)</w:t>
            </w:r>
          </w:p>
        </w:tc>
      </w:tr>
      <w:tr w14:paraId="215FBE0F" w14:textId="77777777">
        <w:trPr>
          <w:tblCellSpacing w:w="15" w:type="dxa"/>
        </w:trPr>
        <w:tc>
          <w:tcPr>
            <w:tcW w:w="0" w:type="auto"/>
            <w:vAlign w:val="center"/>
            <w:hideMark/>
          </w:tcPr>
          <w:p w14:paraId="63594FAE" w14:textId="77777777">
            <w:pPr>
              <w:jc w:val="both"/>
            </w:pPr>
            <w:r>
              <w:t>Observability</w:t>
            </w:r>
          </w:p>
        </w:tc>
        <w:tc>
          <w:tcPr>
            <w:tcW w:w="0" w:type="auto"/>
            <w:vAlign w:val="center"/>
            <w:hideMark/>
          </w:tcPr>
          <w:p w14:paraId="7452A3B8" w14:textId="77777777">
            <w:pPr>
              <w:jc w:val="both"/>
            </w:pPr>
            <w:r>
              <w:t>Prometheus metrics, Grafana dashboards, Loki logs</w:t>
            </w:r>
          </w:p>
        </w:tc>
      </w:tr>
    </w:tbl>
    <w:p w14:paraId="710B14CC" w14:textId="77777777">
      <w:pPr>
        <w:jc w:val="both"/>
        <w:rPr>
          <w:rFonts w:ascii="Aptos" w:hAnsi="Aptos" w:cs="Aptos"/>
          <w:b/>
          <w:bCs/>
        </w:rPr>
      </w:pPr>
    </w:p>
    <w:p w14:paraId="5129BDA9" w14:textId="77777777">
      <w:pPr>
        <w:jc w:val="both"/>
        <w:rPr>
          <w:rFonts w:ascii="Aptos" w:hAnsi="Aptos" w:cs="Aptos"/>
          <w:b/>
          <w:bCs/>
        </w:rPr>
      </w:pPr>
    </w:p>
    <w:p w14:paraId="495DD76F" w14:textId="77777777">
      <w:pPr>
        <w:jc w:val="both"/>
        <w:rPr>
          <w:rFonts w:ascii="Aptos" w:hAnsi="Aptos" w:cs="Aptos"/>
          <w:b/>
          <w:bCs/>
        </w:rPr>
      </w:pPr>
    </w:p>
    <w:p w14:paraId="301E8B67" w14:textId="77777777">
      <w:pPr>
        <w:jc w:val="both"/>
        <w:rPr>
          <w:rFonts w:ascii="Aptos" w:hAnsi="Aptos" w:cs="Aptos"/>
          <w:b/>
          <w:bCs/>
        </w:rPr>
      </w:pPr>
    </w:p>
    <w:p w14:paraId="1ED6AC3C" w14:textId="77777777">
      <w:pPr>
        <w:pStyle w:val="ListParagraph"/>
        <w:numPr>
          <w:ilvl w:val="0"/>
          <w:numId w:val="10"/>
        </w:numPr>
        <w:jc w:val="both"/>
        <w:rPr>
          <w:b/>
          <w:bCs/>
        </w:rPr>
      </w:pPr>
      <w:r>
        <w:rPr>
          <w:b/>
          <w:bCs/>
        </w:rPr>
        <w:lastRenderedPageBreak/>
        <w:t>Technical Architecture</w:t>
      </w:r>
    </w:p>
    <w:p w14:paraId="2C9A4E05" w14:textId="77777777">
      <w:pPr>
        <w:pStyle w:val="ListParagraph"/>
        <w:numPr>
          <w:ilvl w:val="1"/>
          <w:numId w:val="10"/>
        </w:numPr>
        <w:jc w:val="both"/>
        <w:rPr>
          <w:b/>
          <w:bCs/>
        </w:rPr>
      </w:pPr>
      <w:r>
        <w:rPr>
          <w:b/>
          <w:bCs/>
        </w:rPr>
        <w:t>Logical View</w:t>
      </w:r>
    </w:p>
    <w:p w14:paraId="36AFCF96" w14:textId="77777777">
      <w:pPr>
        <w:jc w:val="both"/>
      </w:pPr>
      <w:r>
        <w:rPr>
          <w:i/>
          <w:iCs/>
        </w:rPr>
        <w:t>(See appendix A for full draw.io code)</w:t>
      </w:r>
    </w:p>
    <w:p w14:paraId="11BB890F" w14:textId="77777777">
      <w:pPr>
        <w:jc w:val="both"/>
      </w:pPr>
      <w:r>
        <w:t>[React PWA] ←→ [API Gateway: Apache APISIX] ←→ [Microservices (K3s)]</w:t>
      </w:r>
    </w:p>
    <w:p w14:paraId="6285B693" w14:textId="77777777">
      <w:pPr>
        <w:jc w:val="both"/>
      </w:pPr>
      <w:r>
        <w:t xml:space="preserve">                 </w:t>
      </w:r>
      <w:r>
        <w:rPr>
          <w:rFonts w:ascii="MS Gothic" w:eastAsia="MS Gothic" w:hAnsi="MS Gothic" w:cs="MS Gothic" w:hint="eastAsia"/>
        </w:rPr>
        <w:t>├</w:t>
      </w:r>
      <w:r>
        <w:rPr>
          <w:rFonts w:ascii="Aptos" w:hAnsi="Aptos" w:cs="Aptos"/>
        </w:rPr>
        <w:t>──</w:t>
      </w:r>
      <w:r>
        <w:t xml:space="preserve"> Patient</w:t>
      </w:r>
      <w:r>
        <w:noBreakHyphen/>
        <w:t>svc</w:t>
      </w:r>
      <w:r>
        <w:rPr>
          <w:rFonts w:ascii="Aptos" w:hAnsi="Aptos" w:cs="Aptos"/>
        </w:rPr>
        <w:t> </w:t>
      </w:r>
      <w:r>
        <w:t>(</w:t>
      </w:r>
      <w:proofErr w:type="spellStart"/>
      <w:r>
        <w:t>FastAPI+SQLModel</w:t>
      </w:r>
      <w:proofErr w:type="spellEnd"/>
      <w:r>
        <w:t>)</w:t>
      </w:r>
    </w:p>
    <w:p w14:paraId="3EBA1319" w14:textId="77777777">
      <w:pPr>
        <w:jc w:val="both"/>
      </w:pPr>
      <w:r>
        <w:t xml:space="preserve">                 </w:t>
      </w:r>
      <w:r>
        <w:rPr>
          <w:rFonts w:ascii="MS Gothic" w:eastAsia="MS Gothic" w:hAnsi="MS Gothic" w:cs="MS Gothic" w:hint="eastAsia"/>
        </w:rPr>
        <w:t>├</w:t>
      </w:r>
      <w:r>
        <w:rPr>
          <w:rFonts w:ascii="Aptos" w:hAnsi="Aptos" w:cs="Aptos"/>
        </w:rPr>
        <w:t>──</w:t>
      </w:r>
      <w:r>
        <w:t xml:space="preserve"> Billing</w:t>
      </w:r>
      <w:r>
        <w:noBreakHyphen/>
        <w:t>svc</w:t>
      </w:r>
      <w:r>
        <w:rPr>
          <w:rFonts w:ascii="Aptos" w:hAnsi="Aptos" w:cs="Aptos"/>
        </w:rPr>
        <w:t> </w:t>
      </w:r>
      <w:r>
        <w:t>(</w:t>
      </w:r>
      <w:proofErr w:type="spellStart"/>
      <w:r>
        <w:t>FastAPI</w:t>
      </w:r>
      <w:proofErr w:type="spellEnd"/>
      <w:r>
        <w:t>)</w:t>
      </w:r>
    </w:p>
    <w:p w14:paraId="037B7CEE" w14:textId="77777777">
      <w:pPr>
        <w:jc w:val="both"/>
      </w:pPr>
      <w:r>
        <w:t xml:space="preserve">                 </w:t>
      </w:r>
      <w:r>
        <w:rPr>
          <w:rFonts w:ascii="MS Gothic" w:eastAsia="MS Gothic" w:hAnsi="MS Gothic" w:cs="MS Gothic" w:hint="eastAsia"/>
        </w:rPr>
        <w:t>├</w:t>
      </w:r>
      <w:r>
        <w:rPr>
          <w:rFonts w:ascii="Aptos" w:hAnsi="Aptos" w:cs="Aptos"/>
        </w:rPr>
        <w:t>──</w:t>
      </w:r>
      <w:r>
        <w:t xml:space="preserve"> Analytics</w:t>
      </w:r>
      <w:r>
        <w:noBreakHyphen/>
        <w:t>svc</w:t>
      </w:r>
      <w:r>
        <w:rPr>
          <w:rFonts w:ascii="Aptos" w:hAnsi="Aptos" w:cs="Aptos"/>
        </w:rPr>
        <w:t> </w:t>
      </w:r>
      <w:r>
        <w:t>(Flask/Superset)</w:t>
      </w:r>
    </w:p>
    <w:p w14:paraId="33745795" w14:textId="77777777">
      <w:pPr>
        <w:jc w:val="both"/>
      </w:pPr>
      <w:r>
        <w:t xml:space="preserve">                 └── Auth</w:t>
      </w:r>
      <w:r>
        <w:noBreakHyphen/>
        <w:t>svc (</w:t>
      </w:r>
      <w:proofErr w:type="spellStart"/>
      <w:r>
        <w:t>Keycloak</w:t>
      </w:r>
      <w:proofErr w:type="spellEnd"/>
      <w:r>
        <w:t>)</w:t>
      </w:r>
    </w:p>
    <w:p w14:paraId="1150AD8C" w14:textId="77777777">
      <w:pPr>
        <w:jc w:val="both"/>
      </w:pPr>
    </w:p>
    <w:p w14:paraId="5F1E9319" w14:textId="77777777">
      <w:pPr>
        <w:jc w:val="both"/>
      </w:pPr>
      <w:r>
        <w:t>[Data Layer on </w:t>
      </w:r>
      <w:proofErr w:type="spellStart"/>
      <w:r>
        <w:t>TrueNAS</w:t>
      </w:r>
      <w:proofErr w:type="spellEnd"/>
      <w:r>
        <w:rPr>
          <w:rFonts w:ascii="Arial" w:hAnsi="Arial" w:cs="Arial"/>
        </w:rPr>
        <w:t> </w:t>
      </w:r>
      <w:r>
        <w:t>SCALE]</w:t>
      </w:r>
    </w:p>
    <w:p w14:paraId="32FE0B9C" w14:textId="77777777">
      <w:pPr>
        <w:jc w:val="both"/>
      </w:pPr>
      <w:r>
        <w:t xml:space="preserve">  </w:t>
      </w:r>
      <w:r>
        <w:rPr>
          <w:rFonts w:ascii="MS Gothic" w:eastAsia="MS Gothic" w:hAnsi="MS Gothic" w:cs="MS Gothic" w:hint="eastAsia"/>
        </w:rPr>
        <w:t>├</w:t>
      </w:r>
      <w:r>
        <w:rPr>
          <w:rFonts w:ascii="Aptos" w:hAnsi="Aptos" w:cs="Aptos"/>
        </w:rPr>
        <w:t>──</w:t>
      </w:r>
      <w:r>
        <w:t xml:space="preserve"> PostgreSQL 15</w:t>
      </w:r>
      <w:r>
        <w:t> </w:t>
      </w:r>
      <w:r>
        <w:t>(clinical OLTP)</w:t>
      </w:r>
    </w:p>
    <w:p w14:paraId="57103E3B" w14:textId="77777777">
      <w:pPr>
        <w:jc w:val="both"/>
      </w:pPr>
      <w:r>
        <w:t xml:space="preserve">  </w:t>
      </w:r>
      <w:r>
        <w:rPr>
          <w:rFonts w:ascii="MS Gothic" w:eastAsia="MS Gothic" w:hAnsi="MS Gothic" w:cs="MS Gothic" w:hint="eastAsia"/>
        </w:rPr>
        <w:t>├</w:t>
      </w:r>
      <w:r>
        <w:rPr>
          <w:rFonts w:ascii="Aptos" w:hAnsi="Aptos" w:cs="Aptos"/>
        </w:rPr>
        <w:t>──</w:t>
      </w:r>
      <w:r>
        <w:t xml:space="preserve"> Apache</w:t>
      </w:r>
      <w:r>
        <w:rPr>
          <w:rFonts w:ascii="Aptos" w:hAnsi="Aptos" w:cs="Aptos"/>
        </w:rPr>
        <w:t> </w:t>
      </w:r>
      <w:r>
        <w:t xml:space="preserve">Iceberg (analytics </w:t>
      </w:r>
      <w:proofErr w:type="spellStart"/>
      <w:r>
        <w:t>lakehouse</w:t>
      </w:r>
      <w:proofErr w:type="spellEnd"/>
      <w:r>
        <w:t>)</w:t>
      </w:r>
    </w:p>
    <w:p w14:paraId="2530401E" w14:textId="77777777">
      <w:pPr>
        <w:jc w:val="both"/>
      </w:pPr>
      <w:r>
        <w:t xml:space="preserve">  </w:t>
      </w:r>
      <w:r>
        <w:rPr>
          <w:rFonts w:ascii="MS Gothic" w:eastAsia="MS Gothic" w:hAnsi="MS Gothic" w:cs="MS Gothic" w:hint="eastAsia"/>
        </w:rPr>
        <w:t>├</w:t>
      </w:r>
      <w:r>
        <w:rPr>
          <w:rFonts w:ascii="Aptos" w:hAnsi="Aptos" w:cs="Aptos"/>
        </w:rPr>
        <w:t>──</w:t>
      </w:r>
      <w:r>
        <w:t xml:space="preserve"> </w:t>
      </w:r>
      <w:proofErr w:type="spellStart"/>
      <w:r>
        <w:t>MinIO</w:t>
      </w:r>
      <w:proofErr w:type="spellEnd"/>
      <w:r>
        <w:rPr>
          <w:rFonts w:ascii="Aptos" w:hAnsi="Aptos" w:cs="Aptos"/>
        </w:rPr>
        <w:t>      </w:t>
      </w:r>
      <w:proofErr w:type="gramStart"/>
      <w:r>
        <w:rPr>
          <w:rFonts w:ascii="Aptos" w:hAnsi="Aptos" w:cs="Aptos"/>
        </w:rPr>
        <w:t>   </w:t>
      </w:r>
      <w:r>
        <w:t>(</w:t>
      </w:r>
      <w:proofErr w:type="gramEnd"/>
      <w:r>
        <w:t>S3 object store)</w:t>
      </w:r>
    </w:p>
    <w:p w14:paraId="47187AD7" w14:textId="77777777">
      <w:pPr>
        <w:jc w:val="both"/>
      </w:pPr>
      <w:r>
        <w:t xml:space="preserve">  └── Redis      </w:t>
      </w:r>
      <w:proofErr w:type="gramStart"/>
      <w:r>
        <w:t>   (caching</w:t>
      </w:r>
      <w:proofErr w:type="gramEnd"/>
      <w:r>
        <w:t>, pub/sub)</w:t>
      </w:r>
    </w:p>
    <w:p w14:paraId="112D6FF0" w14:textId="77777777">
      <w:pPr>
        <w:jc w:val="both"/>
      </w:pPr>
    </w:p>
    <w:p w14:paraId="172BF7E6" w14:textId="77777777">
      <w:pPr>
        <w:pStyle w:val="ListParagraph"/>
        <w:numPr>
          <w:ilvl w:val="1"/>
          <w:numId w:val="10"/>
        </w:numPr>
        <w:jc w:val="both"/>
        <w:rPr>
          <w:b/>
          <w:bCs/>
        </w:rPr>
      </w:pPr>
      <w:r>
        <w:rPr>
          <w:b/>
          <w:bCs/>
        </w:rPr>
        <w:t>Deployment Topology</w:t>
      </w:r>
    </w:p>
    <w:p w14:paraId="0CD1DE64" w14:textId="77777777">
      <w:pPr>
        <w:numPr>
          <w:ilvl w:val="0"/>
          <w:numId w:val="4"/>
        </w:numPr>
        <w:jc w:val="both"/>
      </w:pPr>
      <w:r>
        <w:rPr>
          <w:b/>
          <w:bCs/>
        </w:rPr>
        <w:t xml:space="preserve">Single </w:t>
      </w:r>
      <w:proofErr w:type="spellStart"/>
      <w:r>
        <w:rPr>
          <w:b/>
          <w:bCs/>
        </w:rPr>
        <w:t>TrueNAS</w:t>
      </w:r>
      <w:proofErr w:type="spellEnd"/>
      <w:r>
        <w:rPr>
          <w:rFonts w:ascii="Arial" w:hAnsi="Arial" w:cs="Arial"/>
          <w:b/>
          <w:bCs/>
        </w:rPr>
        <w:t> </w:t>
      </w:r>
      <w:r>
        <w:rPr>
          <w:b/>
          <w:bCs/>
        </w:rPr>
        <w:t>SCALE node (128</w:t>
      </w:r>
      <w:r>
        <w:rPr>
          <w:rFonts w:ascii="Arial" w:hAnsi="Arial" w:cs="Arial"/>
          <w:b/>
          <w:bCs/>
        </w:rPr>
        <w:t> </w:t>
      </w:r>
      <w:r>
        <w:rPr>
          <w:b/>
          <w:bCs/>
        </w:rPr>
        <w:t>GB</w:t>
      </w:r>
      <w:r>
        <w:rPr>
          <w:rFonts w:ascii="Aptos" w:hAnsi="Aptos" w:cs="Aptos"/>
          <w:b/>
          <w:bCs/>
        </w:rPr>
        <w:t> </w:t>
      </w:r>
      <w:r>
        <w:rPr>
          <w:b/>
          <w:bCs/>
        </w:rPr>
        <w:t>RAM, 16</w:t>
      </w:r>
      <w:r>
        <w:rPr>
          <w:b/>
          <w:bCs/>
        </w:rPr>
        <w:noBreakHyphen/>
        <w:t>core</w:t>
      </w:r>
      <w:r>
        <w:rPr>
          <w:rFonts w:ascii="Aptos" w:hAnsi="Aptos" w:cs="Aptos"/>
          <w:b/>
          <w:bCs/>
        </w:rPr>
        <w:t> </w:t>
      </w:r>
      <w:r>
        <w:rPr>
          <w:b/>
          <w:bCs/>
        </w:rPr>
        <w:t>CPU, 40</w:t>
      </w:r>
      <w:r>
        <w:rPr>
          <w:rFonts w:ascii="Arial" w:hAnsi="Arial" w:cs="Arial"/>
          <w:b/>
          <w:bCs/>
        </w:rPr>
        <w:t> </w:t>
      </w:r>
      <w:r>
        <w:rPr>
          <w:b/>
          <w:bCs/>
        </w:rPr>
        <w:t>TB</w:t>
      </w:r>
      <w:r>
        <w:rPr>
          <w:rFonts w:ascii="Aptos" w:hAnsi="Aptos" w:cs="Aptos"/>
          <w:b/>
          <w:bCs/>
        </w:rPr>
        <w:t> </w:t>
      </w:r>
      <w:r>
        <w:rPr>
          <w:b/>
          <w:bCs/>
        </w:rPr>
        <w:t>ZFS).</w:t>
      </w:r>
      <w:r>
        <w:t xml:space="preserve"> </w:t>
      </w:r>
      <w:r>
        <w:t>At the core sits a 4U chassis equipped with an AMD</w:t>
      </w:r>
      <w:r>
        <w:rPr>
          <w:rFonts w:ascii="Arial" w:hAnsi="Arial" w:cs="Arial"/>
        </w:rPr>
        <w:t> </w:t>
      </w:r>
      <w:r>
        <w:t>EPYC</w:t>
      </w:r>
      <w:r>
        <w:rPr>
          <w:rFonts w:ascii="Arial" w:hAnsi="Arial" w:cs="Arial"/>
        </w:rPr>
        <w:t> </w:t>
      </w:r>
      <w:r>
        <w:t>16</w:t>
      </w:r>
      <w:r>
        <w:noBreakHyphen/>
        <w:t>core processor and 128</w:t>
      </w:r>
      <w:r>
        <w:rPr>
          <w:rFonts w:ascii="Arial" w:hAnsi="Arial" w:cs="Arial"/>
        </w:rPr>
        <w:t> </w:t>
      </w:r>
      <w:r>
        <w:t>gigabytes of error</w:t>
      </w:r>
      <w:r>
        <w:noBreakHyphen/>
        <w:t>correcting memory. Eight enterprise 6</w:t>
      </w:r>
      <w:r>
        <w:rPr>
          <w:rFonts w:ascii="Arial" w:hAnsi="Arial" w:cs="Arial"/>
        </w:rPr>
        <w:t> </w:t>
      </w:r>
      <w:r>
        <w:t>terabyte hard drives are arranged in a ZFS RAID</w:t>
      </w:r>
      <w:r>
        <w:noBreakHyphen/>
        <w:t>Z2 pool</w:t>
      </w:r>
      <w:r>
        <w:rPr>
          <w:rFonts w:ascii="Aptos" w:hAnsi="Aptos" w:cs="Aptos"/>
        </w:rPr>
        <w:t>—</w:t>
      </w:r>
      <w:r>
        <w:t>tolerant of two simultaneous disk failures</w:t>
      </w:r>
      <w:r>
        <w:rPr>
          <w:rFonts w:ascii="Aptos" w:hAnsi="Aptos" w:cs="Aptos"/>
        </w:rPr>
        <w:t>—</w:t>
      </w:r>
      <w:r>
        <w:t>delivering roughly 40</w:t>
      </w:r>
      <w:r>
        <w:rPr>
          <w:rFonts w:ascii="Arial" w:hAnsi="Arial" w:cs="Arial"/>
        </w:rPr>
        <w:t> </w:t>
      </w:r>
      <w:r>
        <w:t>terabytes of usable capacity. Two one</w:t>
      </w:r>
      <w:r>
        <w:noBreakHyphen/>
        <w:t>terabyte NVMe solid</w:t>
      </w:r>
      <w:r>
        <w:noBreakHyphen/>
        <w:t xml:space="preserve">state drives act as a special metadata (SLOG) and read cache (L2ARC), accelerating small random I/O typical of database workloads. </w:t>
      </w:r>
      <w:proofErr w:type="spellStart"/>
      <w:r>
        <w:t>TrueNAS</w:t>
      </w:r>
      <w:proofErr w:type="spellEnd"/>
      <w:r>
        <w:rPr>
          <w:rFonts w:ascii="Arial" w:hAnsi="Arial" w:cs="Arial"/>
        </w:rPr>
        <w:t> </w:t>
      </w:r>
      <w:r>
        <w:t>SCALE brings Linux</w:t>
      </w:r>
      <w:r>
        <w:noBreakHyphen/>
        <w:t xml:space="preserve">native containers, ZFS snapshots, and intuitive web management under one roof, allowing the clinic’s IT technician to monitor disks, temperatures, and SMART alerts without </w:t>
      </w:r>
      <w:proofErr w:type="spellStart"/>
      <w:r>
        <w:t>specialised</w:t>
      </w:r>
      <w:proofErr w:type="spellEnd"/>
      <w:r>
        <w:t xml:space="preserve"> training.</w:t>
      </w:r>
    </w:p>
    <w:p w14:paraId="6A4D5FC4" w14:textId="77777777">
      <w:pPr>
        <w:numPr>
          <w:ilvl w:val="0"/>
          <w:numId w:val="4"/>
        </w:numPr>
        <w:jc w:val="both"/>
      </w:pPr>
      <w:r>
        <w:rPr>
          <w:b/>
          <w:bCs/>
        </w:rPr>
        <w:t>K3s cluster running on bare</w:t>
      </w:r>
      <w:r>
        <w:rPr>
          <w:b/>
          <w:bCs/>
        </w:rPr>
        <w:noBreakHyphen/>
        <w:t>metal with Longhorn CSI.</w:t>
      </w:r>
      <w:r>
        <w:t xml:space="preserve"> </w:t>
      </w:r>
      <w:r>
        <w:t xml:space="preserve">Rather than scattering workloads across many small machines, we consolidate them on the </w:t>
      </w:r>
      <w:proofErr w:type="spellStart"/>
      <w:r>
        <w:t>TrueNAS</w:t>
      </w:r>
      <w:proofErr w:type="spellEnd"/>
      <w:r>
        <w:t xml:space="preserve"> host and let </w:t>
      </w:r>
      <w:r>
        <w:rPr>
          <w:i/>
          <w:iCs/>
        </w:rPr>
        <w:t>K3s</w:t>
      </w:r>
      <w:r>
        <w:t>—a stripped</w:t>
      </w:r>
      <w:r>
        <w:noBreakHyphen/>
        <w:t xml:space="preserve">down, certified Kubernetes distribution—provide logical isolation between microservices. Should future growth demand more horsepower, an </w:t>
      </w:r>
      <w:r>
        <w:lastRenderedPageBreak/>
        <w:t>additional worker node can join the cluster in minutes, and the existing Persistent Volumes will simply migrate thanks to the storage layer described next.</w:t>
      </w:r>
      <w:r>
        <w:t xml:space="preserve"> </w:t>
      </w:r>
      <w:r>
        <w:t>Longhorn turns ZFS datasets into highly available block devices for Kubernetes. Each volume is snapshot</w:t>
      </w:r>
      <w:r>
        <w:noBreakHyphen/>
        <w:t xml:space="preserve">aware; if a user accidentally deletes records or a </w:t>
      </w:r>
      <w:proofErr w:type="gramStart"/>
      <w:r>
        <w:t>ransomware attack strikes</w:t>
      </w:r>
      <w:proofErr w:type="gramEnd"/>
      <w:r>
        <w:t>, we can roll the volume back to any point</w:t>
      </w:r>
      <w:r>
        <w:noBreakHyphen/>
        <w:t>in</w:t>
      </w:r>
      <w:r>
        <w:noBreakHyphen/>
        <w:t>time snapshot in seconds without taking the application offline.</w:t>
      </w:r>
    </w:p>
    <w:p w14:paraId="355FE04F" w14:textId="77777777">
      <w:pPr>
        <w:numPr>
          <w:ilvl w:val="0"/>
          <w:numId w:val="4"/>
        </w:numPr>
        <w:jc w:val="both"/>
      </w:pPr>
      <w:proofErr w:type="spellStart"/>
      <w:r>
        <w:rPr>
          <w:b/>
          <w:bCs/>
        </w:rPr>
        <w:t>Traefik</w:t>
      </w:r>
      <w:proofErr w:type="spellEnd"/>
      <w:r>
        <w:rPr>
          <w:b/>
          <w:bCs/>
        </w:rPr>
        <w:t xml:space="preserve"> ingress, cert</w:t>
      </w:r>
      <w:r>
        <w:rPr>
          <w:b/>
          <w:bCs/>
        </w:rPr>
        <w:noBreakHyphen/>
        <w:t>manager for Let’s</w:t>
      </w:r>
      <w:r>
        <w:rPr>
          <w:rFonts w:ascii="Arial" w:hAnsi="Arial" w:cs="Arial"/>
          <w:b/>
          <w:bCs/>
        </w:rPr>
        <w:t> </w:t>
      </w:r>
      <w:r>
        <w:rPr>
          <w:b/>
          <w:bCs/>
        </w:rPr>
        <w:t>Encrypt.</w:t>
      </w:r>
      <w:r>
        <w:t xml:space="preserve"> </w:t>
      </w:r>
      <w:r>
        <w:t xml:space="preserve">All external traffic enters through </w:t>
      </w:r>
      <w:proofErr w:type="spellStart"/>
      <w:r>
        <w:t>Traefik</w:t>
      </w:r>
      <w:proofErr w:type="spellEnd"/>
      <w:r>
        <w:t xml:space="preserve">, which watches Kubernetes for new services and routes requests accordingly. </w:t>
      </w:r>
      <w:r>
        <w:rPr>
          <w:i/>
          <w:iCs/>
        </w:rPr>
        <w:t>Cert</w:t>
      </w:r>
      <w:r>
        <w:rPr>
          <w:i/>
          <w:iCs/>
        </w:rPr>
        <w:noBreakHyphen/>
        <w:t>manager</w:t>
      </w:r>
      <w:r>
        <w:t xml:space="preserve"> plugs into </w:t>
      </w:r>
      <w:proofErr w:type="spellStart"/>
      <w:r>
        <w:t>Traefik</w:t>
      </w:r>
      <w:proofErr w:type="spellEnd"/>
      <w:r>
        <w:t xml:space="preserve"> to obtain and refresh Transport Layer Security (TLS) certificates from Let’s</w:t>
      </w:r>
      <w:r>
        <w:rPr>
          <w:rFonts w:ascii="Arial" w:hAnsi="Arial" w:cs="Arial"/>
        </w:rPr>
        <w:t> </w:t>
      </w:r>
      <w:r>
        <w:t>Encrypt, ensuring every dashboard, mobile API call, or webhook connection is encrypted end</w:t>
      </w:r>
      <w:r>
        <w:noBreakHyphen/>
        <w:t>to</w:t>
      </w:r>
      <w:r>
        <w:noBreakHyphen/>
        <w:t>end without manual certificate juggling</w:t>
      </w:r>
    </w:p>
    <w:p w14:paraId="3A2D0513" w14:textId="77777777">
      <w:pPr>
        <w:numPr>
          <w:ilvl w:val="0"/>
          <w:numId w:val="4"/>
        </w:numPr>
        <w:jc w:val="both"/>
      </w:pPr>
      <w:r>
        <w:rPr>
          <w:b/>
          <w:bCs/>
        </w:rPr>
        <w:t>Air</w:t>
      </w:r>
      <w:r>
        <w:rPr>
          <w:b/>
          <w:bCs/>
        </w:rPr>
        <w:noBreakHyphen/>
        <w:t>gapped backup station replicates ZFS snapshots nightly.</w:t>
      </w:r>
      <w:r>
        <w:t xml:space="preserve"> </w:t>
      </w:r>
      <w:r>
        <w:t xml:space="preserve">A </w:t>
      </w:r>
      <w:proofErr w:type="spellStart"/>
      <w:r>
        <w:t>fanless</w:t>
      </w:r>
      <w:proofErr w:type="spellEnd"/>
      <w:r>
        <w:t xml:space="preserve"> mini</w:t>
      </w:r>
      <w:r>
        <w:noBreakHyphen/>
        <w:t>PC equipped with a pair of 12</w:t>
      </w:r>
      <w:r>
        <w:rPr>
          <w:rFonts w:ascii="Arial" w:hAnsi="Arial" w:cs="Arial"/>
        </w:rPr>
        <w:t> </w:t>
      </w:r>
      <w:r>
        <w:t xml:space="preserve">terabyte drives sits in a locked cabinet, physically disconnected from both the Internet and regular clinic network segments. Every night at 02:00 a </w:t>
      </w:r>
      <w:proofErr w:type="spellStart"/>
      <w:r>
        <w:t>cron</w:t>
      </w:r>
      <w:proofErr w:type="spellEnd"/>
      <w:r>
        <w:t xml:space="preserve"> job on the </w:t>
      </w:r>
      <w:proofErr w:type="spellStart"/>
      <w:r>
        <w:t>TrueNAS</w:t>
      </w:r>
      <w:proofErr w:type="spellEnd"/>
      <w:r>
        <w:t xml:space="preserve"> host executes </w:t>
      </w:r>
      <w:proofErr w:type="spellStart"/>
      <w:r>
        <w:t>zfs</w:t>
      </w:r>
      <w:proofErr w:type="spellEnd"/>
      <w:r>
        <w:t xml:space="preserve"> send | ssh over a dedicated 2.5</w:t>
      </w:r>
      <w:r>
        <w:rPr>
          <w:rFonts w:ascii="Arial" w:hAnsi="Arial" w:cs="Arial"/>
        </w:rPr>
        <w:t> </w:t>
      </w:r>
      <w:r>
        <w:t>gigabit direct</w:t>
      </w:r>
      <w:r>
        <w:noBreakHyphen/>
        <w:t xml:space="preserve">attach link, pushing incremental snapshots to the backup appliance. Once a week the most recent backup drive is swapped </w:t>
      </w:r>
      <w:proofErr w:type="gramStart"/>
      <w:r>
        <w:t>off</w:t>
      </w:r>
      <w:r>
        <w:noBreakHyphen/>
        <w:t>site</w:t>
      </w:r>
      <w:proofErr w:type="gramEnd"/>
      <w:r>
        <w:t>. Because the backup server never initiates outbound connections</w:t>
      </w:r>
      <w:r>
        <w:rPr>
          <w:rFonts w:ascii="Aptos" w:hAnsi="Aptos" w:cs="Aptos"/>
        </w:rPr>
        <w:t>—</w:t>
      </w:r>
      <w:r>
        <w:t xml:space="preserve">and accepts data only from the hardened </w:t>
      </w:r>
      <w:proofErr w:type="spellStart"/>
      <w:r>
        <w:t>TrueNAS</w:t>
      </w:r>
      <w:proofErr w:type="spellEnd"/>
      <w:r>
        <w:t xml:space="preserve"> IP</w:t>
      </w:r>
      <w:r>
        <w:rPr>
          <w:rFonts w:ascii="Aptos" w:hAnsi="Aptos" w:cs="Aptos"/>
        </w:rPr>
        <w:t>—</w:t>
      </w:r>
      <w:r>
        <w:t>it remains insulated from intrusion attempts that target production systems.</w:t>
      </w:r>
    </w:p>
    <w:p w14:paraId="6C288397" w14:textId="77777777">
      <w:pPr>
        <w:jc w:val="both"/>
      </w:pPr>
      <w:r>
        <w:t>This topology keeps capital expenditure low (one main server plus one low</w:t>
      </w:r>
      <w:r>
        <w:noBreakHyphen/>
        <w:t xml:space="preserve">cost backup box) yet affords </w:t>
      </w:r>
      <w:r>
        <w:rPr>
          <w:b/>
          <w:bCs/>
        </w:rPr>
        <w:t>data integrity, encrypted transport, rapid recovery, and a clear path to horizontal scale</w:t>
      </w:r>
      <w:r>
        <w:t xml:space="preserve"> without forklift upgrades.</w:t>
      </w:r>
    </w:p>
    <w:p w14:paraId="694D21F4" w14:textId="77777777">
      <w:pPr>
        <w:jc w:val="both"/>
      </w:pPr>
    </w:p>
    <w:p w14:paraId="4F1C6F46" w14:textId="77777777">
      <w:pPr>
        <w:pStyle w:val="ListParagraph"/>
        <w:numPr>
          <w:ilvl w:val="1"/>
          <w:numId w:val="10"/>
        </w:numPr>
        <w:jc w:val="both"/>
        <w:rPr>
          <w:b/>
          <w:bCs/>
        </w:rPr>
      </w:pPr>
      <w:r>
        <w:rPr>
          <w:b/>
          <w:bCs/>
        </w:rPr>
        <w:t>Data Flow</w:t>
      </w:r>
    </w:p>
    <w:p w14:paraId="10E59DE9" w14:textId="77777777">
      <w:pPr>
        <w:jc w:val="both"/>
      </w:pPr>
      <w:r>
        <w:t>Care data moves through the platform in a fast, traceable pipeline that separates transaction processing from analytics so neither competes for resources.</w:t>
      </w:r>
    </w:p>
    <w:p w14:paraId="53E7A013" w14:textId="77777777">
      <w:pPr>
        <w:numPr>
          <w:ilvl w:val="0"/>
          <w:numId w:val="5"/>
        </w:numPr>
        <w:jc w:val="both"/>
      </w:pPr>
      <w:r>
        <w:rPr>
          <w:b/>
          <w:bCs/>
        </w:rPr>
        <w:t>Point</w:t>
      </w:r>
      <w:r>
        <w:rPr>
          <w:rFonts w:ascii="Cambria Math" w:hAnsi="Cambria Math" w:cs="Cambria Math"/>
          <w:b/>
          <w:bCs/>
        </w:rPr>
        <w:t>‑</w:t>
      </w:r>
      <w:r>
        <w:rPr>
          <w:b/>
          <w:bCs/>
        </w:rPr>
        <w:t>of</w:t>
      </w:r>
      <w:r>
        <w:rPr>
          <w:rFonts w:ascii="Cambria Math" w:hAnsi="Cambria Math" w:cs="Cambria Math"/>
          <w:b/>
          <w:bCs/>
        </w:rPr>
        <w:t>‑</w:t>
      </w:r>
      <w:r>
        <w:rPr>
          <w:b/>
          <w:bCs/>
        </w:rPr>
        <w:t xml:space="preserve">care capture </w:t>
      </w:r>
      <w:r>
        <w:rPr>
          <w:rFonts w:ascii="Aptos" w:hAnsi="Aptos" w:cs="Aptos"/>
          <w:b/>
          <w:bCs/>
        </w:rPr>
        <w:t>→</w:t>
      </w:r>
      <w:r>
        <w:rPr>
          <w:b/>
          <w:bCs/>
        </w:rPr>
        <w:t xml:space="preserve"> Clinical microservice.</w:t>
      </w:r>
      <w:r>
        <w:t xml:space="preserve"> The moment a clinician hits </w:t>
      </w:r>
      <w:r>
        <w:rPr>
          <w:rFonts w:ascii="Aptos" w:hAnsi="Aptos" w:cs="Aptos"/>
        </w:rPr>
        <w:t>“</w:t>
      </w:r>
      <w:r>
        <w:t>Save &amp; Close</w:t>
      </w:r>
      <w:r>
        <w:rPr>
          <w:rFonts w:ascii="Aptos" w:hAnsi="Aptos" w:cs="Aptos"/>
        </w:rPr>
        <w:t>”</w:t>
      </w:r>
      <w:r>
        <w:t xml:space="preserve"> on the Progressive Web App, the browser sends a JSON payload over the encrypted API Gateway to patient</w:t>
      </w:r>
      <w:r>
        <w:rPr>
          <w:rFonts w:ascii="Cambria Math" w:hAnsi="Cambria Math" w:cs="Cambria Math"/>
        </w:rPr>
        <w:t>‑</w:t>
      </w:r>
      <w:r>
        <w:t xml:space="preserve">service, a </w:t>
      </w:r>
      <w:proofErr w:type="spellStart"/>
      <w:r>
        <w:t>FastAPI</w:t>
      </w:r>
      <w:proofErr w:type="spellEnd"/>
      <w:r>
        <w:t xml:space="preserve"> container that writes the encounter to the primary PostgreSQL database and instantly confirms success back to the user (&lt;</w:t>
      </w:r>
      <w:r>
        <w:rPr>
          <w:rFonts w:ascii="Arial" w:hAnsi="Arial" w:cs="Arial"/>
        </w:rPr>
        <w:t> </w:t>
      </w:r>
      <w:r>
        <w:t>200</w:t>
      </w:r>
      <w:r>
        <w:rPr>
          <w:rFonts w:ascii="Arial" w:hAnsi="Arial" w:cs="Arial"/>
        </w:rPr>
        <w:t> </w:t>
      </w:r>
      <w:r>
        <w:t>milliseconds). At the same moment the microservice emits a domain event</w:t>
      </w:r>
      <w:r>
        <w:rPr>
          <w:rFonts w:ascii="Aptos" w:hAnsi="Aptos" w:cs="Aptos"/>
        </w:rPr>
        <w:t>—</w:t>
      </w:r>
      <w:proofErr w:type="spellStart"/>
      <w:proofErr w:type="gramStart"/>
      <w:r>
        <w:t>encounter.completed</w:t>
      </w:r>
      <w:proofErr w:type="spellEnd"/>
      <w:proofErr w:type="gramEnd"/>
      <w:r>
        <w:rPr>
          <w:rFonts w:ascii="Aptos" w:hAnsi="Aptos" w:cs="Aptos"/>
        </w:rPr>
        <w:t>—</w:t>
      </w:r>
      <w:r>
        <w:t>onto a Redis Streams channel.</w:t>
      </w:r>
    </w:p>
    <w:p w14:paraId="77F4EE16" w14:textId="77777777">
      <w:pPr>
        <w:numPr>
          <w:ilvl w:val="0"/>
          <w:numId w:val="5"/>
        </w:numPr>
        <w:jc w:val="both"/>
      </w:pPr>
      <w:r>
        <w:rPr>
          <w:b/>
          <w:bCs/>
        </w:rPr>
        <w:lastRenderedPageBreak/>
        <w:t xml:space="preserve">Event published to Redis → </w:t>
      </w:r>
      <w:r>
        <w:rPr>
          <w:b/>
          <w:bCs/>
          <w:i/>
          <w:iCs/>
        </w:rPr>
        <w:t>analytics</w:t>
      </w:r>
      <w:r>
        <w:rPr>
          <w:b/>
          <w:bCs/>
          <w:i/>
          <w:iCs/>
        </w:rPr>
        <w:noBreakHyphen/>
        <w:t>svc</w:t>
      </w:r>
      <w:r>
        <w:rPr>
          <w:b/>
          <w:bCs/>
        </w:rPr>
        <w:t xml:space="preserve"> ETL via Apache Airflow DAG</w:t>
      </w:r>
      <w:r>
        <w:t>.</w:t>
      </w:r>
      <w:r>
        <w:t xml:space="preserve"> </w:t>
      </w:r>
      <w:r>
        <w:t xml:space="preserve">An Apache </w:t>
      </w:r>
      <w:r>
        <w:rPr>
          <w:b/>
          <w:bCs/>
        </w:rPr>
        <w:t>Airflow</w:t>
      </w:r>
      <w:r>
        <w:t xml:space="preserve"> Directed Acyclic Graph (DAG) listens to that Redis channel. Every five seconds it batches new events, fetches the associated clinical rows, enriches them with physician and tariff metadata, then writes them into an </w:t>
      </w:r>
      <w:r>
        <w:rPr>
          <w:b/>
          <w:bCs/>
        </w:rPr>
        <w:t>Apache Iceberg</w:t>
      </w:r>
      <w:r>
        <w:t xml:space="preserve"> table partitioned by </w:t>
      </w:r>
      <w:proofErr w:type="spellStart"/>
      <w:r>
        <w:t>encounter_date</w:t>
      </w:r>
      <w:proofErr w:type="spellEnd"/>
      <w:r>
        <w:t xml:space="preserve">. Airflow also computes incremental facts such as average waiting time and outstanding claim value, pushing these aggregates into separate Iceberg tables. Because the operation is </w:t>
      </w:r>
      <w:proofErr w:type="gramStart"/>
      <w:r>
        <w:t>append</w:t>
      </w:r>
      <w:proofErr w:type="gramEnd"/>
      <w:r>
        <w:noBreakHyphen/>
        <w:t>only and uses Iceberg’s hidden partitioning, the query engine never has to scan more than the most recent partitions, keeping analytics brisk even as data grows.</w:t>
      </w:r>
    </w:p>
    <w:p w14:paraId="0A5EC57F" w14:textId="77777777">
      <w:pPr>
        <w:numPr>
          <w:ilvl w:val="0"/>
          <w:numId w:val="5"/>
        </w:numPr>
        <w:jc w:val="both"/>
      </w:pPr>
      <w:r>
        <w:rPr>
          <w:b/>
          <w:bCs/>
        </w:rPr>
        <w:t>Lakehouse → Interactive dashboards.</w:t>
      </w:r>
      <w:r>
        <w:t xml:space="preserve"> Superset, pointed at the Iceberg catalog through a lightweight JDBC/Arrow connector, exposes real time charts to clinicians and management. Median triage time refreshes every minute; month to date revenue recalculates right after each claim posts. Because analytics never touches the transactional PostgreSQL instance, the clinic can run complex cohort analyses during business hours without slowing down front desk operations.</w:t>
      </w:r>
    </w:p>
    <w:p w14:paraId="70CB4438" w14:textId="77777777">
      <w:pPr>
        <w:jc w:val="both"/>
      </w:pPr>
      <w:r>
        <w:t xml:space="preserve">This loosely coupled stream architecture means </w:t>
      </w:r>
      <w:proofErr w:type="spellStart"/>
      <w:r>
        <w:t>Medimesh</w:t>
      </w:r>
      <w:proofErr w:type="spellEnd"/>
      <w:r>
        <w:t xml:space="preserve"> can ingest thousands of events per second on minimal hardware, recover effortlessly (Airflow replays any missed Redis offsets), and scale horizontally—simply by adding another analytics worker—without redesigning the pipeline.</w:t>
      </w:r>
    </w:p>
    <w:p w14:paraId="41050331" w14:textId="77777777">
      <w:pPr>
        <w:jc w:val="both"/>
      </w:pPr>
      <w:r>
        <w:rPr>
          <w:noProof/>
        </w:rPr>
        <w:lastRenderedPageBreak/>
        <w:drawing>
          <wp:inline distT="0" distB="0" distL="0" distR="0" wp14:anchorId="1177A29E" wp14:editId="0A7EE675">
            <wp:extent cx="5943600" cy="6613525"/>
            <wp:effectExtent l="0" t="0" r="0" b="0"/>
            <wp:docPr id="106886159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61595" name="Picture 2" descr="A diagram of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613525"/>
                    </a:xfrm>
                    <a:prstGeom prst="rect">
                      <a:avLst/>
                    </a:prstGeom>
                    <a:noFill/>
                    <a:ln>
                      <a:noFill/>
                    </a:ln>
                  </pic:spPr>
                </pic:pic>
              </a:graphicData>
            </a:graphic>
          </wp:inline>
        </w:drawing>
      </w:r>
    </w:p>
    <w:p w14:paraId="78584989" w14:textId="77777777">
      <w:pPr>
        <w:jc w:val="both"/>
        <w:rPr>
          <w:b/>
          <w:bCs/>
        </w:rPr>
      </w:pPr>
      <w:r>
        <w:rPr>
          <w:b/>
          <w:bCs/>
        </w:rPr>
        <w:t>Fig. 1: Basic data flow</w:t>
      </w:r>
    </w:p>
    <w:p w14:paraId="6E0A0BB2" w14:textId="77777777">
      <w:pPr>
        <w:jc w:val="both"/>
      </w:pPr>
      <w:r>
        <w:rPr>
          <w:noProof/>
        </w:rPr>
        <w:lastRenderedPageBreak/>
        <w:drawing>
          <wp:inline distT="0" distB="0" distL="0" distR="0" wp14:anchorId="46B18396" wp14:editId="415BBA3F">
            <wp:extent cx="5943600" cy="4829175"/>
            <wp:effectExtent l="0" t="0" r="0" b="9525"/>
            <wp:docPr id="1020399146"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9146" name="Picture 8" descr="A diagram of a compan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829175"/>
                    </a:xfrm>
                    <a:prstGeom prst="rect">
                      <a:avLst/>
                    </a:prstGeom>
                    <a:noFill/>
                    <a:ln>
                      <a:noFill/>
                    </a:ln>
                  </pic:spPr>
                </pic:pic>
              </a:graphicData>
            </a:graphic>
          </wp:inline>
        </w:drawing>
      </w:r>
    </w:p>
    <w:p w14:paraId="126FA07B" w14:textId="77777777">
      <w:pPr>
        <w:jc w:val="both"/>
      </w:pPr>
      <w:r>
        <w:t>Fig. 2: Complete data flow</w:t>
      </w:r>
    </w:p>
    <w:p w14:paraId="5F6C490D" w14:textId="77777777">
      <w:pPr>
        <w:jc w:val="both"/>
      </w:pPr>
      <w:r>
        <w:rPr>
          <w:noProof/>
        </w:rPr>
        <w:lastRenderedPageBreak/>
        <w:drawing>
          <wp:inline distT="0" distB="0" distL="0" distR="0" wp14:anchorId="0449AD5A" wp14:editId="198C1264">
            <wp:extent cx="5943600" cy="3369310"/>
            <wp:effectExtent l="0" t="0" r="0" b="2540"/>
            <wp:docPr id="1217951946" name="Picture 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51946" name="Picture 4" descr="A computer screen shot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583B64AB" w14:textId="77777777">
      <w:pPr>
        <w:jc w:val="both"/>
        <w:rPr>
          <w:b/>
          <w:bCs/>
        </w:rPr>
      </w:pPr>
      <w:r>
        <w:rPr>
          <w:b/>
          <w:bCs/>
        </w:rPr>
        <w:t xml:space="preserve">Fig. </w:t>
      </w:r>
      <w:r>
        <w:rPr>
          <w:b/>
          <w:bCs/>
        </w:rPr>
        <w:t>3</w:t>
      </w:r>
      <w:r>
        <w:rPr>
          <w:b/>
          <w:bCs/>
        </w:rPr>
        <w:t xml:space="preserve">: </w:t>
      </w:r>
      <w:r>
        <w:rPr>
          <w:b/>
          <w:bCs/>
        </w:rPr>
        <w:t>D</w:t>
      </w:r>
      <w:r>
        <w:rPr>
          <w:b/>
          <w:bCs/>
        </w:rPr>
        <w:t>ata architecture</w:t>
      </w:r>
    </w:p>
    <w:p w14:paraId="7991D201" w14:textId="77777777">
      <w:pPr>
        <w:jc w:val="both"/>
        <w:rPr>
          <w:b/>
          <w:bCs/>
        </w:rPr>
      </w:pPr>
    </w:p>
    <w:p w14:paraId="6A32610E" w14:textId="77777777">
      <w:pPr>
        <w:jc w:val="both"/>
        <w:rPr>
          <w:b/>
          <w:bCs/>
        </w:rPr>
      </w:pPr>
      <w:r>
        <w:rPr>
          <w:b/>
          <w:bCs/>
          <w:noProof/>
        </w:rPr>
        <w:drawing>
          <wp:inline distT="0" distB="0" distL="0" distR="0" wp14:anchorId="2DAA3EC0" wp14:editId="77361CF8">
            <wp:extent cx="5943600" cy="3775075"/>
            <wp:effectExtent l="0" t="0" r="0" b="0"/>
            <wp:docPr id="1525448591" name="Picture 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8591" name="Picture 6" descr="A computer screen shot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inline>
        </w:drawing>
      </w:r>
    </w:p>
    <w:p w14:paraId="29C2371F" w14:textId="77777777">
      <w:pPr>
        <w:jc w:val="both"/>
        <w:rPr>
          <w:b/>
          <w:bCs/>
        </w:rPr>
      </w:pPr>
      <w:r>
        <w:rPr>
          <w:b/>
          <w:bCs/>
        </w:rPr>
        <w:t>Fig. 4: Complete architecture</w:t>
      </w:r>
    </w:p>
    <w:p w14:paraId="1AC95C5B" w14:textId="77777777">
      <w:pPr>
        <w:pStyle w:val="ListParagraph"/>
        <w:numPr>
          <w:ilvl w:val="0"/>
          <w:numId w:val="10"/>
        </w:numPr>
        <w:jc w:val="both"/>
        <w:rPr>
          <w:b/>
          <w:bCs/>
        </w:rPr>
      </w:pPr>
      <w:r>
        <w:rPr>
          <w:b/>
          <w:bCs/>
        </w:rPr>
        <w:lastRenderedPageBreak/>
        <w:t>Data Model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4313"/>
        <w:gridCol w:w="2366"/>
      </w:tblGrid>
      <w:tr w14:paraId="07C37670" w14:textId="77777777">
        <w:trPr>
          <w:tblHeader/>
          <w:tblCellSpacing w:w="15" w:type="dxa"/>
        </w:trPr>
        <w:tc>
          <w:tcPr>
            <w:tcW w:w="0" w:type="auto"/>
            <w:vAlign w:val="center"/>
            <w:hideMark/>
          </w:tcPr>
          <w:p w14:paraId="39E8DC76" w14:textId="77777777">
            <w:pPr>
              <w:jc w:val="both"/>
              <w:rPr>
                <w:b/>
                <w:bCs/>
              </w:rPr>
            </w:pPr>
            <w:r>
              <w:rPr>
                <w:b/>
                <w:bCs/>
              </w:rPr>
              <w:t>Table</w:t>
            </w:r>
          </w:p>
        </w:tc>
        <w:tc>
          <w:tcPr>
            <w:tcW w:w="0" w:type="auto"/>
            <w:vAlign w:val="center"/>
            <w:hideMark/>
          </w:tcPr>
          <w:p w14:paraId="355E66B2" w14:textId="77777777">
            <w:pPr>
              <w:jc w:val="both"/>
              <w:rPr>
                <w:b/>
                <w:bCs/>
              </w:rPr>
            </w:pPr>
            <w:r>
              <w:rPr>
                <w:b/>
                <w:bCs/>
              </w:rPr>
              <w:t>Key Fields</w:t>
            </w:r>
          </w:p>
        </w:tc>
        <w:tc>
          <w:tcPr>
            <w:tcW w:w="0" w:type="auto"/>
            <w:vAlign w:val="center"/>
            <w:hideMark/>
          </w:tcPr>
          <w:p w14:paraId="01968D9D" w14:textId="77777777">
            <w:pPr>
              <w:jc w:val="both"/>
              <w:rPr>
                <w:b/>
                <w:bCs/>
              </w:rPr>
            </w:pPr>
            <w:r>
              <w:rPr>
                <w:b/>
                <w:bCs/>
              </w:rPr>
              <w:t>Notes</w:t>
            </w:r>
          </w:p>
        </w:tc>
      </w:tr>
      <w:tr w14:paraId="35FA0F31" w14:textId="77777777">
        <w:trPr>
          <w:tblCellSpacing w:w="15" w:type="dxa"/>
        </w:trPr>
        <w:tc>
          <w:tcPr>
            <w:tcW w:w="0" w:type="auto"/>
            <w:vAlign w:val="center"/>
            <w:hideMark/>
          </w:tcPr>
          <w:p w14:paraId="70A35537" w14:textId="77777777">
            <w:pPr>
              <w:jc w:val="both"/>
            </w:pPr>
            <w:r>
              <w:rPr>
                <w:b/>
                <w:bCs/>
              </w:rPr>
              <w:t>patient</w:t>
            </w:r>
          </w:p>
        </w:tc>
        <w:tc>
          <w:tcPr>
            <w:tcW w:w="0" w:type="auto"/>
            <w:vAlign w:val="center"/>
            <w:hideMark/>
          </w:tcPr>
          <w:p w14:paraId="450922F7" w14:textId="77777777">
            <w:pPr>
              <w:jc w:val="both"/>
            </w:pPr>
            <w:r>
              <w:t xml:space="preserve">id, </w:t>
            </w:r>
            <w:proofErr w:type="spellStart"/>
            <w:r>
              <w:t>mrn</w:t>
            </w:r>
            <w:proofErr w:type="spellEnd"/>
            <w:r>
              <w:t>, name, dob, contact</w:t>
            </w:r>
          </w:p>
        </w:tc>
        <w:tc>
          <w:tcPr>
            <w:tcW w:w="0" w:type="auto"/>
            <w:vAlign w:val="center"/>
            <w:hideMark/>
          </w:tcPr>
          <w:p w14:paraId="0A8F4942" w14:textId="77777777">
            <w:pPr>
              <w:jc w:val="both"/>
            </w:pPr>
            <w:r>
              <w:t>MRN unique per clinic</w:t>
            </w:r>
          </w:p>
        </w:tc>
      </w:tr>
      <w:tr w14:paraId="66434D16" w14:textId="77777777">
        <w:trPr>
          <w:tblCellSpacing w:w="15" w:type="dxa"/>
        </w:trPr>
        <w:tc>
          <w:tcPr>
            <w:tcW w:w="0" w:type="auto"/>
            <w:vAlign w:val="center"/>
            <w:hideMark/>
          </w:tcPr>
          <w:p w14:paraId="552596B4" w14:textId="77777777">
            <w:pPr>
              <w:jc w:val="both"/>
            </w:pPr>
            <w:r>
              <w:rPr>
                <w:b/>
                <w:bCs/>
              </w:rPr>
              <w:t>encounter</w:t>
            </w:r>
          </w:p>
        </w:tc>
        <w:tc>
          <w:tcPr>
            <w:tcW w:w="0" w:type="auto"/>
            <w:vAlign w:val="center"/>
            <w:hideMark/>
          </w:tcPr>
          <w:p w14:paraId="1E13514F" w14:textId="77777777">
            <w:pPr>
              <w:jc w:val="both"/>
            </w:pPr>
            <w:r>
              <w:t xml:space="preserve">id, </w:t>
            </w:r>
            <w:proofErr w:type="spellStart"/>
            <w:r>
              <w:t>patient_id</w:t>
            </w:r>
            <w:proofErr w:type="spellEnd"/>
            <w:r>
              <w:t xml:space="preserve">, type, datetime, </w:t>
            </w:r>
            <w:proofErr w:type="spellStart"/>
            <w:r>
              <w:t>clinician_id</w:t>
            </w:r>
            <w:proofErr w:type="spellEnd"/>
          </w:p>
        </w:tc>
        <w:tc>
          <w:tcPr>
            <w:tcW w:w="0" w:type="auto"/>
            <w:vAlign w:val="center"/>
            <w:hideMark/>
          </w:tcPr>
          <w:p w14:paraId="6622F5F9" w14:textId="77777777">
            <w:pPr>
              <w:jc w:val="both"/>
            </w:pPr>
            <w:r>
              <w:t>One row per visit</w:t>
            </w:r>
          </w:p>
        </w:tc>
      </w:tr>
      <w:tr w14:paraId="0071A72A" w14:textId="77777777">
        <w:trPr>
          <w:tblCellSpacing w:w="15" w:type="dxa"/>
        </w:trPr>
        <w:tc>
          <w:tcPr>
            <w:tcW w:w="0" w:type="auto"/>
            <w:vAlign w:val="center"/>
            <w:hideMark/>
          </w:tcPr>
          <w:p w14:paraId="3EF139F5" w14:textId="77777777">
            <w:pPr>
              <w:jc w:val="both"/>
            </w:pPr>
            <w:r>
              <w:rPr>
                <w:b/>
                <w:bCs/>
              </w:rPr>
              <w:t>observation</w:t>
            </w:r>
          </w:p>
        </w:tc>
        <w:tc>
          <w:tcPr>
            <w:tcW w:w="0" w:type="auto"/>
            <w:vAlign w:val="center"/>
            <w:hideMark/>
          </w:tcPr>
          <w:p w14:paraId="4749343C" w14:textId="77777777">
            <w:pPr>
              <w:jc w:val="both"/>
            </w:pPr>
            <w:r>
              <w:t xml:space="preserve">id, </w:t>
            </w:r>
            <w:proofErr w:type="spellStart"/>
            <w:r>
              <w:t>encounter_id</w:t>
            </w:r>
            <w:proofErr w:type="spellEnd"/>
            <w:r>
              <w:t>, code, value, unit</w:t>
            </w:r>
          </w:p>
        </w:tc>
        <w:tc>
          <w:tcPr>
            <w:tcW w:w="0" w:type="auto"/>
            <w:vAlign w:val="center"/>
            <w:hideMark/>
          </w:tcPr>
          <w:p w14:paraId="5E65BF88" w14:textId="77777777">
            <w:pPr>
              <w:jc w:val="both"/>
            </w:pPr>
            <w:r>
              <w:t>LOINC codes</w:t>
            </w:r>
          </w:p>
        </w:tc>
      </w:tr>
      <w:tr w14:paraId="199F3231" w14:textId="77777777">
        <w:trPr>
          <w:tblCellSpacing w:w="15" w:type="dxa"/>
        </w:trPr>
        <w:tc>
          <w:tcPr>
            <w:tcW w:w="0" w:type="auto"/>
            <w:vAlign w:val="center"/>
            <w:hideMark/>
          </w:tcPr>
          <w:p w14:paraId="2326B92C" w14:textId="77777777">
            <w:pPr>
              <w:jc w:val="both"/>
            </w:pPr>
            <w:r>
              <w:rPr>
                <w:b/>
                <w:bCs/>
              </w:rPr>
              <w:t>invoice</w:t>
            </w:r>
          </w:p>
        </w:tc>
        <w:tc>
          <w:tcPr>
            <w:tcW w:w="0" w:type="auto"/>
            <w:vAlign w:val="center"/>
            <w:hideMark/>
          </w:tcPr>
          <w:p w14:paraId="1F9A8855" w14:textId="77777777">
            <w:pPr>
              <w:jc w:val="both"/>
            </w:pPr>
            <w:r>
              <w:t xml:space="preserve">id, </w:t>
            </w:r>
            <w:proofErr w:type="spellStart"/>
            <w:r>
              <w:t>encounter_id</w:t>
            </w:r>
            <w:proofErr w:type="spellEnd"/>
            <w:r>
              <w:t>, amount, status</w:t>
            </w:r>
          </w:p>
        </w:tc>
        <w:tc>
          <w:tcPr>
            <w:tcW w:w="0" w:type="auto"/>
            <w:vAlign w:val="center"/>
            <w:hideMark/>
          </w:tcPr>
          <w:p w14:paraId="066CDE77" w14:textId="77777777">
            <w:pPr>
              <w:jc w:val="both"/>
            </w:pPr>
            <w:r>
              <w:t xml:space="preserve">Linked to </w:t>
            </w:r>
            <w:r>
              <w:t>S</w:t>
            </w:r>
            <w:r>
              <w:t>HIF claim</w:t>
            </w:r>
          </w:p>
        </w:tc>
      </w:tr>
      <w:tr w14:paraId="746B6229" w14:textId="77777777">
        <w:trPr>
          <w:tblCellSpacing w:w="15" w:type="dxa"/>
        </w:trPr>
        <w:tc>
          <w:tcPr>
            <w:tcW w:w="0" w:type="auto"/>
            <w:vAlign w:val="center"/>
            <w:hideMark/>
          </w:tcPr>
          <w:p w14:paraId="0B55516A" w14:textId="77777777">
            <w:pPr>
              <w:jc w:val="both"/>
            </w:pPr>
            <w:proofErr w:type="spellStart"/>
            <w:r>
              <w:rPr>
                <w:b/>
                <w:bCs/>
              </w:rPr>
              <w:t>file_object</w:t>
            </w:r>
            <w:proofErr w:type="spellEnd"/>
          </w:p>
        </w:tc>
        <w:tc>
          <w:tcPr>
            <w:tcW w:w="0" w:type="auto"/>
            <w:vAlign w:val="center"/>
            <w:hideMark/>
          </w:tcPr>
          <w:p w14:paraId="632115E7" w14:textId="77777777">
            <w:pPr>
              <w:jc w:val="both"/>
            </w:pPr>
            <w:proofErr w:type="spellStart"/>
            <w:r>
              <w:t>uuid</w:t>
            </w:r>
            <w:proofErr w:type="spellEnd"/>
            <w:r>
              <w:t xml:space="preserve">, s3_path, </w:t>
            </w:r>
            <w:proofErr w:type="spellStart"/>
            <w:r>
              <w:t>file_type</w:t>
            </w:r>
            <w:proofErr w:type="spellEnd"/>
            <w:r>
              <w:t xml:space="preserve">, </w:t>
            </w:r>
            <w:proofErr w:type="spellStart"/>
            <w:r>
              <w:t>patient_id</w:t>
            </w:r>
            <w:proofErr w:type="spellEnd"/>
          </w:p>
        </w:tc>
        <w:tc>
          <w:tcPr>
            <w:tcW w:w="0" w:type="auto"/>
            <w:vAlign w:val="center"/>
            <w:hideMark/>
          </w:tcPr>
          <w:p w14:paraId="07521E91" w14:textId="77777777">
            <w:pPr>
              <w:jc w:val="both"/>
            </w:pPr>
            <w:proofErr w:type="spellStart"/>
            <w:r>
              <w:t>MinIO</w:t>
            </w:r>
            <w:proofErr w:type="spellEnd"/>
            <w:r>
              <w:t xml:space="preserve"> bucket</w:t>
            </w:r>
          </w:p>
        </w:tc>
      </w:tr>
    </w:tbl>
    <w:p w14:paraId="56A1B5A8" w14:textId="77777777">
      <w:pPr>
        <w:jc w:val="both"/>
        <w:rPr>
          <w:rFonts w:ascii="Aptos" w:hAnsi="Aptos" w:cs="Aptos"/>
          <w:b/>
          <w:bCs/>
        </w:rPr>
      </w:pPr>
    </w:p>
    <w:p w14:paraId="14C2C420" w14:textId="77777777">
      <w:pPr>
        <w:jc w:val="both"/>
        <w:rPr>
          <w:rFonts w:ascii="Aptos" w:hAnsi="Aptos" w:cs="Aptos"/>
          <w:b/>
          <w:bCs/>
        </w:rPr>
      </w:pPr>
    </w:p>
    <w:p w14:paraId="0EEACE27" w14:textId="77777777">
      <w:pPr>
        <w:jc w:val="both"/>
        <w:rPr>
          <w:rFonts w:ascii="Aptos" w:hAnsi="Aptos" w:cs="Aptos"/>
          <w:b/>
          <w:bCs/>
        </w:rPr>
      </w:pPr>
    </w:p>
    <w:p w14:paraId="60F36F6E" w14:textId="77777777">
      <w:pPr>
        <w:pStyle w:val="ListParagraph"/>
        <w:numPr>
          <w:ilvl w:val="0"/>
          <w:numId w:val="10"/>
        </w:numPr>
        <w:jc w:val="both"/>
        <w:rPr>
          <w:b/>
          <w:bCs/>
        </w:rPr>
      </w:pPr>
      <w:r>
        <w:rPr>
          <w:b/>
          <w:bCs/>
        </w:rPr>
        <w:t>Security &amp; Compliance</w:t>
      </w:r>
    </w:p>
    <w:p w14:paraId="7606B0D0" w14:textId="77777777">
      <w:pPr>
        <w:ind w:left="360"/>
        <w:jc w:val="both"/>
        <w:rPr>
          <w:b/>
          <w:bCs/>
        </w:rPr>
      </w:pPr>
      <w:proofErr w:type="spellStart"/>
      <w:r>
        <w:t>Medimesh</w:t>
      </w:r>
      <w:proofErr w:type="spellEnd"/>
      <w:r>
        <w:t xml:space="preserve"> embraces a </w:t>
      </w:r>
      <w:proofErr w:type="spellStart"/>
      <w:r>
        <w:t>defence</w:t>
      </w:r>
      <w:proofErr w:type="spellEnd"/>
      <w:r>
        <w:rPr>
          <w:rFonts w:ascii="Cambria Math" w:hAnsi="Cambria Math" w:cs="Cambria Math"/>
        </w:rPr>
        <w:t>‑</w:t>
      </w:r>
      <w:r>
        <w:t>in</w:t>
      </w:r>
      <w:r>
        <w:rPr>
          <w:rFonts w:ascii="Cambria Math" w:hAnsi="Cambria Math" w:cs="Cambria Math"/>
        </w:rPr>
        <w:t>‑</w:t>
      </w:r>
      <w:r>
        <w:t>depth philosophy that knits together zero</w:t>
      </w:r>
      <w:r>
        <w:rPr>
          <w:rFonts w:ascii="Cambria Math" w:hAnsi="Cambria Math" w:cs="Cambria Math"/>
        </w:rPr>
        <w:t>‑</w:t>
      </w:r>
      <w:r>
        <w:t>trust networking, strong encryption, tamper</w:t>
      </w:r>
      <w:r>
        <w:rPr>
          <w:rFonts w:ascii="Cambria Math" w:hAnsi="Cambria Math" w:cs="Cambria Math"/>
        </w:rPr>
        <w:t>‑</w:t>
      </w:r>
      <w:r>
        <w:t>proof logging, and granular data</w:t>
      </w:r>
      <w:r>
        <w:rPr>
          <w:rFonts w:ascii="Cambria Math" w:hAnsi="Cambria Math" w:cs="Cambria Math"/>
        </w:rPr>
        <w:t>‑</w:t>
      </w:r>
      <w:r>
        <w:t>loss</w:t>
      </w:r>
      <w:r>
        <w:rPr>
          <w:rFonts w:ascii="Cambria Math" w:hAnsi="Cambria Math" w:cs="Cambria Math"/>
        </w:rPr>
        <w:t>‑</w:t>
      </w:r>
      <w:r>
        <w:t>prevention (DLP) policies</w:t>
      </w:r>
      <w:r>
        <w:rPr>
          <w:rFonts w:ascii="Aptos" w:hAnsi="Aptos" w:cs="Aptos"/>
        </w:rPr>
        <w:t>—</w:t>
      </w:r>
      <w:r>
        <w:t>each mapped to the Kenya Data Protection Act</w:t>
      </w:r>
      <w:r>
        <w:rPr>
          <w:rFonts w:ascii="Arial" w:hAnsi="Arial" w:cs="Arial"/>
        </w:rPr>
        <w:t> </w:t>
      </w:r>
      <w:r>
        <w:t>2019 and Health Insurance Portability and Accountability Act (HIPAA) technical safeguards.</w:t>
      </w:r>
    </w:p>
    <w:p w14:paraId="79BA244E" w14:textId="77777777">
      <w:pPr>
        <w:numPr>
          <w:ilvl w:val="0"/>
          <w:numId w:val="6"/>
        </w:numPr>
        <w:jc w:val="both"/>
      </w:pPr>
      <w:r>
        <w:rPr>
          <w:b/>
          <w:bCs/>
        </w:rPr>
        <w:t>Zero</w:t>
      </w:r>
      <w:r>
        <w:rPr>
          <w:rFonts w:ascii="Cambria Math" w:hAnsi="Cambria Math" w:cs="Cambria Math"/>
          <w:b/>
          <w:bCs/>
        </w:rPr>
        <w:t>‑</w:t>
      </w:r>
      <w:r>
        <w:rPr>
          <w:b/>
          <w:bCs/>
        </w:rPr>
        <w:t>trust perimeter with short</w:t>
      </w:r>
      <w:r>
        <w:rPr>
          <w:rFonts w:ascii="Cambria Math" w:hAnsi="Cambria Math" w:cs="Cambria Math"/>
          <w:b/>
          <w:bCs/>
        </w:rPr>
        <w:t>‑</w:t>
      </w:r>
      <w:r>
        <w:rPr>
          <w:b/>
          <w:bCs/>
        </w:rPr>
        <w:t>lived credentials</w:t>
      </w:r>
      <w:r>
        <w:t>.</w:t>
      </w:r>
      <w:r>
        <w:t xml:space="preserve"> </w:t>
      </w:r>
      <w:r>
        <w:t xml:space="preserve">No request is presumed trustworthy simply because it originates from the clinic network. All inbound traffic terminates at the API Gateway, which delegates authentication and </w:t>
      </w:r>
      <w:proofErr w:type="spellStart"/>
      <w:r>
        <w:t>authorisation</w:t>
      </w:r>
      <w:proofErr w:type="spellEnd"/>
      <w:r>
        <w:t xml:space="preserve"> to </w:t>
      </w:r>
      <w:proofErr w:type="spellStart"/>
      <w:r>
        <w:rPr>
          <w:b/>
          <w:bCs/>
        </w:rPr>
        <w:t>Keycloak</w:t>
      </w:r>
      <w:proofErr w:type="spellEnd"/>
      <w:r>
        <w:t>, our open</w:t>
      </w:r>
      <w:r>
        <w:noBreakHyphen/>
        <w:t>source identity</w:t>
      </w:r>
      <w:r>
        <w:noBreakHyphen/>
        <w:t>and</w:t>
      </w:r>
      <w:r>
        <w:noBreakHyphen/>
        <w:t>access</w:t>
      </w:r>
      <w:r>
        <w:noBreakHyphen/>
        <w:t xml:space="preserve">management server. </w:t>
      </w:r>
      <w:proofErr w:type="spellStart"/>
      <w:r>
        <w:t>Keycloak</w:t>
      </w:r>
      <w:proofErr w:type="spellEnd"/>
      <w:r>
        <w:t xml:space="preserve"> mints </w:t>
      </w:r>
      <w:r>
        <w:rPr>
          <w:b/>
          <w:bCs/>
        </w:rPr>
        <w:t>JSON</w:t>
      </w:r>
      <w:r>
        <w:rPr>
          <w:rFonts w:ascii="Arial" w:hAnsi="Arial" w:cs="Arial"/>
          <w:b/>
          <w:bCs/>
        </w:rPr>
        <w:t> </w:t>
      </w:r>
      <w:r>
        <w:rPr>
          <w:b/>
          <w:bCs/>
        </w:rPr>
        <w:t>Web</w:t>
      </w:r>
      <w:r>
        <w:rPr>
          <w:rFonts w:ascii="Arial" w:hAnsi="Arial" w:cs="Arial"/>
          <w:b/>
          <w:bCs/>
        </w:rPr>
        <w:t> </w:t>
      </w:r>
      <w:r>
        <w:rPr>
          <w:b/>
          <w:bCs/>
        </w:rPr>
        <w:t>Tokens (JWTs)</w:t>
      </w:r>
      <w:r>
        <w:t>—digitally</w:t>
      </w:r>
      <w:r>
        <w:noBreakHyphen/>
        <w:t>signed, self</w:t>
      </w:r>
      <w:r>
        <w:noBreakHyphen/>
        <w:t xml:space="preserve">contained credentials that carry user roles and tenant identifiers—and sets their lifetime to just </w:t>
      </w:r>
      <w:r>
        <w:rPr>
          <w:b/>
          <w:bCs/>
        </w:rPr>
        <w:t>15</w:t>
      </w:r>
      <w:r>
        <w:rPr>
          <w:rFonts w:ascii="Arial" w:hAnsi="Arial" w:cs="Arial"/>
          <w:b/>
          <w:bCs/>
        </w:rPr>
        <w:t> </w:t>
      </w:r>
      <w:r>
        <w:rPr>
          <w:b/>
          <w:bCs/>
        </w:rPr>
        <w:t>minutes</w:t>
      </w:r>
      <w:r>
        <w:t>. If a token is intercepted, its utility window is small; yet single</w:t>
      </w:r>
      <w:r>
        <w:noBreakHyphen/>
        <w:t>sign</w:t>
      </w:r>
      <w:r>
        <w:noBreakHyphen/>
        <w:t>on flows ensure clinicians enjoy a frictionless experience.</w:t>
      </w:r>
    </w:p>
    <w:p w14:paraId="750FB134" w14:textId="77777777">
      <w:pPr>
        <w:numPr>
          <w:ilvl w:val="0"/>
          <w:numId w:val="6"/>
        </w:numPr>
        <w:jc w:val="both"/>
      </w:pPr>
      <w:r>
        <w:rPr>
          <w:b/>
          <w:bCs/>
        </w:rPr>
        <w:t>Field</w:t>
      </w:r>
      <w:r>
        <w:rPr>
          <w:b/>
          <w:bCs/>
        </w:rPr>
        <w:noBreakHyphen/>
        <w:t>level encryption for</w:t>
      </w:r>
      <w:r>
        <w:t xml:space="preserve"> </w:t>
      </w:r>
      <w:r>
        <w:rPr>
          <w:b/>
          <w:bCs/>
        </w:rPr>
        <w:t>sensitive identifiers</w:t>
      </w:r>
      <w:r>
        <w:t>.</w:t>
      </w:r>
      <w:r>
        <w:t xml:space="preserve"> </w:t>
      </w:r>
      <w:r>
        <w:t>Personally identifiable attributes such as National ID numbers, payment</w:t>
      </w:r>
      <w:r>
        <w:noBreakHyphen/>
        <w:t xml:space="preserve">card Primary Account Numbers, and passport details are encrypted within their respective database columns using deterministic </w:t>
      </w:r>
      <w:r>
        <w:rPr>
          <w:b/>
          <w:bCs/>
        </w:rPr>
        <w:t>Advanced</w:t>
      </w:r>
      <w:r>
        <w:rPr>
          <w:rFonts w:ascii="Arial" w:hAnsi="Arial" w:cs="Arial"/>
          <w:b/>
          <w:bCs/>
        </w:rPr>
        <w:t> </w:t>
      </w:r>
      <w:r>
        <w:rPr>
          <w:b/>
          <w:bCs/>
        </w:rPr>
        <w:t>Encryption</w:t>
      </w:r>
      <w:r>
        <w:rPr>
          <w:rFonts w:ascii="Arial" w:hAnsi="Arial" w:cs="Arial"/>
          <w:b/>
          <w:bCs/>
        </w:rPr>
        <w:t> </w:t>
      </w:r>
      <w:r>
        <w:rPr>
          <w:b/>
          <w:bCs/>
        </w:rPr>
        <w:t>Standard (AES</w:t>
      </w:r>
      <w:r>
        <w:rPr>
          <w:b/>
          <w:bCs/>
        </w:rPr>
        <w:noBreakHyphen/>
        <w:t>256</w:t>
      </w:r>
      <w:r>
        <w:rPr>
          <w:b/>
          <w:bCs/>
        </w:rPr>
        <w:noBreakHyphen/>
        <w:t>Galois/Counter</w:t>
      </w:r>
      <w:r>
        <w:rPr>
          <w:rFonts w:ascii="Aptos" w:hAnsi="Aptos" w:cs="Aptos"/>
          <w:b/>
          <w:bCs/>
        </w:rPr>
        <w:t> </w:t>
      </w:r>
      <w:r>
        <w:rPr>
          <w:b/>
          <w:bCs/>
        </w:rPr>
        <w:t>Mode)</w:t>
      </w:r>
      <w:r>
        <w:t xml:space="preserve"> keys held in </w:t>
      </w:r>
      <w:proofErr w:type="spellStart"/>
      <w:r>
        <w:t>HashiCorp</w:t>
      </w:r>
      <w:proofErr w:type="spellEnd"/>
      <w:r>
        <w:t xml:space="preserve"> Vault. The deterministic scheme preserves the ability to query—for instance, “find patient by National ID”—without exposing plaintext, and </w:t>
      </w:r>
      <w:r>
        <w:lastRenderedPageBreak/>
        <w:t>cryptographic key rotation is a single command that rewrites ciphertext in the background.</w:t>
      </w:r>
    </w:p>
    <w:p w14:paraId="760E153E" w14:textId="77777777">
      <w:pPr>
        <w:numPr>
          <w:ilvl w:val="0"/>
          <w:numId w:val="6"/>
        </w:numPr>
        <w:jc w:val="both"/>
      </w:pPr>
      <w:r>
        <w:rPr>
          <w:b/>
          <w:bCs/>
        </w:rPr>
        <w:t>Immutable audit logging on Write</w:t>
      </w:r>
      <w:r>
        <w:rPr>
          <w:rFonts w:ascii="Cambria Math" w:hAnsi="Cambria Math" w:cs="Cambria Math"/>
          <w:b/>
          <w:bCs/>
        </w:rPr>
        <w:t>‑</w:t>
      </w:r>
      <w:r>
        <w:rPr>
          <w:b/>
          <w:bCs/>
        </w:rPr>
        <w:t>Once</w:t>
      </w:r>
      <w:r>
        <w:rPr>
          <w:rFonts w:ascii="Cambria Math" w:hAnsi="Cambria Math" w:cs="Cambria Math"/>
          <w:b/>
          <w:bCs/>
        </w:rPr>
        <w:t>‑</w:t>
      </w:r>
      <w:r>
        <w:rPr>
          <w:b/>
          <w:bCs/>
        </w:rPr>
        <w:t>Read</w:t>
      </w:r>
      <w:r>
        <w:rPr>
          <w:rFonts w:ascii="Cambria Math" w:hAnsi="Cambria Math" w:cs="Cambria Math"/>
          <w:b/>
          <w:bCs/>
        </w:rPr>
        <w:t>‑</w:t>
      </w:r>
      <w:r>
        <w:rPr>
          <w:b/>
          <w:bCs/>
        </w:rPr>
        <w:t>Many storage</w:t>
      </w:r>
      <w:r>
        <w:rPr>
          <w:b/>
          <w:bCs/>
        </w:rPr>
        <w:t xml:space="preserve"> </w:t>
      </w:r>
      <w:r>
        <w:rPr>
          <w:b/>
          <w:bCs/>
        </w:rPr>
        <w:t>(</w:t>
      </w:r>
      <w:r>
        <w:rPr>
          <w:b/>
          <w:bCs/>
        </w:rPr>
        <w:t>WORM</w:t>
      </w:r>
      <w:r>
        <w:rPr>
          <w:b/>
          <w:bCs/>
        </w:rPr>
        <w:t>)</w:t>
      </w:r>
      <w:r>
        <w:rPr>
          <w:b/>
          <w:bCs/>
        </w:rPr>
        <w:t xml:space="preserve"> ZFS dataset</w:t>
      </w:r>
      <w:r>
        <w:t>.</w:t>
      </w:r>
      <w:r>
        <w:t xml:space="preserve"> </w:t>
      </w:r>
      <w:r>
        <w:t xml:space="preserve">Every </w:t>
      </w:r>
      <w:proofErr w:type="gramStart"/>
      <w:r>
        <w:t>create</w:t>
      </w:r>
      <w:proofErr w:type="gramEnd"/>
      <w:r>
        <w:t xml:space="preserve">, read, update, delete, export, or authentication event is intercepted by a </w:t>
      </w:r>
      <w:proofErr w:type="spellStart"/>
      <w:r>
        <w:t>gRPC</w:t>
      </w:r>
      <w:proofErr w:type="spellEnd"/>
      <w:r>
        <w:t xml:space="preserve"> </w:t>
      </w:r>
      <w:proofErr w:type="gramStart"/>
      <w:r>
        <w:t>side</w:t>
      </w:r>
      <w:r>
        <w:noBreakHyphen/>
        <w:t>car</w:t>
      </w:r>
      <w:proofErr w:type="gramEnd"/>
      <w:r>
        <w:t xml:space="preserve"> and appended to an </w:t>
      </w:r>
      <w:r>
        <w:rPr>
          <w:i/>
          <w:iCs/>
        </w:rPr>
        <w:t>Audit</w:t>
      </w:r>
      <w:r>
        <w:t xml:space="preserve"> table. A replication task streams these records to a dedicated </w:t>
      </w:r>
      <w:r>
        <w:rPr>
          <w:b/>
          <w:bCs/>
        </w:rPr>
        <w:t>Write</w:t>
      </w:r>
      <w:r>
        <w:rPr>
          <w:b/>
          <w:bCs/>
        </w:rPr>
        <w:noBreakHyphen/>
        <w:t>Once</w:t>
      </w:r>
      <w:r>
        <w:rPr>
          <w:b/>
          <w:bCs/>
        </w:rPr>
        <w:noBreakHyphen/>
        <w:t>Read</w:t>
      </w:r>
      <w:r>
        <w:rPr>
          <w:b/>
          <w:bCs/>
        </w:rPr>
        <w:noBreakHyphen/>
        <w:t>Many (WORM)</w:t>
      </w:r>
      <w:r>
        <w:t xml:space="preserve"> </w:t>
      </w:r>
      <w:proofErr w:type="gramStart"/>
      <w:r>
        <w:t>dataset</w:t>
      </w:r>
      <w:proofErr w:type="gramEnd"/>
      <w:r>
        <w:t xml:space="preserve"> on </w:t>
      </w:r>
      <w:r>
        <w:rPr>
          <w:b/>
          <w:bCs/>
        </w:rPr>
        <w:t>Zettabyte</w:t>
      </w:r>
      <w:r>
        <w:rPr>
          <w:rFonts w:ascii="Arial" w:hAnsi="Arial" w:cs="Arial"/>
          <w:b/>
          <w:bCs/>
        </w:rPr>
        <w:t> </w:t>
      </w:r>
      <w:r>
        <w:rPr>
          <w:b/>
          <w:bCs/>
        </w:rPr>
        <w:t>File</w:t>
      </w:r>
      <w:r>
        <w:rPr>
          <w:rFonts w:ascii="Arial" w:hAnsi="Arial" w:cs="Arial"/>
          <w:b/>
          <w:bCs/>
        </w:rPr>
        <w:t> </w:t>
      </w:r>
      <w:r>
        <w:rPr>
          <w:b/>
          <w:bCs/>
        </w:rPr>
        <w:t>System (ZFS)</w:t>
      </w:r>
      <w:r>
        <w:t>. Once committed, blocks become append</w:t>
      </w:r>
      <w:r>
        <w:noBreakHyphen/>
        <w:t xml:space="preserve">only; even a </w:t>
      </w:r>
      <w:proofErr w:type="gramStart"/>
      <w:r>
        <w:t>super</w:t>
      </w:r>
      <w:r>
        <w:noBreakHyphen/>
        <w:t>user</w:t>
      </w:r>
      <w:proofErr w:type="gramEnd"/>
      <w:r>
        <w:t xml:space="preserve"> cannot rewrite history, satisfying evidentiary requirements for malpractice litigation, insurance audits, and Ministry of Health inspections.</w:t>
      </w:r>
    </w:p>
    <w:p w14:paraId="1551E762" w14:textId="77777777">
      <w:pPr>
        <w:numPr>
          <w:ilvl w:val="0"/>
          <w:numId w:val="6"/>
        </w:numPr>
        <w:jc w:val="both"/>
      </w:pPr>
      <w:r>
        <w:rPr>
          <w:b/>
          <w:bCs/>
        </w:rPr>
        <w:t>Data</w:t>
      </w:r>
      <w:r>
        <w:rPr>
          <w:rFonts w:ascii="Cambria Math" w:hAnsi="Cambria Math" w:cs="Cambria Math"/>
          <w:b/>
          <w:bCs/>
        </w:rPr>
        <w:t>‑</w:t>
      </w:r>
      <w:r>
        <w:rPr>
          <w:b/>
          <w:bCs/>
        </w:rPr>
        <w:t>loss</w:t>
      </w:r>
      <w:r>
        <w:rPr>
          <w:rFonts w:ascii="Cambria Math" w:hAnsi="Cambria Math" w:cs="Cambria Math"/>
          <w:b/>
          <w:bCs/>
        </w:rPr>
        <w:t>‑</w:t>
      </w:r>
      <w:r>
        <w:rPr>
          <w:b/>
          <w:bCs/>
        </w:rPr>
        <w:t xml:space="preserve">prevention </w:t>
      </w:r>
      <w:r>
        <w:rPr>
          <w:b/>
          <w:bCs/>
        </w:rPr>
        <w:t>(</w:t>
      </w:r>
      <w:r>
        <w:rPr>
          <w:b/>
          <w:bCs/>
        </w:rPr>
        <w:t>DLP</w:t>
      </w:r>
      <w:r>
        <w:rPr>
          <w:b/>
          <w:bCs/>
        </w:rPr>
        <w:t>)</w:t>
      </w:r>
      <w:r>
        <w:rPr>
          <w:b/>
          <w:bCs/>
        </w:rPr>
        <w:t xml:space="preserve"> rules</w:t>
      </w:r>
      <w:r>
        <w:t xml:space="preserve">: </w:t>
      </w:r>
      <w:r>
        <w:t>A policy engine embedded in the API Gateway tallies the number of distinct medical</w:t>
      </w:r>
      <w:r>
        <w:noBreakHyphen/>
        <w:t xml:space="preserve">record identifiers requested in any download. If the threshold exceeds </w:t>
      </w:r>
      <w:r>
        <w:rPr>
          <w:b/>
          <w:bCs/>
        </w:rPr>
        <w:t>twenty (20) records</w:t>
      </w:r>
      <w:r>
        <w:t xml:space="preserve"> and the caller’s JWT lacks the privileged </w:t>
      </w:r>
      <w:proofErr w:type="spellStart"/>
      <w:proofErr w:type="gramStart"/>
      <w:r>
        <w:t>export.bulk</w:t>
      </w:r>
      <w:proofErr w:type="spellEnd"/>
      <w:proofErr w:type="gramEnd"/>
      <w:r>
        <w:t xml:space="preserve"> scope, the request is denied and a real</w:t>
      </w:r>
      <w:r>
        <w:noBreakHyphen/>
        <w:t xml:space="preserve">time alert posts to the compliance channel in </w:t>
      </w:r>
      <w:proofErr w:type="spellStart"/>
      <w:r>
        <w:t>Mattermost</w:t>
      </w:r>
      <w:proofErr w:type="spellEnd"/>
      <w:r>
        <w:t>. This thwarts both inadvertent “full database” exports and malicious data scrapes while still permitting routine single</w:t>
      </w:r>
      <w:r>
        <w:noBreakHyphen/>
        <w:t>patient transfers for referrals.</w:t>
      </w:r>
    </w:p>
    <w:p w14:paraId="022657D2" w14:textId="77777777">
      <w:pPr>
        <w:jc w:val="both"/>
      </w:pPr>
      <w:r>
        <w:t>Together these layers ensure that even a successful breach of one component does not cascade into unrestricted access—protecting patient confidentiality, clinic reputation, and regulatory standing.</w:t>
      </w:r>
    </w:p>
    <w:p w14:paraId="1403D621" w14:textId="77777777">
      <w:pPr>
        <w:jc w:val="both"/>
      </w:pPr>
    </w:p>
    <w:p w14:paraId="723A645D" w14:textId="77777777">
      <w:pPr>
        <w:pStyle w:val="ListParagraph"/>
        <w:numPr>
          <w:ilvl w:val="0"/>
          <w:numId w:val="10"/>
        </w:numPr>
        <w:jc w:val="both"/>
        <w:rPr>
          <w:b/>
          <w:bCs/>
          <w:highlight w:val="yellow"/>
        </w:rPr>
      </w:pPr>
      <w:r>
        <w:rPr>
          <w:b/>
          <w:bCs/>
          <w:highlight w:val="yellow"/>
        </w:rPr>
        <w:t>Interoperability &amp; Standards</w:t>
      </w:r>
    </w:p>
    <w:p w14:paraId="4529335A" w14:textId="77777777">
      <w:pPr>
        <w:numPr>
          <w:ilvl w:val="0"/>
          <w:numId w:val="7"/>
        </w:numPr>
        <w:jc w:val="both"/>
        <w:rPr>
          <w:highlight w:val="yellow"/>
        </w:rPr>
      </w:pPr>
      <w:r>
        <w:rPr>
          <w:b/>
          <w:bCs/>
          <w:highlight w:val="yellow"/>
        </w:rPr>
        <w:t>HL7 FHIR</w:t>
      </w:r>
      <w:r>
        <w:rPr>
          <w:rFonts w:ascii="Arial" w:hAnsi="Arial" w:cs="Arial"/>
          <w:b/>
          <w:bCs/>
          <w:highlight w:val="yellow"/>
        </w:rPr>
        <w:t> </w:t>
      </w:r>
      <w:r>
        <w:rPr>
          <w:b/>
          <w:bCs/>
          <w:highlight w:val="yellow"/>
        </w:rPr>
        <w:t>R5</w:t>
      </w:r>
      <w:r>
        <w:rPr>
          <w:highlight w:val="yellow"/>
        </w:rPr>
        <w:t xml:space="preserve"> resources exposed for external labs.</w:t>
      </w:r>
    </w:p>
    <w:p w14:paraId="58A3EF5E" w14:textId="77777777">
      <w:pPr>
        <w:numPr>
          <w:ilvl w:val="0"/>
          <w:numId w:val="7"/>
        </w:numPr>
        <w:jc w:val="both"/>
        <w:rPr>
          <w:highlight w:val="yellow"/>
        </w:rPr>
      </w:pPr>
      <w:proofErr w:type="spellStart"/>
      <w:r>
        <w:rPr>
          <w:b/>
          <w:bCs/>
          <w:highlight w:val="yellow"/>
        </w:rPr>
        <w:t>OpenHIE</w:t>
      </w:r>
      <w:proofErr w:type="spellEnd"/>
      <w:r>
        <w:rPr>
          <w:highlight w:val="yellow"/>
        </w:rPr>
        <w:t xml:space="preserve"> compliant messaging planned (Phase II).</w:t>
      </w:r>
    </w:p>
    <w:p w14:paraId="2422C3AA" w14:textId="77777777">
      <w:pPr>
        <w:numPr>
          <w:ilvl w:val="0"/>
          <w:numId w:val="7"/>
        </w:numPr>
        <w:jc w:val="both"/>
        <w:rPr>
          <w:highlight w:val="yellow"/>
        </w:rPr>
      </w:pPr>
      <w:r>
        <w:rPr>
          <w:b/>
          <w:bCs/>
          <w:highlight w:val="yellow"/>
        </w:rPr>
        <w:t>ISO 13606</w:t>
      </w:r>
      <w:r>
        <w:rPr>
          <w:highlight w:val="yellow"/>
        </w:rPr>
        <w:t xml:space="preserve"> archetype mapping for future </w:t>
      </w:r>
      <w:r>
        <w:rPr>
          <w:highlight w:val="yellow"/>
        </w:rPr>
        <w:t>S</w:t>
      </w:r>
      <w:r>
        <w:rPr>
          <w:highlight w:val="yellow"/>
        </w:rPr>
        <w:t>HIF API.</w:t>
      </w:r>
    </w:p>
    <w:p w14:paraId="64B9146B" w14:textId="77777777">
      <w:pPr>
        <w:jc w:val="both"/>
      </w:pPr>
    </w:p>
    <w:p w14:paraId="2B512789" w14:textId="77777777">
      <w:pPr>
        <w:pStyle w:val="ListParagraph"/>
        <w:numPr>
          <w:ilvl w:val="0"/>
          <w:numId w:val="10"/>
        </w:numPr>
        <w:jc w:val="both"/>
        <w:rPr>
          <w:b/>
          <w:bCs/>
        </w:rPr>
      </w:pPr>
      <w:r>
        <w:rPr>
          <w:b/>
          <w:bCs/>
        </w:rPr>
        <w:t>Implementation Roadmap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1028"/>
        <w:gridCol w:w="4293"/>
      </w:tblGrid>
      <w:tr w14:paraId="2ED1646B" w14:textId="77777777">
        <w:trPr>
          <w:tblHeader/>
          <w:tblCellSpacing w:w="15" w:type="dxa"/>
        </w:trPr>
        <w:tc>
          <w:tcPr>
            <w:tcW w:w="0" w:type="auto"/>
            <w:vAlign w:val="center"/>
            <w:hideMark/>
          </w:tcPr>
          <w:p w14:paraId="6366845D" w14:textId="77777777">
            <w:pPr>
              <w:jc w:val="both"/>
              <w:rPr>
                <w:b/>
                <w:bCs/>
              </w:rPr>
            </w:pPr>
            <w:r>
              <w:rPr>
                <w:b/>
                <w:bCs/>
              </w:rPr>
              <w:t>Phase</w:t>
            </w:r>
          </w:p>
        </w:tc>
        <w:tc>
          <w:tcPr>
            <w:tcW w:w="0" w:type="auto"/>
            <w:vAlign w:val="center"/>
            <w:hideMark/>
          </w:tcPr>
          <w:p w14:paraId="6EF0DC91" w14:textId="77777777">
            <w:pPr>
              <w:jc w:val="both"/>
              <w:rPr>
                <w:b/>
                <w:bCs/>
              </w:rPr>
            </w:pPr>
            <w:r>
              <w:rPr>
                <w:b/>
                <w:bCs/>
              </w:rPr>
              <w:t>Duration</w:t>
            </w:r>
          </w:p>
        </w:tc>
        <w:tc>
          <w:tcPr>
            <w:tcW w:w="0" w:type="auto"/>
            <w:vAlign w:val="center"/>
            <w:hideMark/>
          </w:tcPr>
          <w:p w14:paraId="294A9F63" w14:textId="77777777">
            <w:pPr>
              <w:jc w:val="both"/>
              <w:rPr>
                <w:b/>
                <w:bCs/>
              </w:rPr>
            </w:pPr>
            <w:r>
              <w:rPr>
                <w:b/>
                <w:bCs/>
              </w:rPr>
              <w:t>Deliverables</w:t>
            </w:r>
          </w:p>
        </w:tc>
      </w:tr>
      <w:tr w14:paraId="36A26408" w14:textId="77777777">
        <w:trPr>
          <w:tblCellSpacing w:w="15" w:type="dxa"/>
        </w:trPr>
        <w:tc>
          <w:tcPr>
            <w:tcW w:w="0" w:type="auto"/>
            <w:vAlign w:val="center"/>
            <w:hideMark/>
          </w:tcPr>
          <w:p w14:paraId="32063357" w14:textId="77777777">
            <w:pPr>
              <w:jc w:val="both"/>
            </w:pPr>
            <w:r>
              <w:t>0. Planning</w:t>
            </w:r>
          </w:p>
        </w:tc>
        <w:tc>
          <w:tcPr>
            <w:tcW w:w="0" w:type="auto"/>
            <w:vAlign w:val="center"/>
            <w:hideMark/>
          </w:tcPr>
          <w:p w14:paraId="32EC5B9C" w14:textId="77777777">
            <w:pPr>
              <w:jc w:val="both"/>
            </w:pPr>
            <w:r>
              <w:rPr>
                <w:rFonts w:ascii="Arial" w:hAnsi="Arial" w:cs="Arial"/>
              </w:rPr>
              <w:t>4</w:t>
            </w:r>
            <w:r>
              <w:rPr>
                <w:rFonts w:ascii="Arial" w:hAnsi="Arial" w:cs="Arial"/>
              </w:rPr>
              <w:t> </w:t>
            </w:r>
            <w:proofErr w:type="spellStart"/>
            <w:r>
              <w:t>wks</w:t>
            </w:r>
            <w:proofErr w:type="spellEnd"/>
          </w:p>
        </w:tc>
        <w:tc>
          <w:tcPr>
            <w:tcW w:w="0" w:type="auto"/>
            <w:vAlign w:val="center"/>
            <w:hideMark/>
          </w:tcPr>
          <w:p w14:paraId="308342B2" w14:textId="77777777">
            <w:pPr>
              <w:jc w:val="both"/>
            </w:pPr>
            <w:r>
              <w:t>Signed SOW, privacy impact assessment</w:t>
            </w:r>
          </w:p>
        </w:tc>
      </w:tr>
      <w:tr w14:paraId="2E936ECC" w14:textId="77777777">
        <w:trPr>
          <w:tblCellSpacing w:w="15" w:type="dxa"/>
        </w:trPr>
        <w:tc>
          <w:tcPr>
            <w:tcW w:w="0" w:type="auto"/>
            <w:vAlign w:val="center"/>
            <w:hideMark/>
          </w:tcPr>
          <w:p w14:paraId="0EE457AF" w14:textId="77777777">
            <w:pPr>
              <w:jc w:val="both"/>
            </w:pPr>
            <w:r>
              <w:t>1. MVP Core</w:t>
            </w:r>
          </w:p>
        </w:tc>
        <w:tc>
          <w:tcPr>
            <w:tcW w:w="0" w:type="auto"/>
            <w:vAlign w:val="center"/>
            <w:hideMark/>
          </w:tcPr>
          <w:p w14:paraId="690480B4" w14:textId="77777777">
            <w:pPr>
              <w:jc w:val="both"/>
            </w:pPr>
            <w:r>
              <w:rPr>
                <w:rFonts w:ascii="Arial" w:hAnsi="Arial" w:cs="Arial"/>
              </w:rPr>
              <w:t>8</w:t>
            </w:r>
            <w:r>
              <w:rPr>
                <w:rFonts w:ascii="Arial" w:hAnsi="Arial" w:cs="Arial"/>
              </w:rPr>
              <w:t> </w:t>
            </w:r>
            <w:proofErr w:type="spellStart"/>
            <w:r>
              <w:t>wks</w:t>
            </w:r>
            <w:proofErr w:type="spellEnd"/>
          </w:p>
        </w:tc>
        <w:tc>
          <w:tcPr>
            <w:tcW w:w="0" w:type="auto"/>
            <w:vAlign w:val="center"/>
            <w:hideMark/>
          </w:tcPr>
          <w:p w14:paraId="6CCA7911" w14:textId="77777777">
            <w:pPr>
              <w:jc w:val="both"/>
            </w:pPr>
            <w:r>
              <w:t xml:space="preserve">EHR, Auth, </w:t>
            </w:r>
            <w:proofErr w:type="spellStart"/>
            <w:r>
              <w:t>MinIO</w:t>
            </w:r>
            <w:proofErr w:type="spellEnd"/>
            <w:r>
              <w:t xml:space="preserve"> vault, RBAC</w:t>
            </w:r>
          </w:p>
        </w:tc>
      </w:tr>
      <w:tr w14:paraId="0BEAA296" w14:textId="77777777">
        <w:trPr>
          <w:tblCellSpacing w:w="15" w:type="dxa"/>
        </w:trPr>
        <w:tc>
          <w:tcPr>
            <w:tcW w:w="0" w:type="auto"/>
            <w:vAlign w:val="center"/>
            <w:hideMark/>
          </w:tcPr>
          <w:p w14:paraId="690E580E" w14:textId="77777777">
            <w:pPr>
              <w:jc w:val="both"/>
            </w:pPr>
            <w:r>
              <w:t xml:space="preserve">2. </w:t>
            </w:r>
            <w:proofErr w:type="gramStart"/>
            <w:r>
              <w:t>Pilot @</w:t>
            </w:r>
            <w:proofErr w:type="gramEnd"/>
            <w:r>
              <w:t xml:space="preserve"> SN Karau</w:t>
            </w:r>
          </w:p>
        </w:tc>
        <w:tc>
          <w:tcPr>
            <w:tcW w:w="0" w:type="auto"/>
            <w:vAlign w:val="center"/>
            <w:hideMark/>
          </w:tcPr>
          <w:p w14:paraId="66550A05" w14:textId="77777777">
            <w:pPr>
              <w:jc w:val="both"/>
            </w:pPr>
            <w:r>
              <w:t>4</w:t>
            </w:r>
            <w:r>
              <w:rPr>
                <w:rFonts w:ascii="Arial" w:hAnsi="Arial" w:cs="Arial"/>
              </w:rPr>
              <w:t> </w:t>
            </w:r>
            <w:proofErr w:type="spellStart"/>
            <w:r>
              <w:t>wks</w:t>
            </w:r>
            <w:proofErr w:type="spellEnd"/>
          </w:p>
        </w:tc>
        <w:tc>
          <w:tcPr>
            <w:tcW w:w="0" w:type="auto"/>
            <w:vAlign w:val="center"/>
            <w:hideMark/>
          </w:tcPr>
          <w:p w14:paraId="676E4219" w14:textId="77777777">
            <w:pPr>
              <w:jc w:val="both"/>
            </w:pPr>
            <w:r>
              <w:t>Data migration, staff training, go</w:t>
            </w:r>
            <w:r>
              <w:noBreakHyphen/>
              <w:t>live</w:t>
            </w:r>
          </w:p>
        </w:tc>
      </w:tr>
      <w:tr w14:paraId="18C3097E" w14:textId="77777777">
        <w:trPr>
          <w:tblCellSpacing w:w="15" w:type="dxa"/>
        </w:trPr>
        <w:tc>
          <w:tcPr>
            <w:tcW w:w="0" w:type="auto"/>
            <w:vAlign w:val="center"/>
            <w:hideMark/>
          </w:tcPr>
          <w:p w14:paraId="436BFE61" w14:textId="77777777">
            <w:pPr>
              <w:jc w:val="both"/>
            </w:pPr>
            <w:r>
              <w:lastRenderedPageBreak/>
              <w:t>3. Feedback &amp; Hardening</w:t>
            </w:r>
          </w:p>
        </w:tc>
        <w:tc>
          <w:tcPr>
            <w:tcW w:w="0" w:type="auto"/>
            <w:vAlign w:val="center"/>
            <w:hideMark/>
          </w:tcPr>
          <w:p w14:paraId="210A9752" w14:textId="77777777">
            <w:pPr>
              <w:jc w:val="both"/>
            </w:pPr>
            <w:r>
              <w:t>4</w:t>
            </w:r>
            <w:r>
              <w:rPr>
                <w:rFonts w:ascii="Arial" w:hAnsi="Arial" w:cs="Arial"/>
              </w:rPr>
              <w:t> </w:t>
            </w:r>
            <w:proofErr w:type="spellStart"/>
            <w:r>
              <w:t>wks</w:t>
            </w:r>
            <w:proofErr w:type="spellEnd"/>
          </w:p>
        </w:tc>
        <w:tc>
          <w:tcPr>
            <w:tcW w:w="0" w:type="auto"/>
            <w:vAlign w:val="center"/>
            <w:hideMark/>
          </w:tcPr>
          <w:p w14:paraId="2E5BF497" w14:textId="77777777">
            <w:pPr>
              <w:jc w:val="both"/>
            </w:pPr>
            <w:r>
              <w:t>Bug fixes, performance tuning</w:t>
            </w:r>
          </w:p>
        </w:tc>
      </w:tr>
      <w:tr w14:paraId="646BE697" w14:textId="77777777">
        <w:trPr>
          <w:tblCellSpacing w:w="15" w:type="dxa"/>
        </w:trPr>
        <w:tc>
          <w:tcPr>
            <w:tcW w:w="0" w:type="auto"/>
            <w:vAlign w:val="center"/>
            <w:hideMark/>
          </w:tcPr>
          <w:p w14:paraId="0D4FE8F0" w14:textId="77777777">
            <w:pPr>
              <w:jc w:val="both"/>
            </w:pPr>
            <w:r>
              <w:t>4. Multi</w:t>
            </w:r>
            <w:r>
              <w:noBreakHyphen/>
              <w:t>Clinic SaaS</w:t>
            </w:r>
          </w:p>
        </w:tc>
        <w:tc>
          <w:tcPr>
            <w:tcW w:w="0" w:type="auto"/>
            <w:vAlign w:val="center"/>
            <w:hideMark/>
          </w:tcPr>
          <w:p w14:paraId="4DA80193" w14:textId="77777777">
            <w:pPr>
              <w:jc w:val="both"/>
            </w:pPr>
            <w:r>
              <w:t>8</w:t>
            </w:r>
            <w:r>
              <w:rPr>
                <w:rFonts w:ascii="Arial" w:hAnsi="Arial" w:cs="Arial"/>
              </w:rPr>
              <w:t> </w:t>
            </w:r>
            <w:proofErr w:type="spellStart"/>
            <w:r>
              <w:t>wks</w:t>
            </w:r>
            <w:proofErr w:type="spellEnd"/>
          </w:p>
        </w:tc>
        <w:tc>
          <w:tcPr>
            <w:tcW w:w="0" w:type="auto"/>
            <w:vAlign w:val="center"/>
            <w:hideMark/>
          </w:tcPr>
          <w:p w14:paraId="41513BB2" w14:textId="77777777">
            <w:pPr>
              <w:jc w:val="both"/>
            </w:pPr>
            <w:r>
              <w:t>Tenant isolation, subscription billing</w:t>
            </w:r>
          </w:p>
        </w:tc>
      </w:tr>
    </w:tbl>
    <w:p w14:paraId="1A7A2146" w14:textId="77777777">
      <w:pPr>
        <w:jc w:val="both"/>
        <w:rPr>
          <w:rFonts w:ascii="Aptos" w:hAnsi="Aptos" w:cs="Aptos"/>
          <w:b/>
          <w:bCs/>
        </w:rPr>
      </w:pPr>
    </w:p>
    <w:p w14:paraId="5A5B3BEA" w14:textId="77777777">
      <w:pPr>
        <w:pStyle w:val="ListParagraph"/>
        <w:numPr>
          <w:ilvl w:val="0"/>
          <w:numId w:val="10"/>
        </w:numPr>
        <w:jc w:val="both"/>
        <w:rPr>
          <w:b/>
          <w:bCs/>
        </w:rPr>
      </w:pPr>
      <w:r>
        <w:rPr>
          <w:b/>
          <w:bCs/>
        </w:rPr>
        <w:t>Roles &amp; Responsibilities</w:t>
      </w:r>
    </w:p>
    <w:p w14:paraId="791676C4" w14:textId="77777777">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To control development costs while safeguarding quality and security, </w:t>
      </w:r>
      <w:proofErr w:type="spellStart"/>
      <w:r>
        <w:rPr>
          <w:rFonts w:eastAsia="Times New Roman" w:cs="Times New Roman"/>
          <w:kern w:val="0"/>
          <w14:ligatures w14:val="none"/>
        </w:rPr>
        <w:t>Medimesh</w:t>
      </w:r>
      <w:proofErr w:type="spellEnd"/>
      <w:r>
        <w:rPr>
          <w:rFonts w:eastAsia="Times New Roman" w:cs="Times New Roman"/>
          <w:kern w:val="0"/>
          <w14:ligatures w14:val="none"/>
        </w:rPr>
        <w:t xml:space="preserve"> will be delivered by a </w:t>
      </w:r>
      <w:r>
        <w:rPr>
          <w:rFonts w:eastAsia="Times New Roman" w:cs="Times New Roman"/>
          <w:b/>
          <w:bCs/>
          <w:kern w:val="0"/>
          <w14:ligatures w14:val="none"/>
        </w:rPr>
        <w:t>compact five</w:t>
      </w:r>
      <w:r>
        <w:rPr>
          <w:rFonts w:eastAsia="Times New Roman" w:cs="Times New Roman"/>
          <w:b/>
          <w:bCs/>
          <w:kern w:val="0"/>
          <w14:ligatures w14:val="none"/>
        </w:rPr>
        <w:noBreakHyphen/>
        <w:t>person core team supplemented by a fractional infosec consultant</w:t>
      </w:r>
      <w:r>
        <w:rPr>
          <w:rFonts w:eastAsia="Times New Roman" w:cs="Times New Roman"/>
          <w:kern w:val="0"/>
          <w14:ligatures w14:val="none"/>
        </w:rPr>
        <w:t>. Each member carries cross</w:t>
      </w:r>
      <w:r>
        <w:rPr>
          <w:rFonts w:eastAsia="Times New Roman" w:cs="Times New Roman"/>
          <w:kern w:val="0"/>
          <w14:ligatures w14:val="none"/>
        </w:rPr>
        <w:noBreakHyphen/>
        <w:t>disciplinary duties so that no capability—especially cybersecurity—is left unattended.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1"/>
        <w:gridCol w:w="2408"/>
        <w:gridCol w:w="3271"/>
      </w:tblGrid>
      <w:tr w14:paraId="77E1943C" w14:textId="77777777">
        <w:trPr>
          <w:tblCellSpacing w:w="15" w:type="dxa"/>
        </w:trPr>
        <w:tc>
          <w:tcPr>
            <w:tcW w:w="0" w:type="auto"/>
            <w:vAlign w:val="center"/>
            <w:hideMark/>
          </w:tcPr>
          <w:p w14:paraId="6DD73995" w14:textId="77777777">
            <w:pPr>
              <w:spacing w:after="0" w:line="240" w:lineRule="auto"/>
              <w:rPr>
                <w:rFonts w:eastAsia="Times New Roman" w:cs="Times New Roman"/>
                <w:b/>
                <w:bCs/>
                <w:kern w:val="0"/>
                <w14:ligatures w14:val="none"/>
              </w:rPr>
            </w:pPr>
            <w:r>
              <w:rPr>
                <w:rFonts w:eastAsia="Times New Roman" w:cs="Times New Roman"/>
                <w:b/>
                <w:bCs/>
                <w:kern w:val="0"/>
                <w14:ligatures w14:val="none"/>
              </w:rPr>
              <w:t>Role</w:t>
            </w:r>
          </w:p>
        </w:tc>
        <w:tc>
          <w:tcPr>
            <w:tcW w:w="0" w:type="auto"/>
            <w:vAlign w:val="center"/>
            <w:hideMark/>
          </w:tcPr>
          <w:p w14:paraId="74C8F70C" w14:textId="77777777">
            <w:pPr>
              <w:spacing w:after="0" w:line="240" w:lineRule="auto"/>
              <w:rPr>
                <w:rFonts w:eastAsia="Times New Roman" w:cs="Times New Roman"/>
                <w:b/>
                <w:bCs/>
                <w:kern w:val="0"/>
                <w14:ligatures w14:val="none"/>
              </w:rPr>
            </w:pPr>
            <w:r>
              <w:rPr>
                <w:rFonts w:eastAsia="Times New Roman" w:cs="Times New Roman"/>
                <w:b/>
                <w:bCs/>
                <w:kern w:val="0"/>
                <w14:ligatures w14:val="none"/>
              </w:rPr>
              <w:t>Primary Responsibilities</w:t>
            </w:r>
          </w:p>
        </w:tc>
        <w:tc>
          <w:tcPr>
            <w:tcW w:w="0" w:type="auto"/>
            <w:vAlign w:val="center"/>
            <w:hideMark/>
          </w:tcPr>
          <w:p w14:paraId="5CBA732E" w14:textId="77777777">
            <w:pPr>
              <w:spacing w:after="0" w:line="240" w:lineRule="auto"/>
              <w:rPr>
                <w:rFonts w:eastAsia="Times New Roman" w:cs="Times New Roman"/>
                <w:b/>
                <w:bCs/>
                <w:kern w:val="0"/>
                <w14:ligatures w14:val="none"/>
              </w:rPr>
            </w:pPr>
            <w:r>
              <w:rPr>
                <w:rFonts w:eastAsia="Times New Roman" w:cs="Times New Roman"/>
                <w:b/>
                <w:bCs/>
                <w:kern w:val="0"/>
                <w14:ligatures w14:val="none"/>
              </w:rPr>
              <w:t>Cybersecurity Touchpoints</w:t>
            </w:r>
          </w:p>
        </w:tc>
      </w:tr>
      <w:tr w14:paraId="5BFFC9EA" w14:textId="77777777">
        <w:trPr>
          <w:tblCellSpacing w:w="15" w:type="dxa"/>
        </w:trPr>
        <w:tc>
          <w:tcPr>
            <w:tcW w:w="0" w:type="auto"/>
            <w:vAlign w:val="center"/>
            <w:hideMark/>
          </w:tcPr>
          <w:p w14:paraId="2400AA8C" w14:textId="77777777">
            <w:pPr>
              <w:spacing w:after="0" w:line="240" w:lineRule="auto"/>
              <w:rPr>
                <w:rFonts w:eastAsia="Times New Roman" w:cs="Times New Roman"/>
                <w:kern w:val="0"/>
                <w14:ligatures w14:val="none"/>
              </w:rPr>
            </w:pPr>
            <w:r>
              <w:rPr>
                <w:rFonts w:eastAsia="Times New Roman" w:cs="Times New Roman"/>
                <w:b/>
                <w:bCs/>
                <w:kern w:val="0"/>
                <w14:ligatures w14:val="none"/>
              </w:rPr>
              <w:t>Product</w:t>
            </w:r>
            <w:r>
              <w:rPr>
                <w:rFonts w:ascii="Arial" w:eastAsia="Times New Roman" w:hAnsi="Arial" w:cs="Arial"/>
                <w:b/>
                <w:bCs/>
                <w:kern w:val="0"/>
                <w14:ligatures w14:val="none"/>
              </w:rPr>
              <w:t> </w:t>
            </w:r>
            <w:r>
              <w:rPr>
                <w:rFonts w:eastAsia="Times New Roman" w:cs="Times New Roman"/>
                <w:b/>
                <w:bCs/>
                <w:kern w:val="0"/>
                <w14:ligatures w14:val="none"/>
              </w:rPr>
              <w:t xml:space="preserve">Owner </w:t>
            </w:r>
            <w:r>
              <w:rPr>
                <w:rFonts w:ascii="Aptos" w:eastAsia="Times New Roman" w:hAnsi="Aptos" w:cs="Aptos"/>
                <w:b/>
                <w:bCs/>
                <w:kern w:val="0"/>
                <w14:ligatures w14:val="none"/>
              </w:rPr>
              <w:t>—</w:t>
            </w:r>
            <w:r>
              <w:rPr>
                <w:rFonts w:eastAsia="Times New Roman" w:cs="Times New Roman"/>
                <w:b/>
                <w:bCs/>
                <w:kern w:val="0"/>
                <w14:ligatures w14:val="none"/>
              </w:rPr>
              <w:t xml:space="preserve"> Richard</w:t>
            </w:r>
            <w:r>
              <w:rPr>
                <w:rFonts w:ascii="Aptos" w:eastAsia="Times New Roman" w:hAnsi="Aptos" w:cs="Aptos"/>
                <w:b/>
                <w:bCs/>
                <w:kern w:val="0"/>
                <w14:ligatures w14:val="none"/>
              </w:rPr>
              <w:t> </w:t>
            </w:r>
            <w:r>
              <w:rPr>
                <w:rFonts w:eastAsia="Times New Roman" w:cs="Times New Roman"/>
                <w:b/>
                <w:bCs/>
                <w:kern w:val="0"/>
                <w14:ligatures w14:val="none"/>
              </w:rPr>
              <w:t>K.</w:t>
            </w:r>
          </w:p>
        </w:tc>
        <w:tc>
          <w:tcPr>
            <w:tcW w:w="0" w:type="auto"/>
            <w:vAlign w:val="center"/>
            <w:hideMark/>
          </w:tcPr>
          <w:p w14:paraId="489B944D" w14:textId="77777777">
            <w:pPr>
              <w:spacing w:after="0" w:line="240" w:lineRule="auto"/>
              <w:rPr>
                <w:rFonts w:eastAsia="Times New Roman" w:cs="Times New Roman"/>
                <w:kern w:val="0"/>
                <w14:ligatures w14:val="none"/>
              </w:rPr>
            </w:pPr>
            <w:r>
              <w:rPr>
                <w:rFonts w:eastAsia="Times New Roman" w:cs="Times New Roman"/>
                <w:kern w:val="0"/>
                <w14:ligatures w14:val="none"/>
              </w:rPr>
              <w:t xml:space="preserve">Defines product vision, </w:t>
            </w:r>
            <w:proofErr w:type="spellStart"/>
            <w:r>
              <w:rPr>
                <w:rFonts w:eastAsia="Times New Roman" w:cs="Times New Roman"/>
                <w:kern w:val="0"/>
                <w14:ligatures w14:val="none"/>
              </w:rPr>
              <w:t>prioritises</w:t>
            </w:r>
            <w:proofErr w:type="spellEnd"/>
            <w:r>
              <w:rPr>
                <w:rFonts w:eastAsia="Times New Roman" w:cs="Times New Roman"/>
                <w:kern w:val="0"/>
                <w14:ligatures w14:val="none"/>
              </w:rPr>
              <w:t xml:space="preserve"> backlog, approves releases, and champions user needs at SN</w:t>
            </w:r>
            <w:r>
              <w:rPr>
                <w:rFonts w:ascii="Arial" w:eastAsia="Times New Roman" w:hAnsi="Arial" w:cs="Arial"/>
                <w:kern w:val="0"/>
                <w14:ligatures w14:val="none"/>
              </w:rPr>
              <w:t> </w:t>
            </w:r>
            <w:r>
              <w:rPr>
                <w:rFonts w:eastAsia="Times New Roman" w:cs="Times New Roman"/>
                <w:kern w:val="0"/>
                <w14:ligatures w14:val="none"/>
              </w:rPr>
              <w:t>Karau &amp; future clinics.</w:t>
            </w:r>
          </w:p>
        </w:tc>
        <w:tc>
          <w:tcPr>
            <w:tcW w:w="0" w:type="auto"/>
            <w:vAlign w:val="center"/>
            <w:hideMark/>
          </w:tcPr>
          <w:p w14:paraId="139526D7" w14:textId="77777777">
            <w:pPr>
              <w:spacing w:after="0" w:line="240" w:lineRule="auto"/>
              <w:rPr>
                <w:rFonts w:eastAsia="Times New Roman" w:cs="Times New Roman"/>
                <w:kern w:val="0"/>
                <w14:ligatures w14:val="none"/>
              </w:rPr>
            </w:pPr>
            <w:proofErr w:type="gramStart"/>
            <w:r>
              <w:rPr>
                <w:rFonts w:eastAsia="Times New Roman" w:cs="Times New Roman"/>
                <w:kern w:val="0"/>
                <w14:ligatures w14:val="none"/>
              </w:rPr>
              <w:t>Ensures</w:t>
            </w:r>
            <w:proofErr w:type="gramEnd"/>
            <w:r>
              <w:rPr>
                <w:rFonts w:eastAsia="Times New Roman" w:cs="Times New Roman"/>
                <w:kern w:val="0"/>
                <w14:ligatures w14:val="none"/>
              </w:rPr>
              <w:t xml:space="preserve"> security stories are </w:t>
            </w:r>
            <w:proofErr w:type="spellStart"/>
            <w:r>
              <w:rPr>
                <w:rFonts w:eastAsia="Times New Roman" w:cs="Times New Roman"/>
                <w:kern w:val="0"/>
                <w14:ligatures w14:val="none"/>
              </w:rPr>
              <w:t>prioritised</w:t>
            </w:r>
            <w:proofErr w:type="spellEnd"/>
            <w:r>
              <w:rPr>
                <w:rFonts w:eastAsia="Times New Roman" w:cs="Times New Roman"/>
                <w:kern w:val="0"/>
                <w14:ligatures w14:val="none"/>
              </w:rPr>
              <w:t>; signs off on risk</w:t>
            </w:r>
            <w:r>
              <w:rPr>
                <w:rFonts w:eastAsia="Times New Roman" w:cs="Times New Roman"/>
                <w:kern w:val="0"/>
                <w14:ligatures w14:val="none"/>
              </w:rPr>
              <w:noBreakHyphen/>
              <w:t>based feature trade</w:t>
            </w:r>
            <w:r>
              <w:rPr>
                <w:rFonts w:eastAsia="Times New Roman" w:cs="Times New Roman"/>
                <w:kern w:val="0"/>
                <w14:ligatures w14:val="none"/>
              </w:rPr>
              <w:noBreakHyphen/>
              <w:t>offs.</w:t>
            </w:r>
          </w:p>
        </w:tc>
      </w:tr>
      <w:tr w14:paraId="39E00AA8" w14:textId="77777777">
        <w:trPr>
          <w:tblCellSpacing w:w="15" w:type="dxa"/>
        </w:trPr>
        <w:tc>
          <w:tcPr>
            <w:tcW w:w="0" w:type="auto"/>
            <w:vAlign w:val="center"/>
            <w:hideMark/>
          </w:tcPr>
          <w:p w14:paraId="7EF1FE9B" w14:textId="77777777">
            <w:pPr>
              <w:spacing w:after="0" w:line="240" w:lineRule="auto"/>
              <w:rPr>
                <w:rFonts w:eastAsia="Times New Roman" w:cs="Times New Roman"/>
                <w:kern w:val="0"/>
                <w14:ligatures w14:val="none"/>
              </w:rPr>
            </w:pPr>
            <w:r>
              <w:rPr>
                <w:rFonts w:eastAsia="Times New Roman" w:cs="Times New Roman"/>
                <w:b/>
                <w:bCs/>
                <w:kern w:val="0"/>
                <w14:ligatures w14:val="none"/>
              </w:rPr>
              <w:t>Project</w:t>
            </w:r>
            <w:r>
              <w:rPr>
                <w:rFonts w:ascii="Arial" w:eastAsia="Times New Roman" w:hAnsi="Arial" w:cs="Arial"/>
                <w:b/>
                <w:bCs/>
                <w:kern w:val="0"/>
                <w14:ligatures w14:val="none"/>
              </w:rPr>
              <w:t> </w:t>
            </w:r>
            <w:r>
              <w:rPr>
                <w:rFonts w:eastAsia="Times New Roman" w:cs="Times New Roman"/>
                <w:b/>
                <w:bCs/>
                <w:kern w:val="0"/>
                <w14:ligatures w14:val="none"/>
              </w:rPr>
              <w:t>Manager/Scrum</w:t>
            </w:r>
            <w:r>
              <w:rPr>
                <w:rFonts w:eastAsia="Times New Roman" w:cs="Times New Roman"/>
                <w:b/>
                <w:bCs/>
                <w:kern w:val="0"/>
                <w14:ligatures w14:val="none"/>
              </w:rPr>
              <w:noBreakHyphen/>
              <w:t xml:space="preserve">Master </w:t>
            </w:r>
            <w:r>
              <w:rPr>
                <w:rFonts w:ascii="Aptos" w:eastAsia="Times New Roman" w:hAnsi="Aptos" w:cs="Aptos"/>
                <w:b/>
                <w:bCs/>
                <w:kern w:val="0"/>
                <w14:ligatures w14:val="none"/>
              </w:rPr>
              <w:t>—</w:t>
            </w:r>
            <w:r>
              <w:rPr>
                <w:rFonts w:eastAsia="Times New Roman" w:cs="Times New Roman"/>
                <w:b/>
                <w:bCs/>
                <w:kern w:val="0"/>
                <w14:ligatures w14:val="none"/>
              </w:rPr>
              <w:t xml:space="preserve"> Tiger (ChatGPT)</w:t>
            </w:r>
          </w:p>
        </w:tc>
        <w:tc>
          <w:tcPr>
            <w:tcW w:w="0" w:type="auto"/>
            <w:vAlign w:val="center"/>
            <w:hideMark/>
          </w:tcPr>
          <w:p w14:paraId="24C17007" w14:textId="77777777">
            <w:pPr>
              <w:spacing w:after="0" w:line="240" w:lineRule="auto"/>
              <w:rPr>
                <w:rFonts w:eastAsia="Times New Roman" w:cs="Times New Roman"/>
                <w:kern w:val="0"/>
                <w14:ligatures w14:val="none"/>
              </w:rPr>
            </w:pPr>
            <w:r>
              <w:rPr>
                <w:rFonts w:eastAsia="Times New Roman" w:cs="Times New Roman"/>
                <w:kern w:val="0"/>
                <w14:ligatures w14:val="none"/>
              </w:rPr>
              <w:t>Creates and maintains sprint plans, tracks budget, resolves blockers, and reports to stakeholders.</w:t>
            </w:r>
          </w:p>
        </w:tc>
        <w:tc>
          <w:tcPr>
            <w:tcW w:w="0" w:type="auto"/>
            <w:vAlign w:val="center"/>
            <w:hideMark/>
          </w:tcPr>
          <w:p w14:paraId="2BF38FCA" w14:textId="77777777">
            <w:pPr>
              <w:spacing w:after="0" w:line="240" w:lineRule="auto"/>
              <w:rPr>
                <w:rFonts w:eastAsia="Times New Roman" w:cs="Times New Roman"/>
                <w:kern w:val="0"/>
                <w14:ligatures w14:val="none"/>
              </w:rPr>
            </w:pPr>
            <w:r>
              <w:rPr>
                <w:rFonts w:eastAsia="Times New Roman" w:cs="Times New Roman"/>
                <w:kern w:val="0"/>
                <w14:ligatures w14:val="none"/>
              </w:rPr>
              <w:t>Monitors vulnerability remediation progress as part of sprint metrics.</w:t>
            </w:r>
          </w:p>
        </w:tc>
      </w:tr>
      <w:tr w14:paraId="25C325F7" w14:textId="77777777">
        <w:trPr>
          <w:tblCellSpacing w:w="15" w:type="dxa"/>
        </w:trPr>
        <w:tc>
          <w:tcPr>
            <w:tcW w:w="0" w:type="auto"/>
            <w:vAlign w:val="center"/>
            <w:hideMark/>
          </w:tcPr>
          <w:p w14:paraId="63059370" w14:textId="77777777">
            <w:pPr>
              <w:spacing w:after="0" w:line="240" w:lineRule="auto"/>
              <w:rPr>
                <w:rFonts w:eastAsia="Times New Roman" w:cs="Times New Roman"/>
                <w:kern w:val="0"/>
                <w14:ligatures w14:val="none"/>
              </w:rPr>
            </w:pPr>
            <w:r>
              <w:rPr>
                <w:rFonts w:eastAsia="Times New Roman" w:cs="Times New Roman"/>
                <w:b/>
                <w:bCs/>
                <w:kern w:val="0"/>
                <w14:ligatures w14:val="none"/>
              </w:rPr>
              <w:t>Lead</w:t>
            </w:r>
            <w:r>
              <w:rPr>
                <w:rFonts w:ascii="Arial" w:eastAsia="Times New Roman" w:hAnsi="Arial" w:cs="Arial"/>
                <w:b/>
                <w:bCs/>
                <w:kern w:val="0"/>
                <w14:ligatures w14:val="none"/>
              </w:rPr>
              <w:t> </w:t>
            </w:r>
            <w:r>
              <w:rPr>
                <w:rFonts w:eastAsia="Times New Roman" w:cs="Times New Roman"/>
                <w:b/>
                <w:bCs/>
                <w:kern w:val="0"/>
                <w14:ligatures w14:val="none"/>
              </w:rPr>
              <w:t>Engineer (Full</w:t>
            </w:r>
            <w:r>
              <w:rPr>
                <w:rFonts w:eastAsia="Times New Roman" w:cs="Times New Roman"/>
                <w:b/>
                <w:bCs/>
                <w:kern w:val="0"/>
                <w14:ligatures w14:val="none"/>
              </w:rPr>
              <w:noBreakHyphen/>
              <w:t>stack</w:t>
            </w:r>
            <w:r>
              <w:rPr>
                <w:rFonts w:ascii="Arial" w:eastAsia="Times New Roman" w:hAnsi="Arial" w:cs="Arial"/>
                <w:b/>
                <w:bCs/>
                <w:kern w:val="0"/>
                <w14:ligatures w14:val="none"/>
              </w:rPr>
              <w:t> </w:t>
            </w:r>
            <w:r>
              <w:rPr>
                <w:rFonts w:eastAsia="Times New Roman" w:cs="Times New Roman"/>
                <w:b/>
                <w:bCs/>
                <w:kern w:val="0"/>
                <w14:ligatures w14:val="none"/>
              </w:rPr>
              <w:t>+</w:t>
            </w:r>
            <w:r>
              <w:rPr>
                <w:rFonts w:ascii="Arial" w:eastAsia="Times New Roman" w:hAnsi="Arial" w:cs="Arial"/>
                <w:b/>
                <w:bCs/>
                <w:kern w:val="0"/>
                <w14:ligatures w14:val="none"/>
              </w:rPr>
              <w:t> </w:t>
            </w:r>
            <w:proofErr w:type="spellStart"/>
            <w:r>
              <w:rPr>
                <w:rFonts w:eastAsia="Times New Roman" w:cs="Times New Roman"/>
                <w:b/>
                <w:bCs/>
                <w:kern w:val="0"/>
                <w14:ligatures w14:val="none"/>
              </w:rPr>
              <w:t>DevSecOps</w:t>
            </w:r>
            <w:proofErr w:type="spellEnd"/>
            <w:r>
              <w:rPr>
                <w:rFonts w:eastAsia="Times New Roman" w:cs="Times New Roman"/>
                <w:b/>
                <w:bCs/>
                <w:kern w:val="0"/>
                <w14:ligatures w14:val="none"/>
              </w:rPr>
              <w:t>)</w:t>
            </w:r>
          </w:p>
        </w:tc>
        <w:tc>
          <w:tcPr>
            <w:tcW w:w="0" w:type="auto"/>
            <w:vAlign w:val="center"/>
            <w:hideMark/>
          </w:tcPr>
          <w:p w14:paraId="67F629AB" w14:textId="77777777">
            <w:pPr>
              <w:spacing w:after="0" w:line="240" w:lineRule="auto"/>
              <w:rPr>
                <w:rFonts w:eastAsia="Times New Roman" w:cs="Times New Roman"/>
                <w:kern w:val="0"/>
                <w14:ligatures w14:val="none"/>
              </w:rPr>
            </w:pPr>
            <w:r>
              <w:rPr>
                <w:rFonts w:eastAsia="Times New Roman" w:cs="Times New Roman"/>
                <w:kern w:val="0"/>
                <w14:ligatures w14:val="none"/>
              </w:rPr>
              <w:t>Owns system architecture, code reviews, CI/CD pipelines, container hardening, and on</w:t>
            </w:r>
            <w:r>
              <w:rPr>
                <w:rFonts w:eastAsia="Times New Roman" w:cs="Times New Roman"/>
                <w:kern w:val="0"/>
                <w14:ligatures w14:val="none"/>
              </w:rPr>
              <w:noBreakHyphen/>
              <w:t>call rotations.</w:t>
            </w:r>
          </w:p>
        </w:tc>
        <w:tc>
          <w:tcPr>
            <w:tcW w:w="0" w:type="auto"/>
            <w:vAlign w:val="center"/>
            <w:hideMark/>
          </w:tcPr>
          <w:p w14:paraId="69A97A3B" w14:textId="77777777">
            <w:pPr>
              <w:spacing w:after="0" w:line="240" w:lineRule="auto"/>
              <w:rPr>
                <w:rFonts w:eastAsia="Times New Roman" w:cs="Times New Roman"/>
                <w:kern w:val="0"/>
                <w14:ligatures w14:val="none"/>
              </w:rPr>
            </w:pPr>
            <w:r>
              <w:rPr>
                <w:rFonts w:eastAsia="Times New Roman" w:cs="Times New Roman"/>
                <w:kern w:val="0"/>
                <w14:ligatures w14:val="none"/>
              </w:rPr>
              <w:t>Implements static/dynamic code scans, oversees patch management, responds to security incidents.</w:t>
            </w:r>
          </w:p>
        </w:tc>
      </w:tr>
      <w:tr w14:paraId="0380A8B2" w14:textId="77777777">
        <w:trPr>
          <w:tblCellSpacing w:w="15" w:type="dxa"/>
        </w:trPr>
        <w:tc>
          <w:tcPr>
            <w:tcW w:w="0" w:type="auto"/>
            <w:vAlign w:val="center"/>
            <w:hideMark/>
          </w:tcPr>
          <w:p w14:paraId="4A944A39" w14:textId="77777777">
            <w:pPr>
              <w:spacing w:after="0" w:line="240" w:lineRule="auto"/>
              <w:rPr>
                <w:rFonts w:eastAsia="Times New Roman" w:cs="Times New Roman"/>
                <w:kern w:val="0"/>
                <w14:ligatures w14:val="none"/>
              </w:rPr>
            </w:pPr>
            <w:r>
              <w:rPr>
                <w:rFonts w:eastAsia="Times New Roman" w:cs="Times New Roman"/>
                <w:b/>
                <w:bCs/>
                <w:kern w:val="0"/>
                <w14:ligatures w14:val="none"/>
              </w:rPr>
              <w:t>Data</w:t>
            </w:r>
            <w:r>
              <w:rPr>
                <w:rFonts w:ascii="Arial" w:eastAsia="Times New Roman" w:hAnsi="Arial" w:cs="Arial"/>
                <w:b/>
                <w:bCs/>
                <w:kern w:val="0"/>
                <w14:ligatures w14:val="none"/>
              </w:rPr>
              <w:t> </w:t>
            </w:r>
            <w:r>
              <w:rPr>
                <w:rFonts w:eastAsia="Times New Roman" w:cs="Times New Roman"/>
                <w:b/>
                <w:bCs/>
                <w:kern w:val="0"/>
                <w14:ligatures w14:val="none"/>
              </w:rPr>
              <w:t>Architect &amp;</w:t>
            </w:r>
            <w:r>
              <w:rPr>
                <w:rFonts w:ascii="Arial" w:eastAsia="Times New Roman" w:hAnsi="Arial" w:cs="Arial"/>
                <w:b/>
                <w:bCs/>
                <w:kern w:val="0"/>
                <w14:ligatures w14:val="none"/>
              </w:rPr>
              <w:t> </w:t>
            </w:r>
            <w:r>
              <w:rPr>
                <w:rFonts w:eastAsia="Times New Roman" w:cs="Times New Roman"/>
                <w:b/>
                <w:bCs/>
                <w:kern w:val="0"/>
                <w14:ligatures w14:val="none"/>
              </w:rPr>
              <w:t>BI</w:t>
            </w:r>
            <w:r>
              <w:rPr>
                <w:rFonts w:ascii="Arial" w:eastAsia="Times New Roman" w:hAnsi="Arial" w:cs="Arial"/>
                <w:b/>
                <w:bCs/>
                <w:kern w:val="0"/>
                <w14:ligatures w14:val="none"/>
              </w:rPr>
              <w:t> </w:t>
            </w:r>
            <w:r>
              <w:rPr>
                <w:rFonts w:eastAsia="Times New Roman" w:cs="Times New Roman"/>
                <w:b/>
                <w:bCs/>
                <w:kern w:val="0"/>
                <w14:ligatures w14:val="none"/>
              </w:rPr>
              <w:t>Specialist</w:t>
            </w:r>
          </w:p>
        </w:tc>
        <w:tc>
          <w:tcPr>
            <w:tcW w:w="0" w:type="auto"/>
            <w:vAlign w:val="center"/>
            <w:hideMark/>
          </w:tcPr>
          <w:p w14:paraId="35F05036" w14:textId="77777777">
            <w:pPr>
              <w:spacing w:after="0" w:line="240" w:lineRule="auto"/>
              <w:rPr>
                <w:rFonts w:eastAsia="Times New Roman" w:cs="Times New Roman"/>
                <w:kern w:val="0"/>
                <w14:ligatures w14:val="none"/>
              </w:rPr>
            </w:pPr>
            <w:r>
              <w:rPr>
                <w:rFonts w:eastAsia="Times New Roman" w:cs="Times New Roman"/>
                <w:kern w:val="0"/>
                <w14:ligatures w14:val="none"/>
              </w:rPr>
              <w:t xml:space="preserve">Designs relational schema and Iceberg </w:t>
            </w:r>
            <w:proofErr w:type="spellStart"/>
            <w:r>
              <w:rPr>
                <w:rFonts w:eastAsia="Times New Roman" w:cs="Times New Roman"/>
                <w:kern w:val="0"/>
                <w14:ligatures w14:val="none"/>
              </w:rPr>
              <w:t>lakehouse</w:t>
            </w:r>
            <w:proofErr w:type="spellEnd"/>
            <w:r>
              <w:rPr>
                <w:rFonts w:eastAsia="Times New Roman" w:cs="Times New Roman"/>
                <w:kern w:val="0"/>
                <w14:ligatures w14:val="none"/>
              </w:rPr>
              <w:t xml:space="preserve">, authors ETL jobs, </w:t>
            </w:r>
            <w:proofErr w:type="spellStart"/>
            <w:r>
              <w:rPr>
                <w:rFonts w:eastAsia="Times New Roman" w:cs="Times New Roman"/>
                <w:kern w:val="0"/>
                <w14:ligatures w14:val="none"/>
              </w:rPr>
              <w:t>optimises</w:t>
            </w:r>
            <w:proofErr w:type="spellEnd"/>
            <w:r>
              <w:rPr>
                <w:rFonts w:eastAsia="Times New Roman" w:cs="Times New Roman"/>
                <w:kern w:val="0"/>
                <w14:ligatures w14:val="none"/>
              </w:rPr>
              <w:t xml:space="preserve"> queries, and curates dashboards.</w:t>
            </w:r>
          </w:p>
        </w:tc>
        <w:tc>
          <w:tcPr>
            <w:tcW w:w="0" w:type="auto"/>
            <w:vAlign w:val="center"/>
            <w:hideMark/>
          </w:tcPr>
          <w:p w14:paraId="5F4209D9" w14:textId="77777777">
            <w:pPr>
              <w:spacing w:after="0" w:line="240" w:lineRule="auto"/>
              <w:rPr>
                <w:rFonts w:eastAsia="Times New Roman" w:cs="Times New Roman"/>
                <w:kern w:val="0"/>
                <w14:ligatures w14:val="none"/>
              </w:rPr>
            </w:pPr>
            <w:r>
              <w:rPr>
                <w:rFonts w:eastAsia="Times New Roman" w:cs="Times New Roman"/>
                <w:kern w:val="0"/>
                <w14:ligatures w14:val="none"/>
              </w:rPr>
              <w:t>Ensures encryption</w:t>
            </w:r>
            <w:r>
              <w:rPr>
                <w:rFonts w:eastAsia="Times New Roman" w:cs="Times New Roman"/>
                <w:kern w:val="0"/>
                <w14:ligatures w14:val="none"/>
              </w:rPr>
              <w:noBreakHyphen/>
              <w:t>at</w:t>
            </w:r>
            <w:r>
              <w:rPr>
                <w:rFonts w:eastAsia="Times New Roman" w:cs="Times New Roman"/>
                <w:kern w:val="0"/>
                <w14:ligatures w14:val="none"/>
              </w:rPr>
              <w:noBreakHyphen/>
              <w:t>rest/on</w:t>
            </w:r>
            <w:r>
              <w:rPr>
                <w:rFonts w:eastAsia="Times New Roman" w:cs="Times New Roman"/>
                <w:kern w:val="0"/>
                <w14:ligatures w14:val="none"/>
              </w:rPr>
              <w:noBreakHyphen/>
              <w:t xml:space="preserve">wire for data stores, validates </w:t>
            </w:r>
            <w:proofErr w:type="spellStart"/>
            <w:r>
              <w:rPr>
                <w:rFonts w:eastAsia="Times New Roman" w:cs="Times New Roman"/>
                <w:kern w:val="0"/>
                <w14:ligatures w14:val="none"/>
              </w:rPr>
              <w:t>anonymisation</w:t>
            </w:r>
            <w:proofErr w:type="spellEnd"/>
            <w:r>
              <w:rPr>
                <w:rFonts w:eastAsia="Times New Roman" w:cs="Times New Roman"/>
                <w:kern w:val="0"/>
                <w14:ligatures w14:val="none"/>
              </w:rPr>
              <w:t xml:space="preserve"> in analytics exports.</w:t>
            </w:r>
          </w:p>
        </w:tc>
      </w:tr>
      <w:tr w14:paraId="65CC7FD7" w14:textId="77777777">
        <w:trPr>
          <w:tblCellSpacing w:w="15" w:type="dxa"/>
        </w:trPr>
        <w:tc>
          <w:tcPr>
            <w:tcW w:w="0" w:type="auto"/>
            <w:vAlign w:val="center"/>
            <w:hideMark/>
          </w:tcPr>
          <w:p w14:paraId="79D4667D" w14:textId="77777777">
            <w:pPr>
              <w:spacing w:after="0" w:line="240" w:lineRule="auto"/>
              <w:rPr>
                <w:rFonts w:eastAsia="Times New Roman" w:cs="Times New Roman"/>
                <w:kern w:val="0"/>
                <w14:ligatures w14:val="none"/>
              </w:rPr>
            </w:pPr>
            <w:r>
              <w:rPr>
                <w:rFonts w:eastAsia="Times New Roman" w:cs="Times New Roman"/>
                <w:b/>
                <w:bCs/>
                <w:kern w:val="0"/>
                <w14:ligatures w14:val="none"/>
              </w:rPr>
              <w:lastRenderedPageBreak/>
              <w:t>Compliance &amp;</w:t>
            </w:r>
            <w:r>
              <w:rPr>
                <w:rFonts w:ascii="Arial" w:eastAsia="Times New Roman" w:hAnsi="Arial" w:cs="Arial"/>
                <w:b/>
                <w:bCs/>
                <w:kern w:val="0"/>
                <w14:ligatures w14:val="none"/>
              </w:rPr>
              <w:t> </w:t>
            </w:r>
            <w:r>
              <w:rPr>
                <w:rFonts w:eastAsia="Times New Roman" w:cs="Times New Roman"/>
                <w:b/>
                <w:bCs/>
                <w:kern w:val="0"/>
                <w14:ligatures w14:val="none"/>
              </w:rPr>
              <w:t>Security</w:t>
            </w:r>
            <w:r>
              <w:rPr>
                <w:rFonts w:ascii="Arial" w:eastAsia="Times New Roman" w:hAnsi="Arial" w:cs="Arial"/>
                <w:b/>
                <w:bCs/>
                <w:kern w:val="0"/>
                <w14:ligatures w14:val="none"/>
              </w:rPr>
              <w:t> </w:t>
            </w:r>
            <w:r>
              <w:rPr>
                <w:rFonts w:eastAsia="Times New Roman" w:cs="Times New Roman"/>
                <w:b/>
                <w:bCs/>
                <w:kern w:val="0"/>
                <w14:ligatures w14:val="none"/>
              </w:rPr>
              <w:t>Officer (Part</w:t>
            </w:r>
            <w:r>
              <w:rPr>
                <w:rFonts w:eastAsia="Times New Roman" w:cs="Times New Roman"/>
                <w:b/>
                <w:bCs/>
                <w:kern w:val="0"/>
                <w14:ligatures w14:val="none"/>
              </w:rPr>
              <w:noBreakHyphen/>
              <w:t>time legal/infosec consultant)</w:t>
            </w:r>
          </w:p>
        </w:tc>
        <w:tc>
          <w:tcPr>
            <w:tcW w:w="0" w:type="auto"/>
            <w:vAlign w:val="center"/>
            <w:hideMark/>
          </w:tcPr>
          <w:p w14:paraId="646CC198" w14:textId="77777777">
            <w:pPr>
              <w:spacing w:after="0" w:line="240" w:lineRule="auto"/>
              <w:rPr>
                <w:rFonts w:eastAsia="Times New Roman" w:cs="Times New Roman"/>
                <w:kern w:val="0"/>
                <w14:ligatures w14:val="none"/>
              </w:rPr>
            </w:pPr>
            <w:r>
              <w:rPr>
                <w:rFonts w:eastAsia="Times New Roman" w:cs="Times New Roman"/>
                <w:kern w:val="0"/>
                <w14:ligatures w14:val="none"/>
              </w:rPr>
              <w:t>Interprets Kenya</w:t>
            </w:r>
            <w:r>
              <w:rPr>
                <w:rFonts w:ascii="Arial" w:eastAsia="Times New Roman" w:hAnsi="Arial" w:cs="Arial"/>
                <w:kern w:val="0"/>
                <w14:ligatures w14:val="none"/>
              </w:rPr>
              <w:t> </w:t>
            </w:r>
            <w:r>
              <w:rPr>
                <w:rFonts w:eastAsia="Times New Roman" w:cs="Times New Roman"/>
                <w:kern w:val="0"/>
                <w14:ligatures w14:val="none"/>
              </w:rPr>
              <w:t>DPA</w:t>
            </w:r>
            <w:r>
              <w:rPr>
                <w:rFonts w:ascii="Arial" w:eastAsia="Times New Roman" w:hAnsi="Arial" w:cs="Arial"/>
                <w:kern w:val="0"/>
                <w14:ligatures w14:val="none"/>
              </w:rPr>
              <w:t> </w:t>
            </w:r>
            <w:r>
              <w:rPr>
                <w:rFonts w:eastAsia="Times New Roman" w:cs="Times New Roman"/>
                <w:kern w:val="0"/>
                <w14:ligatures w14:val="none"/>
              </w:rPr>
              <w:t>2019, MOH EMR guidelines, and HIPAA; conducts threat modelling, privacy impact assessments, and external penetration tests twice a year.</w:t>
            </w:r>
          </w:p>
        </w:tc>
        <w:tc>
          <w:tcPr>
            <w:tcW w:w="0" w:type="auto"/>
            <w:vAlign w:val="center"/>
            <w:hideMark/>
          </w:tcPr>
          <w:p w14:paraId="3B4BCB8C" w14:textId="77777777">
            <w:pPr>
              <w:spacing w:after="0" w:line="240" w:lineRule="auto"/>
              <w:rPr>
                <w:rFonts w:eastAsia="Times New Roman" w:cs="Times New Roman"/>
                <w:kern w:val="0"/>
                <w14:ligatures w14:val="none"/>
              </w:rPr>
            </w:pPr>
            <w:r>
              <w:rPr>
                <w:rFonts w:eastAsia="Times New Roman" w:cs="Times New Roman"/>
                <w:kern w:val="0"/>
                <w14:ligatures w14:val="none"/>
              </w:rPr>
              <w:t>Serves as single point of contact for the Office of the Data Protection Commissioner; approves Data Protection Impact Assessment (DPIA).</w:t>
            </w:r>
          </w:p>
        </w:tc>
      </w:tr>
      <w:tr w14:paraId="4726F80D" w14:textId="77777777">
        <w:trPr>
          <w:tblCellSpacing w:w="15" w:type="dxa"/>
        </w:trPr>
        <w:tc>
          <w:tcPr>
            <w:tcW w:w="0" w:type="auto"/>
            <w:vAlign w:val="center"/>
            <w:hideMark/>
          </w:tcPr>
          <w:p w14:paraId="71514DF8" w14:textId="77777777">
            <w:pPr>
              <w:spacing w:after="0" w:line="240" w:lineRule="auto"/>
              <w:rPr>
                <w:rFonts w:eastAsia="Times New Roman" w:cs="Times New Roman"/>
                <w:kern w:val="0"/>
                <w14:ligatures w14:val="none"/>
              </w:rPr>
            </w:pPr>
            <w:proofErr w:type="gramStart"/>
            <w:r>
              <w:rPr>
                <w:rFonts w:eastAsia="Times New Roman" w:cs="Times New Roman"/>
                <w:b/>
                <w:bCs/>
                <w:kern w:val="0"/>
                <w14:ligatures w14:val="none"/>
              </w:rPr>
              <w:t>Clinic</w:t>
            </w:r>
            <w:r>
              <w:rPr>
                <w:rFonts w:ascii="Arial" w:eastAsia="Times New Roman" w:hAnsi="Arial" w:cs="Arial"/>
                <w:b/>
                <w:bCs/>
                <w:kern w:val="0"/>
                <w14:ligatures w14:val="none"/>
              </w:rPr>
              <w:t> </w:t>
            </w:r>
            <w:r>
              <w:rPr>
                <w:rFonts w:eastAsia="Times New Roman" w:cs="Times New Roman"/>
                <w:b/>
                <w:bCs/>
                <w:kern w:val="0"/>
                <w14:ligatures w14:val="none"/>
              </w:rPr>
              <w:t>Champion</w:t>
            </w:r>
            <w:proofErr w:type="gramEnd"/>
            <w:r>
              <w:rPr>
                <w:rFonts w:eastAsia="Times New Roman" w:cs="Times New Roman"/>
                <w:b/>
                <w:bCs/>
                <w:kern w:val="0"/>
                <w14:ligatures w14:val="none"/>
              </w:rPr>
              <w:t xml:space="preserve"> </w:t>
            </w:r>
            <w:r>
              <w:rPr>
                <w:rFonts w:ascii="Aptos" w:eastAsia="Times New Roman" w:hAnsi="Aptos" w:cs="Aptos"/>
                <w:b/>
                <w:bCs/>
                <w:kern w:val="0"/>
                <w14:ligatures w14:val="none"/>
              </w:rPr>
              <w:t>—</w:t>
            </w:r>
            <w:r>
              <w:rPr>
                <w:rFonts w:eastAsia="Times New Roman" w:cs="Times New Roman"/>
                <w:b/>
                <w:bCs/>
                <w:kern w:val="0"/>
                <w14:ligatures w14:val="none"/>
              </w:rPr>
              <w:t xml:space="preserve"> Dr</w:t>
            </w:r>
            <w:r>
              <w:rPr>
                <w:rFonts w:ascii="Arial" w:eastAsia="Times New Roman" w:hAnsi="Arial" w:cs="Arial"/>
                <w:b/>
                <w:bCs/>
                <w:kern w:val="0"/>
                <w14:ligatures w14:val="none"/>
              </w:rPr>
              <w:t> </w:t>
            </w:r>
            <w:proofErr w:type="spellStart"/>
            <w:r>
              <w:rPr>
                <w:rFonts w:eastAsia="Times New Roman" w:cs="Times New Roman"/>
                <w:b/>
                <w:bCs/>
                <w:kern w:val="0"/>
                <w14:ligatures w14:val="none"/>
              </w:rPr>
              <w:t>Siboe</w:t>
            </w:r>
            <w:proofErr w:type="spellEnd"/>
          </w:p>
        </w:tc>
        <w:tc>
          <w:tcPr>
            <w:tcW w:w="0" w:type="auto"/>
            <w:vAlign w:val="center"/>
            <w:hideMark/>
          </w:tcPr>
          <w:p w14:paraId="57290E64" w14:textId="77777777">
            <w:pPr>
              <w:spacing w:after="0" w:line="240" w:lineRule="auto"/>
              <w:rPr>
                <w:rFonts w:eastAsia="Times New Roman" w:cs="Times New Roman"/>
                <w:kern w:val="0"/>
                <w14:ligatures w14:val="none"/>
              </w:rPr>
            </w:pPr>
            <w:r>
              <w:rPr>
                <w:rFonts w:eastAsia="Times New Roman" w:cs="Times New Roman"/>
                <w:kern w:val="0"/>
                <w14:ligatures w14:val="none"/>
              </w:rPr>
              <w:t>Provides clinical workflows, tests UX flows, drives staff adoption, and schedules training sessions.</w:t>
            </w:r>
          </w:p>
        </w:tc>
        <w:tc>
          <w:tcPr>
            <w:tcW w:w="0" w:type="auto"/>
            <w:vAlign w:val="center"/>
            <w:hideMark/>
          </w:tcPr>
          <w:p w14:paraId="5D19F05D" w14:textId="77777777">
            <w:pPr>
              <w:spacing w:after="0" w:line="240" w:lineRule="auto"/>
              <w:rPr>
                <w:rFonts w:eastAsia="Times New Roman" w:cs="Times New Roman"/>
                <w:kern w:val="0"/>
                <w14:ligatures w14:val="none"/>
              </w:rPr>
            </w:pPr>
            <w:r>
              <w:rPr>
                <w:rFonts w:eastAsia="Times New Roman" w:cs="Times New Roman"/>
                <w:kern w:val="0"/>
                <w14:ligatures w14:val="none"/>
              </w:rPr>
              <w:t>Flags workflow gaps that could create unsafe shortcuts, ensuring secure yet usable design.</w:t>
            </w:r>
          </w:p>
        </w:tc>
      </w:tr>
    </w:tbl>
    <w:p w14:paraId="3D06E383" w14:textId="77777777">
      <w:pPr>
        <w:spacing w:before="100" w:beforeAutospacing="1" w:after="100" w:afterAutospacing="1" w:line="240" w:lineRule="auto"/>
        <w:rPr>
          <w:rFonts w:ascii="Times New Roman" w:eastAsia="Times New Roman" w:hAnsi="Times New Roman" w:cs="Times New Roman"/>
          <w:kern w:val="0"/>
          <w14:ligatures w14:val="none"/>
        </w:rPr>
      </w:pPr>
      <w:r>
        <w:rPr>
          <w:rFonts w:eastAsia="Times New Roman" w:cs="Times New Roman"/>
          <w:kern w:val="0"/>
          <w14:ligatures w14:val="none"/>
        </w:rPr>
        <w:t xml:space="preserve">A </w:t>
      </w:r>
      <w:r>
        <w:rPr>
          <w:rFonts w:eastAsia="Times New Roman" w:cs="Times New Roman"/>
          <w:b/>
          <w:bCs/>
          <w:kern w:val="0"/>
          <w14:ligatures w14:val="none"/>
        </w:rPr>
        <w:t>fractional Infosec Consultant</w:t>
      </w:r>
      <w:r>
        <w:rPr>
          <w:rFonts w:eastAsia="Times New Roman" w:cs="Times New Roman"/>
          <w:kern w:val="0"/>
          <w14:ligatures w14:val="none"/>
        </w:rPr>
        <w:t xml:space="preserve"> (engaged ~5</w:t>
      </w:r>
      <w:r>
        <w:rPr>
          <w:rFonts w:ascii="Arial" w:eastAsia="Times New Roman" w:hAnsi="Arial" w:cs="Arial"/>
          <w:kern w:val="0"/>
          <w14:ligatures w14:val="none"/>
        </w:rPr>
        <w:t> </w:t>
      </w:r>
      <w:r>
        <w:rPr>
          <w:rFonts w:eastAsia="Times New Roman" w:cs="Times New Roman"/>
          <w:kern w:val="0"/>
          <w14:ligatures w14:val="none"/>
        </w:rPr>
        <w:t>days/quarter) performs advanced tasks</w:t>
      </w:r>
      <w:r>
        <w:rPr>
          <w:rFonts w:ascii="Aptos" w:eastAsia="Times New Roman" w:hAnsi="Aptos" w:cs="Aptos"/>
          <w:kern w:val="0"/>
          <w14:ligatures w14:val="none"/>
        </w:rPr>
        <w:t>—</w:t>
      </w:r>
      <w:r>
        <w:rPr>
          <w:rFonts w:eastAsia="Times New Roman" w:cs="Times New Roman"/>
          <w:kern w:val="0"/>
          <w14:ligatures w14:val="none"/>
        </w:rPr>
        <w:t>penetration testing, Kubernetes benchmark audits, and incident</w:t>
      </w:r>
      <w:r>
        <w:rPr>
          <w:rFonts w:eastAsia="Times New Roman" w:cs="Times New Roman"/>
          <w:kern w:val="0"/>
          <w14:ligatures w14:val="none"/>
        </w:rPr>
        <w:noBreakHyphen/>
        <w:t>response tabletop drills</w:t>
      </w:r>
      <w:r>
        <w:rPr>
          <w:rFonts w:ascii="Aptos" w:eastAsia="Times New Roman" w:hAnsi="Aptos" w:cs="Aptos"/>
          <w:kern w:val="0"/>
          <w14:ligatures w14:val="none"/>
        </w:rPr>
        <w:t>—</w:t>
      </w:r>
      <w:r>
        <w:rPr>
          <w:rFonts w:eastAsia="Times New Roman" w:cs="Times New Roman"/>
          <w:kern w:val="0"/>
          <w14:ligatures w14:val="none"/>
        </w:rPr>
        <w:t>thereby giving the team</w:t>
      </w:r>
      <w:r>
        <w:rPr>
          <w:rFonts w:ascii="Times New Roman" w:eastAsia="Times New Roman" w:hAnsi="Times New Roman" w:cs="Times New Roman"/>
          <w:kern w:val="0"/>
          <w14:ligatures w14:val="none"/>
        </w:rPr>
        <w:t xml:space="preserve"> senior security coverage without the cost of a full</w:t>
      </w:r>
      <w:r>
        <w:rPr>
          <w:rFonts w:ascii="Times New Roman" w:eastAsia="Times New Roman" w:hAnsi="Times New Roman" w:cs="Times New Roman"/>
          <w:kern w:val="0"/>
          <w14:ligatures w14:val="none"/>
        </w:rPr>
        <w:noBreakHyphen/>
        <w:t>time hire.</w:t>
      </w:r>
    </w:p>
    <w:p w14:paraId="4C52FBCB" w14:textId="77777777">
      <w:pPr>
        <w:jc w:val="both"/>
      </w:pPr>
    </w:p>
    <w:p w14:paraId="26928778" w14:textId="77777777">
      <w:pPr>
        <w:pStyle w:val="ListParagraph"/>
        <w:numPr>
          <w:ilvl w:val="0"/>
          <w:numId w:val="10"/>
        </w:numPr>
        <w:jc w:val="both"/>
        <w:rPr>
          <w:b/>
          <w:bCs/>
        </w:rPr>
      </w:pPr>
      <w:r>
        <w:rPr>
          <w:b/>
          <w:bCs/>
        </w:rPr>
        <w:t>Budget Estimate (KES)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2250"/>
        <w:gridCol w:w="2340"/>
      </w:tblGrid>
      <w:tr w14:paraId="7EE1D824" w14:textId="77777777">
        <w:trPr>
          <w:tblHeader/>
          <w:tblCellSpacing w:w="15" w:type="dxa"/>
        </w:trPr>
        <w:tc>
          <w:tcPr>
            <w:tcW w:w="0" w:type="auto"/>
            <w:vAlign w:val="center"/>
            <w:hideMark/>
          </w:tcPr>
          <w:p w14:paraId="5E63CF93" w14:textId="77777777">
            <w:pPr>
              <w:jc w:val="both"/>
              <w:rPr>
                <w:b/>
                <w:bCs/>
              </w:rPr>
            </w:pPr>
            <w:r>
              <w:rPr>
                <w:b/>
                <w:bCs/>
              </w:rPr>
              <w:t>Item</w:t>
            </w:r>
          </w:p>
        </w:tc>
        <w:tc>
          <w:tcPr>
            <w:tcW w:w="2220" w:type="dxa"/>
            <w:vAlign w:val="center"/>
            <w:hideMark/>
          </w:tcPr>
          <w:p w14:paraId="361F1118" w14:textId="77777777">
            <w:pPr>
              <w:jc w:val="both"/>
              <w:rPr>
                <w:b/>
                <w:bCs/>
              </w:rPr>
            </w:pPr>
            <w:proofErr w:type="spellStart"/>
            <w:r>
              <w:rPr>
                <w:b/>
                <w:bCs/>
              </w:rPr>
              <w:t>CapEx</w:t>
            </w:r>
            <w:proofErr w:type="spellEnd"/>
          </w:p>
        </w:tc>
        <w:tc>
          <w:tcPr>
            <w:tcW w:w="2295" w:type="dxa"/>
            <w:vAlign w:val="center"/>
            <w:hideMark/>
          </w:tcPr>
          <w:p w14:paraId="60DFA5A0" w14:textId="77777777">
            <w:pPr>
              <w:jc w:val="both"/>
              <w:rPr>
                <w:b/>
                <w:bCs/>
              </w:rPr>
            </w:pPr>
            <w:proofErr w:type="spellStart"/>
            <w:r>
              <w:rPr>
                <w:b/>
                <w:bCs/>
              </w:rPr>
              <w:t>OpEx</w:t>
            </w:r>
            <w:proofErr w:type="spellEnd"/>
            <w:r>
              <w:rPr>
                <w:b/>
                <w:bCs/>
              </w:rPr>
              <w:t xml:space="preserve"> / yr</w:t>
            </w:r>
          </w:p>
        </w:tc>
      </w:tr>
      <w:tr w14:paraId="4CA9AF98" w14:textId="77777777">
        <w:trPr>
          <w:tblCellSpacing w:w="15" w:type="dxa"/>
        </w:trPr>
        <w:tc>
          <w:tcPr>
            <w:tcW w:w="0" w:type="auto"/>
            <w:vAlign w:val="center"/>
            <w:hideMark/>
          </w:tcPr>
          <w:p w14:paraId="392DE84C" w14:textId="77777777">
            <w:pPr>
              <w:jc w:val="both"/>
            </w:pPr>
            <w:r>
              <w:t>Hardware (</w:t>
            </w:r>
            <w:proofErr w:type="spellStart"/>
            <w:r>
              <w:t>TrueNAS</w:t>
            </w:r>
            <w:proofErr w:type="spellEnd"/>
            <w:r>
              <w:t xml:space="preserve"> server)</w:t>
            </w:r>
          </w:p>
        </w:tc>
        <w:tc>
          <w:tcPr>
            <w:tcW w:w="2220" w:type="dxa"/>
            <w:vAlign w:val="center"/>
            <w:hideMark/>
          </w:tcPr>
          <w:p w14:paraId="313571F8" w14:textId="77777777">
            <w:pPr>
              <w:jc w:val="both"/>
            </w:pPr>
            <w:r>
              <w:t>680,000</w:t>
            </w:r>
          </w:p>
        </w:tc>
        <w:tc>
          <w:tcPr>
            <w:tcW w:w="2295" w:type="dxa"/>
            <w:vAlign w:val="center"/>
            <w:hideMark/>
          </w:tcPr>
          <w:p w14:paraId="6A620012" w14:textId="77777777">
            <w:pPr>
              <w:jc w:val="both"/>
            </w:pPr>
            <w:r>
              <w:t>—</w:t>
            </w:r>
          </w:p>
        </w:tc>
      </w:tr>
      <w:tr w14:paraId="6E265851" w14:textId="77777777">
        <w:trPr>
          <w:tblCellSpacing w:w="15" w:type="dxa"/>
        </w:trPr>
        <w:tc>
          <w:tcPr>
            <w:tcW w:w="0" w:type="auto"/>
            <w:vAlign w:val="center"/>
            <w:hideMark/>
          </w:tcPr>
          <w:p w14:paraId="24C23A21" w14:textId="77777777">
            <w:pPr>
              <w:jc w:val="both"/>
            </w:pPr>
            <w:r>
              <w:t>Implementation services</w:t>
            </w:r>
          </w:p>
        </w:tc>
        <w:tc>
          <w:tcPr>
            <w:tcW w:w="2220" w:type="dxa"/>
            <w:vAlign w:val="center"/>
            <w:hideMark/>
          </w:tcPr>
          <w:p w14:paraId="4A3CCAA5" w14:textId="77777777">
            <w:pPr>
              <w:jc w:val="both"/>
            </w:pPr>
            <w:r>
              <w:t>1,200,000</w:t>
            </w:r>
          </w:p>
        </w:tc>
        <w:tc>
          <w:tcPr>
            <w:tcW w:w="2295" w:type="dxa"/>
            <w:vAlign w:val="center"/>
            <w:hideMark/>
          </w:tcPr>
          <w:p w14:paraId="193700CC" w14:textId="77777777">
            <w:pPr>
              <w:jc w:val="both"/>
            </w:pPr>
            <w:r>
              <w:t>—</w:t>
            </w:r>
          </w:p>
        </w:tc>
      </w:tr>
      <w:tr w14:paraId="7A64CA68" w14:textId="77777777">
        <w:trPr>
          <w:tblCellSpacing w:w="15" w:type="dxa"/>
        </w:trPr>
        <w:tc>
          <w:tcPr>
            <w:tcW w:w="0" w:type="auto"/>
            <w:vAlign w:val="center"/>
            <w:hideMark/>
          </w:tcPr>
          <w:p w14:paraId="5016FCD5" w14:textId="77777777">
            <w:pPr>
              <w:jc w:val="both"/>
            </w:pPr>
            <w:r>
              <w:t>Support &amp; maintenance</w:t>
            </w:r>
          </w:p>
        </w:tc>
        <w:tc>
          <w:tcPr>
            <w:tcW w:w="2220" w:type="dxa"/>
            <w:vAlign w:val="center"/>
            <w:hideMark/>
          </w:tcPr>
          <w:p w14:paraId="1CEE5651" w14:textId="77777777">
            <w:pPr>
              <w:jc w:val="both"/>
            </w:pPr>
            <w:r>
              <w:t>—</w:t>
            </w:r>
          </w:p>
        </w:tc>
        <w:tc>
          <w:tcPr>
            <w:tcW w:w="2295" w:type="dxa"/>
            <w:vAlign w:val="center"/>
            <w:hideMark/>
          </w:tcPr>
          <w:p w14:paraId="7E721A38" w14:textId="77777777">
            <w:pPr>
              <w:jc w:val="both"/>
            </w:pPr>
            <w:r>
              <w:t>360,000</w:t>
            </w:r>
          </w:p>
        </w:tc>
      </w:tr>
      <w:tr w14:paraId="16443B50" w14:textId="77777777">
        <w:trPr>
          <w:tblCellSpacing w:w="15" w:type="dxa"/>
        </w:trPr>
        <w:tc>
          <w:tcPr>
            <w:tcW w:w="0" w:type="auto"/>
            <w:vAlign w:val="center"/>
            <w:hideMark/>
          </w:tcPr>
          <w:p w14:paraId="07B5DF90" w14:textId="77777777">
            <w:pPr>
              <w:jc w:val="both"/>
            </w:pPr>
            <w:r>
              <w:t>Training &amp; change mgt.</w:t>
            </w:r>
          </w:p>
        </w:tc>
        <w:tc>
          <w:tcPr>
            <w:tcW w:w="2220" w:type="dxa"/>
            <w:vAlign w:val="center"/>
            <w:hideMark/>
          </w:tcPr>
          <w:p w14:paraId="674E3A74" w14:textId="77777777">
            <w:pPr>
              <w:jc w:val="both"/>
            </w:pPr>
            <w:r>
              <w:t>120,000</w:t>
            </w:r>
          </w:p>
        </w:tc>
        <w:tc>
          <w:tcPr>
            <w:tcW w:w="2295" w:type="dxa"/>
            <w:vAlign w:val="center"/>
            <w:hideMark/>
          </w:tcPr>
          <w:p w14:paraId="3F255540" w14:textId="77777777">
            <w:pPr>
              <w:jc w:val="both"/>
            </w:pPr>
            <w:r>
              <w:t>60,000</w:t>
            </w:r>
          </w:p>
        </w:tc>
      </w:tr>
      <w:tr w14:paraId="6282D44D" w14:textId="77777777">
        <w:trPr>
          <w:tblCellSpacing w:w="15" w:type="dxa"/>
        </w:trPr>
        <w:tc>
          <w:tcPr>
            <w:tcW w:w="0" w:type="auto"/>
            <w:vAlign w:val="center"/>
            <w:hideMark/>
          </w:tcPr>
          <w:p w14:paraId="52A43557" w14:textId="77777777">
            <w:pPr>
              <w:jc w:val="both"/>
            </w:pPr>
            <w:r>
              <w:rPr>
                <w:b/>
                <w:bCs/>
              </w:rPr>
              <w:t>Total</w:t>
            </w:r>
          </w:p>
        </w:tc>
        <w:tc>
          <w:tcPr>
            <w:tcW w:w="2220" w:type="dxa"/>
            <w:vAlign w:val="center"/>
            <w:hideMark/>
          </w:tcPr>
          <w:p w14:paraId="009F3D2D" w14:textId="77777777">
            <w:pPr>
              <w:jc w:val="both"/>
            </w:pPr>
            <w:r>
              <w:rPr>
                <w:b/>
                <w:bCs/>
              </w:rPr>
              <w:t>≈</w:t>
            </w:r>
            <w:r>
              <w:rPr>
                <w:rFonts w:ascii="Arial" w:hAnsi="Arial" w:cs="Arial"/>
                <w:b/>
                <w:bCs/>
              </w:rPr>
              <w:t> </w:t>
            </w:r>
            <w:r>
              <w:rPr>
                <w:rFonts w:ascii="Arial" w:hAnsi="Arial" w:cs="Arial"/>
                <w:b/>
                <w:bCs/>
              </w:rPr>
              <w:t>2</w:t>
            </w:r>
            <w:r>
              <w:rPr>
                <w:b/>
                <w:bCs/>
              </w:rPr>
              <w:t>.</w:t>
            </w:r>
            <w:r>
              <w:rPr>
                <w:rFonts w:ascii="Aptos" w:hAnsi="Aptos" w:cs="Aptos"/>
                <w:b/>
                <w:bCs/>
              </w:rPr>
              <w:t> </w:t>
            </w:r>
            <w:r>
              <w:rPr>
                <w:b/>
                <w:bCs/>
              </w:rPr>
              <w:t>M</w:t>
            </w:r>
          </w:p>
        </w:tc>
        <w:tc>
          <w:tcPr>
            <w:tcW w:w="2295" w:type="dxa"/>
            <w:vAlign w:val="center"/>
            <w:hideMark/>
          </w:tcPr>
          <w:p w14:paraId="77FA9068" w14:textId="77777777">
            <w:pPr>
              <w:jc w:val="both"/>
            </w:pPr>
            <w:r>
              <w:rPr>
                <w:b/>
                <w:bCs/>
              </w:rPr>
              <w:t>≈</w:t>
            </w:r>
            <w:r>
              <w:rPr>
                <w:rFonts w:ascii="Arial" w:hAnsi="Arial" w:cs="Arial"/>
                <w:b/>
                <w:bCs/>
              </w:rPr>
              <w:t> </w:t>
            </w:r>
            <w:r>
              <w:rPr>
                <w:b/>
                <w:bCs/>
              </w:rPr>
              <w:t>0.42</w:t>
            </w:r>
            <w:r>
              <w:rPr>
                <w:rFonts w:ascii="Arial" w:hAnsi="Arial" w:cs="Arial"/>
                <w:b/>
                <w:bCs/>
              </w:rPr>
              <w:t> </w:t>
            </w:r>
            <w:r>
              <w:rPr>
                <w:b/>
                <w:bCs/>
              </w:rPr>
              <w:t>M</w:t>
            </w:r>
          </w:p>
        </w:tc>
      </w:tr>
    </w:tbl>
    <w:p w14:paraId="5017705A" w14:textId="77777777">
      <w:pPr>
        <w:jc w:val="both"/>
      </w:pPr>
      <w:r>
        <w:rPr>
          <w:i/>
          <w:iCs/>
        </w:rPr>
        <w:t>(Detailed BOM in Appendix B)</w:t>
      </w:r>
    </w:p>
    <w:p w14:paraId="2E3E197E" w14:textId="77777777">
      <w:pPr>
        <w:pStyle w:val="ListParagraph"/>
        <w:numPr>
          <w:ilvl w:val="0"/>
          <w:numId w:val="10"/>
        </w:numPr>
        <w:jc w:val="both"/>
        <w:rPr>
          <w:b/>
          <w:bCs/>
        </w:rPr>
      </w:pPr>
      <w:r>
        <w:rPr>
          <w:b/>
          <w:bCs/>
        </w:rPr>
        <w:t>Risk &amp;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1214"/>
        <w:gridCol w:w="927"/>
        <w:gridCol w:w="3309"/>
      </w:tblGrid>
      <w:tr w14:paraId="00C59D0B" w14:textId="77777777">
        <w:trPr>
          <w:tblHeader/>
          <w:tblCellSpacing w:w="15" w:type="dxa"/>
        </w:trPr>
        <w:tc>
          <w:tcPr>
            <w:tcW w:w="0" w:type="auto"/>
            <w:vAlign w:val="center"/>
            <w:hideMark/>
          </w:tcPr>
          <w:p w14:paraId="1F64C6B9" w14:textId="77777777">
            <w:pPr>
              <w:jc w:val="both"/>
              <w:rPr>
                <w:b/>
                <w:bCs/>
              </w:rPr>
            </w:pPr>
            <w:r>
              <w:rPr>
                <w:b/>
                <w:bCs/>
              </w:rPr>
              <w:t>Risk</w:t>
            </w:r>
          </w:p>
        </w:tc>
        <w:tc>
          <w:tcPr>
            <w:tcW w:w="0" w:type="auto"/>
            <w:vAlign w:val="center"/>
            <w:hideMark/>
          </w:tcPr>
          <w:p w14:paraId="782879C6" w14:textId="77777777">
            <w:pPr>
              <w:jc w:val="both"/>
              <w:rPr>
                <w:b/>
                <w:bCs/>
              </w:rPr>
            </w:pPr>
            <w:r>
              <w:rPr>
                <w:b/>
                <w:bCs/>
              </w:rPr>
              <w:t>Likelihood</w:t>
            </w:r>
          </w:p>
        </w:tc>
        <w:tc>
          <w:tcPr>
            <w:tcW w:w="0" w:type="auto"/>
            <w:vAlign w:val="center"/>
            <w:hideMark/>
          </w:tcPr>
          <w:p w14:paraId="43D4A793" w14:textId="77777777">
            <w:pPr>
              <w:jc w:val="both"/>
              <w:rPr>
                <w:b/>
                <w:bCs/>
              </w:rPr>
            </w:pPr>
            <w:r>
              <w:rPr>
                <w:b/>
                <w:bCs/>
              </w:rPr>
              <w:t>Impact</w:t>
            </w:r>
          </w:p>
        </w:tc>
        <w:tc>
          <w:tcPr>
            <w:tcW w:w="0" w:type="auto"/>
            <w:vAlign w:val="center"/>
            <w:hideMark/>
          </w:tcPr>
          <w:p w14:paraId="502D9BFA" w14:textId="77777777">
            <w:pPr>
              <w:jc w:val="both"/>
              <w:rPr>
                <w:b/>
                <w:bCs/>
              </w:rPr>
            </w:pPr>
            <w:r>
              <w:rPr>
                <w:b/>
                <w:bCs/>
              </w:rPr>
              <w:t>Mitigation</w:t>
            </w:r>
          </w:p>
        </w:tc>
      </w:tr>
      <w:tr w14:paraId="25890402" w14:textId="77777777">
        <w:trPr>
          <w:tblCellSpacing w:w="15" w:type="dxa"/>
        </w:trPr>
        <w:tc>
          <w:tcPr>
            <w:tcW w:w="0" w:type="auto"/>
            <w:vAlign w:val="center"/>
            <w:hideMark/>
          </w:tcPr>
          <w:p w14:paraId="38264C98" w14:textId="77777777">
            <w:pPr>
              <w:jc w:val="both"/>
            </w:pPr>
            <w:r>
              <w:t>Staff resistance</w:t>
            </w:r>
          </w:p>
        </w:tc>
        <w:tc>
          <w:tcPr>
            <w:tcW w:w="0" w:type="auto"/>
            <w:vAlign w:val="center"/>
            <w:hideMark/>
          </w:tcPr>
          <w:p w14:paraId="30553365" w14:textId="77777777">
            <w:pPr>
              <w:jc w:val="both"/>
            </w:pPr>
            <w:r>
              <w:t>Medium</w:t>
            </w:r>
          </w:p>
        </w:tc>
        <w:tc>
          <w:tcPr>
            <w:tcW w:w="0" w:type="auto"/>
            <w:vAlign w:val="center"/>
            <w:hideMark/>
          </w:tcPr>
          <w:p w14:paraId="4FA17644" w14:textId="77777777">
            <w:pPr>
              <w:jc w:val="both"/>
            </w:pPr>
            <w:r>
              <w:t>High</w:t>
            </w:r>
          </w:p>
        </w:tc>
        <w:tc>
          <w:tcPr>
            <w:tcW w:w="0" w:type="auto"/>
            <w:vAlign w:val="center"/>
            <w:hideMark/>
          </w:tcPr>
          <w:p w14:paraId="004300F9" w14:textId="77777777">
            <w:pPr>
              <w:jc w:val="both"/>
            </w:pPr>
            <w:r>
              <w:t>Early UX demos, champions</w:t>
            </w:r>
          </w:p>
        </w:tc>
      </w:tr>
      <w:tr w14:paraId="592F66F9" w14:textId="77777777">
        <w:trPr>
          <w:tblCellSpacing w:w="15" w:type="dxa"/>
        </w:trPr>
        <w:tc>
          <w:tcPr>
            <w:tcW w:w="0" w:type="auto"/>
            <w:vAlign w:val="center"/>
            <w:hideMark/>
          </w:tcPr>
          <w:p w14:paraId="146B995F" w14:textId="77777777">
            <w:pPr>
              <w:jc w:val="both"/>
            </w:pPr>
            <w:r>
              <w:lastRenderedPageBreak/>
              <w:t>Power outages</w:t>
            </w:r>
          </w:p>
        </w:tc>
        <w:tc>
          <w:tcPr>
            <w:tcW w:w="0" w:type="auto"/>
            <w:vAlign w:val="center"/>
            <w:hideMark/>
          </w:tcPr>
          <w:p w14:paraId="7EE78ECD" w14:textId="77777777">
            <w:pPr>
              <w:jc w:val="both"/>
            </w:pPr>
            <w:r>
              <w:t>High</w:t>
            </w:r>
          </w:p>
        </w:tc>
        <w:tc>
          <w:tcPr>
            <w:tcW w:w="0" w:type="auto"/>
            <w:vAlign w:val="center"/>
            <w:hideMark/>
          </w:tcPr>
          <w:p w14:paraId="145E3EA5" w14:textId="77777777">
            <w:pPr>
              <w:jc w:val="both"/>
            </w:pPr>
            <w:r>
              <w:t>Medium</w:t>
            </w:r>
          </w:p>
        </w:tc>
        <w:tc>
          <w:tcPr>
            <w:tcW w:w="0" w:type="auto"/>
            <w:vAlign w:val="center"/>
            <w:hideMark/>
          </w:tcPr>
          <w:p w14:paraId="7E95F044" w14:textId="77777777">
            <w:pPr>
              <w:jc w:val="both"/>
            </w:pPr>
            <w:r>
              <w:t>UPS + generator, ZFS journaling</w:t>
            </w:r>
          </w:p>
        </w:tc>
      </w:tr>
      <w:tr w14:paraId="676E3735" w14:textId="77777777">
        <w:trPr>
          <w:tblCellSpacing w:w="15" w:type="dxa"/>
        </w:trPr>
        <w:tc>
          <w:tcPr>
            <w:tcW w:w="0" w:type="auto"/>
            <w:vAlign w:val="center"/>
            <w:hideMark/>
          </w:tcPr>
          <w:p w14:paraId="0A8E4B7B" w14:textId="77777777">
            <w:pPr>
              <w:jc w:val="both"/>
            </w:pPr>
            <w:r>
              <w:t>Regulatory change</w:t>
            </w:r>
          </w:p>
        </w:tc>
        <w:tc>
          <w:tcPr>
            <w:tcW w:w="0" w:type="auto"/>
            <w:vAlign w:val="center"/>
            <w:hideMark/>
          </w:tcPr>
          <w:p w14:paraId="0FF26C2D" w14:textId="77777777">
            <w:pPr>
              <w:jc w:val="both"/>
            </w:pPr>
            <w:r>
              <w:t>Low</w:t>
            </w:r>
          </w:p>
        </w:tc>
        <w:tc>
          <w:tcPr>
            <w:tcW w:w="0" w:type="auto"/>
            <w:vAlign w:val="center"/>
            <w:hideMark/>
          </w:tcPr>
          <w:p w14:paraId="622CC08E" w14:textId="77777777">
            <w:pPr>
              <w:jc w:val="both"/>
            </w:pPr>
            <w:r>
              <w:t>Medium</w:t>
            </w:r>
          </w:p>
        </w:tc>
        <w:tc>
          <w:tcPr>
            <w:tcW w:w="0" w:type="auto"/>
            <w:vAlign w:val="center"/>
            <w:hideMark/>
          </w:tcPr>
          <w:p w14:paraId="69E3E8FE" w14:textId="77777777">
            <w:pPr>
              <w:jc w:val="both"/>
            </w:pPr>
            <w:r>
              <w:t>Agile updates, modular API</w:t>
            </w:r>
          </w:p>
        </w:tc>
      </w:tr>
    </w:tbl>
    <w:p w14:paraId="0A48CB6B" w14:textId="77777777">
      <w:pPr>
        <w:jc w:val="both"/>
        <w:rPr>
          <w:rFonts w:ascii="Aptos" w:hAnsi="Aptos" w:cs="Aptos"/>
          <w:b/>
          <w:bCs/>
        </w:rPr>
      </w:pPr>
    </w:p>
    <w:p w14:paraId="25B06F36" w14:textId="77777777">
      <w:pPr>
        <w:pStyle w:val="ListParagraph"/>
        <w:numPr>
          <w:ilvl w:val="0"/>
          <w:numId w:val="10"/>
        </w:numPr>
        <w:jc w:val="both"/>
        <w:rPr>
          <w:b/>
          <w:bCs/>
        </w:rPr>
      </w:pPr>
      <w:r>
        <w:rPr>
          <w:b/>
          <w:bCs/>
        </w:rPr>
        <w:t>Next Steps</w:t>
      </w:r>
    </w:p>
    <w:p w14:paraId="7CA72BF4" w14:textId="77777777">
      <w:pPr>
        <w:numPr>
          <w:ilvl w:val="0"/>
          <w:numId w:val="8"/>
        </w:numPr>
        <w:jc w:val="both"/>
      </w:pPr>
      <w:r>
        <w:t>Review &amp; sign off proposal.</w:t>
      </w:r>
    </w:p>
    <w:p w14:paraId="344E1877" w14:textId="77777777">
      <w:pPr>
        <w:numPr>
          <w:ilvl w:val="0"/>
          <w:numId w:val="8"/>
        </w:numPr>
        <w:jc w:val="both"/>
      </w:pPr>
      <w:proofErr w:type="spellStart"/>
      <w:r>
        <w:t>Finalise</w:t>
      </w:r>
      <w:proofErr w:type="spellEnd"/>
      <w:r>
        <w:t xml:space="preserve"> hardware procurement.</w:t>
      </w:r>
    </w:p>
    <w:p w14:paraId="330D6B91" w14:textId="77777777">
      <w:pPr>
        <w:numPr>
          <w:ilvl w:val="0"/>
          <w:numId w:val="8"/>
        </w:numPr>
        <w:jc w:val="both"/>
      </w:pPr>
      <w:r>
        <w:t>Schedule Phase 0 kick</w:t>
      </w:r>
      <w:r>
        <w:noBreakHyphen/>
        <w:t xml:space="preserve">off (target </w:t>
      </w:r>
      <w:r>
        <w:rPr>
          <w:b/>
          <w:bCs/>
        </w:rPr>
        <w:t>May 5</w:t>
      </w:r>
      <w:proofErr w:type="gramStart"/>
      <w:r>
        <w:rPr>
          <w:rFonts w:ascii="Arial" w:hAnsi="Arial" w:cs="Arial"/>
          <w:b/>
          <w:bCs/>
        </w:rPr>
        <w:t> </w:t>
      </w:r>
      <w:r>
        <w:rPr>
          <w:b/>
          <w:bCs/>
        </w:rPr>
        <w:t>2025</w:t>
      </w:r>
      <w:proofErr w:type="gramEnd"/>
      <w:r>
        <w:t>).</w:t>
      </w:r>
    </w:p>
    <w:p w14:paraId="24E46774" w14:textId="77777777">
      <w:pPr>
        <w:jc w:val="both"/>
      </w:pPr>
      <w:r>
        <w:pict w14:anchorId="189F3437">
          <v:rect id="_x0000_i1026" style="width:0;height:1.5pt" o:hralign="center" o:hrstd="t" o:hr="t" fillcolor="#a0a0a0" stroked="f"/>
        </w:pict>
      </w:r>
    </w:p>
    <w:p w14:paraId="69619572" w14:textId="77777777">
      <w:pPr>
        <w:jc w:val="both"/>
        <w:rPr>
          <w:b/>
          <w:bCs/>
        </w:rPr>
      </w:pPr>
      <w:r>
        <w:rPr>
          <w:b/>
          <w:bCs/>
        </w:rPr>
        <w:t>Appendix A — Architecture Diagram Source (draw.io)</w:t>
      </w:r>
    </w:p>
    <w:p w14:paraId="5FAF1B1E" w14:textId="77777777">
      <w:pPr>
        <w:jc w:val="both"/>
      </w:pPr>
      <w:r>
        <w:rPr>
          <w:i/>
          <w:iCs/>
        </w:rPr>
        <w:t xml:space="preserve">(Use the existing XML attached in the </w:t>
      </w:r>
      <w:proofErr w:type="spellStart"/>
      <w:r>
        <w:rPr>
          <w:i/>
          <w:iCs/>
        </w:rPr>
        <w:t>Medimesh</w:t>
      </w:r>
      <w:proofErr w:type="spellEnd"/>
      <w:r>
        <w:rPr>
          <w:i/>
          <w:iCs/>
        </w:rPr>
        <w:t xml:space="preserve"> sub</w:t>
      </w:r>
      <w:r>
        <w:rPr>
          <w:i/>
          <w:iCs/>
        </w:rPr>
        <w:noBreakHyphen/>
        <w:t>room.)</w:t>
      </w:r>
    </w:p>
    <w:p w14:paraId="5BB02C88" w14:textId="77777777">
      <w:pPr>
        <w:jc w:val="both"/>
        <w:rPr>
          <w:b/>
          <w:bCs/>
        </w:rPr>
      </w:pPr>
      <w:r>
        <w:rPr>
          <w:b/>
          <w:bCs/>
        </w:rPr>
        <w:t>Appendix B — Bill of Materials</w:t>
      </w:r>
    </w:p>
    <w:p w14:paraId="10A9470F" w14:textId="77777777">
      <w:pPr>
        <w:numPr>
          <w:ilvl w:val="0"/>
          <w:numId w:val="9"/>
        </w:numPr>
        <w:jc w:val="both"/>
      </w:pPr>
      <w:proofErr w:type="spellStart"/>
      <w:r>
        <w:t>TrueNAS</w:t>
      </w:r>
      <w:proofErr w:type="spellEnd"/>
      <w:r>
        <w:t xml:space="preserve"> Mini XL+ chassis, 8</w:t>
      </w:r>
      <w:r>
        <w:rPr>
          <w:rFonts w:ascii="Arial" w:hAnsi="Arial" w:cs="Arial"/>
        </w:rPr>
        <w:t> </w:t>
      </w:r>
      <w:r>
        <w:rPr>
          <w:rFonts w:ascii="Aptos" w:hAnsi="Aptos" w:cs="Aptos"/>
        </w:rPr>
        <w:t>×</w:t>
      </w:r>
      <w:r>
        <w:rPr>
          <w:rFonts w:ascii="Arial" w:hAnsi="Arial" w:cs="Arial"/>
        </w:rPr>
        <w:t> </w:t>
      </w:r>
      <w:r>
        <w:t>6</w:t>
      </w:r>
      <w:r>
        <w:rPr>
          <w:rFonts w:ascii="Arial" w:hAnsi="Arial" w:cs="Arial"/>
        </w:rPr>
        <w:t> </w:t>
      </w:r>
      <w:r>
        <w:t>TB</w:t>
      </w:r>
      <w:r>
        <w:rPr>
          <w:rFonts w:ascii="Aptos" w:hAnsi="Aptos" w:cs="Aptos"/>
        </w:rPr>
        <w:t> </w:t>
      </w:r>
      <w:r>
        <w:t>HDD, 2</w:t>
      </w:r>
      <w:r>
        <w:rPr>
          <w:rFonts w:ascii="Arial" w:hAnsi="Arial" w:cs="Arial"/>
        </w:rPr>
        <w:t> </w:t>
      </w:r>
      <w:r>
        <w:rPr>
          <w:rFonts w:ascii="Aptos" w:hAnsi="Aptos" w:cs="Aptos"/>
        </w:rPr>
        <w:t>×</w:t>
      </w:r>
      <w:r>
        <w:rPr>
          <w:rFonts w:ascii="Arial" w:hAnsi="Arial" w:cs="Arial"/>
        </w:rPr>
        <w:t> </w:t>
      </w:r>
      <w:r>
        <w:t>1</w:t>
      </w:r>
      <w:r>
        <w:rPr>
          <w:rFonts w:ascii="Arial" w:hAnsi="Arial" w:cs="Arial"/>
        </w:rPr>
        <w:t> </w:t>
      </w:r>
      <w:r>
        <w:t>TB</w:t>
      </w:r>
      <w:r>
        <w:rPr>
          <w:rFonts w:ascii="Aptos" w:hAnsi="Aptos" w:cs="Aptos"/>
        </w:rPr>
        <w:t> </w:t>
      </w:r>
      <w:r>
        <w:t>NVMe (SLOG, L2ARC).</w:t>
      </w:r>
    </w:p>
    <w:p w14:paraId="4917C245" w14:textId="77777777">
      <w:pPr>
        <w:numPr>
          <w:ilvl w:val="0"/>
          <w:numId w:val="9"/>
        </w:numPr>
        <w:jc w:val="both"/>
      </w:pPr>
      <w:r>
        <w:t>2</w:t>
      </w:r>
      <w:r>
        <w:rPr>
          <w:rFonts w:ascii="Arial" w:hAnsi="Arial" w:cs="Arial"/>
        </w:rPr>
        <w:t> </w:t>
      </w:r>
      <w:r>
        <w:rPr>
          <w:rFonts w:ascii="Aptos" w:hAnsi="Aptos" w:cs="Aptos"/>
        </w:rPr>
        <w:t>×</w:t>
      </w:r>
      <w:r>
        <w:rPr>
          <w:rFonts w:ascii="Arial" w:hAnsi="Arial" w:cs="Arial"/>
        </w:rPr>
        <w:t> </w:t>
      </w:r>
      <w:r>
        <w:t>10</w:t>
      </w:r>
      <w:r>
        <w:rPr>
          <w:rFonts w:ascii="Arial" w:hAnsi="Arial" w:cs="Arial"/>
        </w:rPr>
        <w:t> </w:t>
      </w:r>
      <w:r>
        <w:t>GbE NIC, 1</w:t>
      </w:r>
      <w:r>
        <w:rPr>
          <w:rFonts w:ascii="Arial" w:hAnsi="Arial" w:cs="Arial"/>
        </w:rPr>
        <w:t> </w:t>
      </w:r>
      <w:r>
        <w:rPr>
          <w:rFonts w:ascii="Aptos" w:hAnsi="Aptos" w:cs="Aptos"/>
        </w:rPr>
        <w:t>×</w:t>
      </w:r>
      <w:r>
        <w:rPr>
          <w:rFonts w:ascii="Arial" w:hAnsi="Arial" w:cs="Arial"/>
        </w:rPr>
        <w:t> </w:t>
      </w:r>
      <w:r>
        <w:t>650</w:t>
      </w:r>
      <w:r>
        <w:rPr>
          <w:rFonts w:ascii="Arial" w:hAnsi="Arial" w:cs="Arial"/>
        </w:rPr>
        <w:t> </w:t>
      </w:r>
      <w:r>
        <w:t>VA UPS.</w:t>
      </w:r>
    </w:p>
    <w:p w14:paraId="2F84B745" w14:textId="77777777">
      <w:pPr>
        <w:numPr>
          <w:ilvl w:val="0"/>
          <w:numId w:val="9"/>
        </w:numPr>
        <w:jc w:val="both"/>
      </w:pPr>
      <w:r>
        <w:t>Spare parts kit (fans, drives).</w:t>
      </w:r>
    </w:p>
    <w:p w14:paraId="4D7FF9B7" w14:textId="77777777"/>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E547C"/>
    <w:multiLevelType w:val="multilevel"/>
    <w:tmpl w:val="DCF4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962F4"/>
    <w:multiLevelType w:val="multilevel"/>
    <w:tmpl w:val="065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B40BB"/>
    <w:multiLevelType w:val="multilevel"/>
    <w:tmpl w:val="231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47B11"/>
    <w:multiLevelType w:val="multilevel"/>
    <w:tmpl w:val="0804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931E8"/>
    <w:multiLevelType w:val="multilevel"/>
    <w:tmpl w:val="A62C6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A5132"/>
    <w:multiLevelType w:val="multilevel"/>
    <w:tmpl w:val="45B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46DF0"/>
    <w:multiLevelType w:val="multilevel"/>
    <w:tmpl w:val="A22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D5CF3"/>
    <w:multiLevelType w:val="hybridMultilevel"/>
    <w:tmpl w:val="424CAC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700950"/>
    <w:multiLevelType w:val="multilevel"/>
    <w:tmpl w:val="C08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46E5C"/>
    <w:multiLevelType w:val="multilevel"/>
    <w:tmpl w:val="1E2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4650C"/>
    <w:multiLevelType w:val="multilevel"/>
    <w:tmpl w:val="6D0E27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698708">
    <w:abstractNumId w:val="10"/>
  </w:num>
  <w:num w:numId="2" w16cid:durableId="631443231">
    <w:abstractNumId w:val="6"/>
  </w:num>
  <w:num w:numId="3" w16cid:durableId="811408971">
    <w:abstractNumId w:val="9"/>
  </w:num>
  <w:num w:numId="4" w16cid:durableId="1062022251">
    <w:abstractNumId w:val="8"/>
  </w:num>
  <w:num w:numId="5" w16cid:durableId="401369675">
    <w:abstractNumId w:val="4"/>
  </w:num>
  <w:num w:numId="6" w16cid:durableId="2010017223">
    <w:abstractNumId w:val="2"/>
  </w:num>
  <w:num w:numId="7" w16cid:durableId="155338993">
    <w:abstractNumId w:val="0"/>
  </w:num>
  <w:num w:numId="8" w16cid:durableId="31225247">
    <w:abstractNumId w:val="3"/>
  </w:num>
  <w:num w:numId="9" w16cid:durableId="1840652374">
    <w:abstractNumId w:val="1"/>
  </w:num>
  <w:num w:numId="10" w16cid:durableId="965307011">
    <w:abstractNumId w:val="7"/>
  </w:num>
  <w:num w:numId="11" w16cid:durableId="228347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A4"/>
    <w:rsid w:val="00214828"/>
    <w:rsid w:val="003B76A5"/>
    <w:rsid w:val="00895D9E"/>
    <w:rsid w:val="00DC0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C2593"/>
  <w15:chartTrackingRefBased/>
  <w15:docId w15:val="{BF8065EF-1060-47E6-9478-79D8AFF8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9A4"/>
  </w:style>
  <w:style w:type="paragraph" w:styleId="Heading1">
    <w:name w:val="heading 1"/>
    <w:basedOn w:val="Normal"/>
    <w:next w:val="Normal"/>
    <w:link w:val="Heading1Char"/>
    <w:uiPriority w:val="9"/>
    <w:qFormat/>
    <w:rsid w:val="00DC0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A4"/>
    <w:rPr>
      <w:rFonts w:eastAsiaTheme="majorEastAsia" w:cstheme="majorBidi"/>
      <w:color w:val="272727" w:themeColor="text1" w:themeTint="D8"/>
    </w:rPr>
  </w:style>
  <w:style w:type="paragraph" w:styleId="Title">
    <w:name w:val="Title"/>
    <w:basedOn w:val="Normal"/>
    <w:next w:val="Normal"/>
    <w:link w:val="TitleChar"/>
    <w:uiPriority w:val="10"/>
    <w:qFormat/>
    <w:rsid w:val="00DC0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A4"/>
    <w:pPr>
      <w:spacing w:before="160"/>
      <w:jc w:val="center"/>
    </w:pPr>
    <w:rPr>
      <w:i/>
      <w:iCs/>
      <w:color w:val="404040" w:themeColor="text1" w:themeTint="BF"/>
    </w:rPr>
  </w:style>
  <w:style w:type="character" w:customStyle="1" w:styleId="QuoteChar">
    <w:name w:val="Quote Char"/>
    <w:basedOn w:val="DefaultParagraphFont"/>
    <w:link w:val="Quote"/>
    <w:uiPriority w:val="29"/>
    <w:rsid w:val="00DC09A4"/>
    <w:rPr>
      <w:i/>
      <w:iCs/>
      <w:color w:val="404040" w:themeColor="text1" w:themeTint="BF"/>
    </w:rPr>
  </w:style>
  <w:style w:type="paragraph" w:styleId="ListParagraph">
    <w:name w:val="List Paragraph"/>
    <w:basedOn w:val="Normal"/>
    <w:uiPriority w:val="34"/>
    <w:qFormat/>
    <w:rsid w:val="00DC09A4"/>
    <w:pPr>
      <w:ind w:left="720"/>
      <w:contextualSpacing/>
    </w:pPr>
  </w:style>
  <w:style w:type="character" w:styleId="IntenseEmphasis">
    <w:name w:val="Intense Emphasis"/>
    <w:basedOn w:val="DefaultParagraphFont"/>
    <w:uiPriority w:val="21"/>
    <w:qFormat/>
    <w:rsid w:val="00DC09A4"/>
    <w:rPr>
      <w:i/>
      <w:iCs/>
      <w:color w:val="0F4761" w:themeColor="accent1" w:themeShade="BF"/>
    </w:rPr>
  </w:style>
  <w:style w:type="paragraph" w:styleId="IntenseQuote">
    <w:name w:val="Intense Quote"/>
    <w:basedOn w:val="Normal"/>
    <w:next w:val="Normal"/>
    <w:link w:val="IntenseQuoteChar"/>
    <w:uiPriority w:val="30"/>
    <w:qFormat/>
    <w:rsid w:val="00DC0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9A4"/>
    <w:rPr>
      <w:i/>
      <w:iCs/>
      <w:color w:val="0F4761" w:themeColor="accent1" w:themeShade="BF"/>
    </w:rPr>
  </w:style>
  <w:style w:type="character" w:styleId="IntenseReference">
    <w:name w:val="Intense Reference"/>
    <w:basedOn w:val="DefaultParagraphFont"/>
    <w:uiPriority w:val="32"/>
    <w:qFormat/>
    <w:rsid w:val="00DC0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3216</Words>
  <Characters>18335</Characters>
  <Application>Microsoft Office Word</Application>
  <DocSecurity>0</DocSecurity>
  <Lines>152</Lines>
  <Paragraphs>43</Paragraphs>
  <ScaleCrop>false</ScaleCrop>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2025-04-17T17:24:00Z</dcterms:created>
  <dcterms:modified xsi:type="dcterms:W3CDTF">2025-05-06T12:05:00Z</dcterms:modified>
</cp:coreProperties>
</file>