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485" w:rsidRPr="00644485" w:rsidRDefault="00644485" w:rsidP="00644485">
      <w:pPr>
        <w:jc w:val="both"/>
      </w:pPr>
      <w:r w:rsidRPr="00644485">
        <w:t>Credit risk scoring and credit risk measurement</w:t>
      </w:r>
    </w:p>
    <w:p w:rsidR="00644485" w:rsidRPr="00644485" w:rsidRDefault="00644485" w:rsidP="00644485">
      <w:pPr>
        <w:jc w:val="both"/>
      </w:pPr>
      <w:r w:rsidRPr="00644485">
        <w:t>Credit risk scoring and credit risk measurement are two important elements of credit risk management in a financial institution. They each serve distinct but complementary functions in assessing and managing the risk associated with lending activities.</w:t>
      </w:r>
    </w:p>
    <w:p w:rsidR="00644485" w:rsidRPr="00644485" w:rsidRDefault="00644485" w:rsidP="00644485">
      <w:pPr>
        <w:jc w:val="both"/>
      </w:pPr>
      <w:r w:rsidRPr="00644485">
        <w:rPr>
          <w:b/>
          <w:bCs/>
        </w:rPr>
        <w:t>Credit Risk Scoring</w:t>
      </w:r>
    </w:p>
    <w:p w:rsidR="00644485" w:rsidRPr="00644485" w:rsidRDefault="00644485" w:rsidP="00644485">
      <w:pPr>
        <w:jc w:val="both"/>
      </w:pPr>
      <w:r w:rsidRPr="00644485">
        <w:t>Credit risk scoring, also known as credit scoring, is a system that assigns a numerical score to a potential borrower based on a variety of data points that represent the borrower's creditworthiness.</w:t>
      </w:r>
    </w:p>
    <w:p w:rsidR="00644485" w:rsidRPr="00644485" w:rsidRDefault="00644485" w:rsidP="00644485">
      <w:pPr>
        <w:jc w:val="both"/>
      </w:pPr>
      <w:r w:rsidRPr="00644485">
        <w:t>Credit scoring models typically take into account factors such as:</w:t>
      </w:r>
    </w:p>
    <w:p w:rsidR="00644485" w:rsidRPr="00644485" w:rsidRDefault="00644485" w:rsidP="00644485">
      <w:pPr>
        <w:numPr>
          <w:ilvl w:val="0"/>
          <w:numId w:val="1"/>
        </w:numPr>
        <w:jc w:val="both"/>
      </w:pPr>
      <w:r w:rsidRPr="00644485">
        <w:t>Credit History: This includes past payment behavior, the number of open credit lines, and the length of established credit.</w:t>
      </w:r>
    </w:p>
    <w:p w:rsidR="00644485" w:rsidRPr="00644485" w:rsidRDefault="00644485" w:rsidP="00644485">
      <w:pPr>
        <w:numPr>
          <w:ilvl w:val="0"/>
          <w:numId w:val="1"/>
        </w:numPr>
        <w:jc w:val="both"/>
      </w:pPr>
      <w:r w:rsidRPr="00644485">
        <w:t>Current Debts: The amount of debt the borrower currently has.</w:t>
      </w:r>
    </w:p>
    <w:p w:rsidR="00644485" w:rsidRPr="00644485" w:rsidRDefault="00644485" w:rsidP="00644485">
      <w:pPr>
        <w:numPr>
          <w:ilvl w:val="0"/>
          <w:numId w:val="1"/>
        </w:numPr>
        <w:jc w:val="both"/>
      </w:pPr>
      <w:r w:rsidRPr="00644485">
        <w:t>Income Level: Higher income levels generally indicate a higher ability to repay debts.</w:t>
      </w:r>
    </w:p>
    <w:p w:rsidR="00644485" w:rsidRPr="00644485" w:rsidRDefault="00644485" w:rsidP="00644485">
      <w:pPr>
        <w:numPr>
          <w:ilvl w:val="0"/>
          <w:numId w:val="1"/>
        </w:numPr>
        <w:jc w:val="both"/>
      </w:pPr>
      <w:r w:rsidRPr="00644485">
        <w:t>Employment Status: A stable employment history indicates reliability and a steady income stream for loan repayment.</w:t>
      </w:r>
    </w:p>
    <w:p w:rsidR="00644485" w:rsidRPr="00644485" w:rsidRDefault="00644485" w:rsidP="00644485">
      <w:pPr>
        <w:jc w:val="both"/>
      </w:pPr>
      <w:r w:rsidRPr="00644485">
        <w:t>The output is a single score (for example, a FICO score ranges from 300-850) that provides a quick reference point for the lender to assess credit risk. Borrowers with higher scores are considered less risky.</w:t>
      </w:r>
    </w:p>
    <w:p w:rsidR="00644485" w:rsidRPr="00644485" w:rsidRDefault="00644485" w:rsidP="00644485">
      <w:pPr>
        <w:jc w:val="both"/>
      </w:pPr>
      <w:r w:rsidRPr="00644485">
        <w:rPr>
          <w:b/>
          <w:bCs/>
        </w:rPr>
        <w:t>Credit Risk Measurement</w:t>
      </w:r>
    </w:p>
    <w:p w:rsidR="00644485" w:rsidRPr="00644485" w:rsidRDefault="00644485" w:rsidP="00644485">
      <w:pPr>
        <w:jc w:val="both"/>
      </w:pPr>
      <w:r w:rsidRPr="00644485">
        <w:t>While credit scoring provides a simplified risk indicator, credit risk measurement provides a more comprehensive evaluation of credit risk by estimating the potential loss a lender could face if a borrower defaults.</w:t>
      </w:r>
    </w:p>
    <w:p w:rsidR="00644485" w:rsidRPr="00644485" w:rsidRDefault="00644485" w:rsidP="00644485">
      <w:pPr>
        <w:jc w:val="both"/>
      </w:pPr>
      <w:r w:rsidRPr="00644485">
        <w:t>This process involves estimating three key parameters:</w:t>
      </w:r>
    </w:p>
    <w:p w:rsidR="00644485" w:rsidRPr="00644485" w:rsidRDefault="00644485" w:rsidP="00644485">
      <w:pPr>
        <w:numPr>
          <w:ilvl w:val="0"/>
          <w:numId w:val="2"/>
        </w:numPr>
        <w:jc w:val="both"/>
      </w:pPr>
      <w:r w:rsidRPr="00644485">
        <w:t>Probability of Default (PD): The likelihood that the borrower will default over a certain time horizon.</w:t>
      </w:r>
    </w:p>
    <w:p w:rsidR="00644485" w:rsidRPr="00644485" w:rsidRDefault="00644485" w:rsidP="00644485">
      <w:pPr>
        <w:numPr>
          <w:ilvl w:val="0"/>
          <w:numId w:val="2"/>
        </w:numPr>
        <w:jc w:val="both"/>
      </w:pPr>
      <w:r w:rsidRPr="00644485">
        <w:t>Loss Given Default (LGD): The proportion of the exposure that is likely to be lost if a default occurs.</w:t>
      </w:r>
    </w:p>
    <w:p w:rsidR="00644485" w:rsidRPr="00644485" w:rsidRDefault="00644485" w:rsidP="00644485">
      <w:pPr>
        <w:numPr>
          <w:ilvl w:val="0"/>
          <w:numId w:val="2"/>
        </w:numPr>
        <w:jc w:val="both"/>
      </w:pPr>
      <w:r w:rsidRPr="00644485">
        <w:t>Exposure at Default (EAD): The amount that the lender is exposed to at the time of default.</w:t>
      </w:r>
    </w:p>
    <w:p w:rsidR="00644485" w:rsidRPr="00644485" w:rsidRDefault="00644485" w:rsidP="00644485">
      <w:pPr>
        <w:jc w:val="both"/>
      </w:pPr>
      <w:r w:rsidRPr="00644485">
        <w:t>These parameters are then combined to calculate the Expected Credit Loss (ECL):</w:t>
      </w:r>
    </w:p>
    <w:p w:rsidR="00644485" w:rsidRPr="00644485" w:rsidRDefault="00644485" w:rsidP="00644485">
      <w:pPr>
        <w:jc w:val="both"/>
      </w:pPr>
      <w:r w:rsidRPr="00644485">
        <w:t>Expected Credit Loss = PD * LGD * EAD</w:t>
      </w:r>
    </w:p>
    <w:p w:rsidR="00644485" w:rsidRDefault="00644485" w:rsidP="00644485">
      <w:pPr>
        <w:jc w:val="both"/>
      </w:pPr>
      <w:r w:rsidRPr="00644485">
        <w:t>Both credit risk scoring and credit risk measurement play crucial roles in credit risk management. Credit scores provide a quick and easy-to-understand assessment of credit risk, making them useful for initial loan approval decisions. On the other hand, credit risk measurement offers a detailed and comprehensive view of credit risk, making it valuable for risk management, pricing, and regulatory capital purposes.</w:t>
      </w:r>
    </w:p>
    <w:p w:rsidR="00644485" w:rsidRPr="00644485" w:rsidRDefault="00644485" w:rsidP="00644485">
      <w:pPr>
        <w:jc w:val="both"/>
      </w:pPr>
    </w:p>
    <w:p w:rsidR="00644485" w:rsidRPr="00644485" w:rsidRDefault="00644485" w:rsidP="00644485">
      <w:pPr>
        <w:jc w:val="both"/>
      </w:pPr>
      <w:r w:rsidRPr="00644485">
        <w:rPr>
          <w:b/>
          <w:bCs/>
        </w:rPr>
        <w:t>Definition of Credit Risk</w:t>
      </w:r>
    </w:p>
    <w:p w:rsidR="00644485" w:rsidRPr="00644485" w:rsidRDefault="00644485" w:rsidP="00644485">
      <w:pPr>
        <w:jc w:val="both"/>
      </w:pPr>
      <w:r>
        <w:lastRenderedPageBreak/>
        <w:t xml:space="preserve">Credit risk </w:t>
      </w:r>
      <w:r w:rsidRPr="00644485">
        <w:t>refers to the potential that a borrower will fail to meet their obligations to repay a loan or fulfill the terms of a credit agreement</w:t>
      </w:r>
      <w:sdt>
        <w:sdtPr>
          <w:id w:val="-265315018"/>
          <w:citation/>
        </w:sdtPr>
        <w:sdtEndPr/>
        <w:sdtContent>
          <w:r w:rsidR="00EF08FA">
            <w:fldChar w:fldCharType="begin"/>
          </w:r>
          <w:r w:rsidR="00EF08FA">
            <w:instrText xml:space="preserve"> CITATION Ken14 \l 1033 </w:instrText>
          </w:r>
          <w:r w:rsidR="00EF08FA">
            <w:fldChar w:fldCharType="separate"/>
          </w:r>
          <w:r w:rsidR="00EF08FA">
            <w:rPr>
              <w:noProof/>
            </w:rPr>
            <w:t xml:space="preserve"> (Brown &amp; Moles, 2014)</w:t>
          </w:r>
          <w:r w:rsidR="00EF08FA">
            <w:fldChar w:fldCharType="end"/>
          </w:r>
        </w:sdtContent>
      </w:sdt>
      <w:r w:rsidRPr="00644485">
        <w:t>. In essence, it's the risk that a lender could suffer financial loss if a borrower cannot make the required payments on time.</w:t>
      </w:r>
    </w:p>
    <w:p w:rsidR="00644485" w:rsidRDefault="00644485" w:rsidP="00644485">
      <w:pPr>
        <w:jc w:val="both"/>
      </w:pPr>
      <w:r w:rsidRPr="00644485">
        <w:t>Credit risk applies not just to loans, but also to other forms of credit exposure, such as bonds, derivatives, and even trade credit</w:t>
      </w:r>
      <w:sdt>
        <w:sdtPr>
          <w:id w:val="-995483668"/>
          <w:citation/>
        </w:sdtPr>
        <w:sdtEndPr/>
        <w:sdtContent>
          <w:r w:rsidR="00A74AA0">
            <w:fldChar w:fldCharType="begin"/>
          </w:r>
          <w:r w:rsidR="00A74AA0">
            <w:instrText xml:space="preserve"> CITATION Bou21 \l 1033 </w:instrText>
          </w:r>
          <w:r w:rsidR="00A74AA0">
            <w:fldChar w:fldCharType="separate"/>
          </w:r>
          <w:r w:rsidR="00A74AA0">
            <w:rPr>
              <w:noProof/>
            </w:rPr>
            <w:t xml:space="preserve"> (Bouteille, 2021)</w:t>
          </w:r>
          <w:r w:rsidR="00A74AA0">
            <w:fldChar w:fldCharType="end"/>
          </w:r>
        </w:sdtContent>
      </w:sdt>
      <w:r w:rsidRPr="00644485">
        <w:t>. It can involve loss of principal and interest, disruption to cash flows, and increased collection costs.</w:t>
      </w:r>
    </w:p>
    <w:p w:rsidR="00644485" w:rsidRPr="00644485" w:rsidRDefault="00644485" w:rsidP="00644485">
      <w:pPr>
        <w:jc w:val="both"/>
      </w:pPr>
      <w:r>
        <w:t xml:space="preserve">Credit risk </w:t>
      </w:r>
      <w:r w:rsidRPr="00644485">
        <w:t>is the risk that a borrower or counterparty will not fulfill their obligations as per the terms of the contract</w:t>
      </w:r>
      <w:sdt>
        <w:sdtPr>
          <w:id w:val="250080986"/>
          <w:citation/>
        </w:sdtPr>
        <w:sdtEndPr/>
        <w:sdtContent>
          <w:r w:rsidR="00A74AA0">
            <w:fldChar w:fldCharType="begin"/>
          </w:r>
          <w:r w:rsidR="00A74AA0">
            <w:instrText xml:space="preserve"> CITATION Spu15 \l 1033 </w:instrText>
          </w:r>
          <w:r w:rsidR="00A74AA0">
            <w:fldChar w:fldCharType="separate"/>
          </w:r>
          <w:r w:rsidR="00A74AA0">
            <w:rPr>
              <w:noProof/>
            </w:rPr>
            <w:t xml:space="preserve"> (Spuchľáková, 2015)</w:t>
          </w:r>
          <w:r w:rsidR="00A74AA0">
            <w:fldChar w:fldCharType="end"/>
          </w:r>
        </w:sdtContent>
      </w:sdt>
      <w:r w:rsidRPr="00644485">
        <w:t>. These obligations may be related to a loan repayment, financial derivative, insurance policy claim, lease agreement, or any other form of financial transaction where one party has an obligation to another.</w:t>
      </w:r>
    </w:p>
    <w:p w:rsidR="00644485" w:rsidRPr="00644485" w:rsidRDefault="00644485" w:rsidP="00644485">
      <w:pPr>
        <w:jc w:val="both"/>
      </w:pPr>
      <w:r w:rsidRPr="00644485">
        <w:t>This risk can be broken down into several components:</w:t>
      </w:r>
    </w:p>
    <w:p w:rsidR="00644485" w:rsidRPr="00644485" w:rsidRDefault="00644485" w:rsidP="00644485">
      <w:pPr>
        <w:numPr>
          <w:ilvl w:val="0"/>
          <w:numId w:val="4"/>
        </w:numPr>
        <w:jc w:val="both"/>
      </w:pPr>
      <w:r w:rsidRPr="00644485">
        <w:rPr>
          <w:b/>
          <w:bCs/>
        </w:rPr>
        <w:t>Default Risk</w:t>
      </w:r>
      <w:r w:rsidRPr="00644485">
        <w:t>: This is the risk that the borrower will be unable or unwilling to pay back the loan principal and/or interest. This can happen due to various reasons such as financial distress, bankruptcy, or even strategic default, where the borrower chooses to default even though they are technically able to pay.</w:t>
      </w:r>
    </w:p>
    <w:p w:rsidR="00644485" w:rsidRPr="00644485" w:rsidRDefault="00644485" w:rsidP="00644485">
      <w:pPr>
        <w:numPr>
          <w:ilvl w:val="0"/>
          <w:numId w:val="4"/>
        </w:numPr>
        <w:jc w:val="both"/>
      </w:pPr>
      <w:r w:rsidRPr="00644485">
        <w:rPr>
          <w:b/>
          <w:bCs/>
        </w:rPr>
        <w:t>Downgrade Risk</w:t>
      </w:r>
      <w:r w:rsidRPr="00644485">
        <w:t>: This is the risk of a decrease in the credit rating of the borrower, which can lead to an increase in the perceived riskiness of the loan and a decrease in its market value</w:t>
      </w:r>
      <w:sdt>
        <w:sdtPr>
          <w:id w:val="635147410"/>
          <w:citation/>
        </w:sdtPr>
        <w:sdtEndPr/>
        <w:sdtContent>
          <w:r w:rsidR="00F6449B">
            <w:fldChar w:fldCharType="begin"/>
          </w:r>
          <w:r w:rsidR="00F6449B">
            <w:instrText xml:space="preserve"> CITATION Gav15 \l 1033 </w:instrText>
          </w:r>
          <w:r w:rsidR="00F6449B">
            <w:fldChar w:fldCharType="separate"/>
          </w:r>
          <w:r w:rsidR="00F6449B">
            <w:rPr>
              <w:noProof/>
            </w:rPr>
            <w:t xml:space="preserve"> (Gavalas, 2015)</w:t>
          </w:r>
          <w:r w:rsidR="00F6449B">
            <w:fldChar w:fldCharType="end"/>
          </w:r>
        </w:sdtContent>
      </w:sdt>
      <w:r w:rsidRPr="00644485">
        <w:t>. This can be particularly important for holders of corporate bonds or other types of tradable debt securities.</w:t>
      </w:r>
    </w:p>
    <w:p w:rsidR="00644485" w:rsidRPr="00644485" w:rsidRDefault="00644485" w:rsidP="00644485">
      <w:pPr>
        <w:numPr>
          <w:ilvl w:val="0"/>
          <w:numId w:val="4"/>
        </w:numPr>
        <w:jc w:val="both"/>
      </w:pPr>
      <w:r w:rsidRPr="00644485">
        <w:rPr>
          <w:b/>
          <w:bCs/>
        </w:rPr>
        <w:t>Exposure Risk</w:t>
      </w:r>
      <w:r w:rsidRPr="00644485">
        <w:t>: This is the risk associated with the total potential loss that a lender could incur if the borrower defaults</w:t>
      </w:r>
      <w:sdt>
        <w:sdtPr>
          <w:id w:val="345376298"/>
          <w:citation/>
        </w:sdtPr>
        <w:sdtEndPr/>
        <w:sdtContent>
          <w:r w:rsidR="00463DDE">
            <w:fldChar w:fldCharType="begin"/>
          </w:r>
          <w:r w:rsidR="00463DDE">
            <w:instrText xml:space="preserve"> CITATION Ken14 \l 1033 </w:instrText>
          </w:r>
          <w:r w:rsidR="00463DDE">
            <w:fldChar w:fldCharType="separate"/>
          </w:r>
          <w:r w:rsidR="00463DDE">
            <w:rPr>
              <w:noProof/>
            </w:rPr>
            <w:t xml:space="preserve"> (Brown &amp; Moles, 2014)</w:t>
          </w:r>
          <w:r w:rsidR="00463DDE">
            <w:fldChar w:fldCharType="end"/>
          </w:r>
        </w:sdtContent>
      </w:sdt>
      <w:r w:rsidRPr="00644485">
        <w:t>. This can depend on factors such as the size of the loan, the duration of the exposure, and the collateral or guarantees associated with the loan.</w:t>
      </w:r>
    </w:p>
    <w:p w:rsidR="00644485" w:rsidRPr="00644485" w:rsidRDefault="00644485" w:rsidP="00644485">
      <w:pPr>
        <w:numPr>
          <w:ilvl w:val="0"/>
          <w:numId w:val="4"/>
        </w:numPr>
        <w:jc w:val="both"/>
      </w:pPr>
      <w:r w:rsidRPr="00644485">
        <w:rPr>
          <w:b/>
          <w:bCs/>
        </w:rPr>
        <w:t>Recovery Risk</w:t>
      </w:r>
      <w:r w:rsidRPr="00644485">
        <w:t>: This is the risk that, once a default occurs, the lender will not be able to recover the full amount of the loan, even after selling any collateral or pursuing legal remedies</w:t>
      </w:r>
      <w:sdt>
        <w:sdtPr>
          <w:id w:val="-374699038"/>
          <w:citation/>
        </w:sdtPr>
        <w:sdtEndPr/>
        <w:sdtContent>
          <w:r w:rsidR="00463DDE">
            <w:fldChar w:fldCharType="begin"/>
          </w:r>
          <w:r w:rsidR="00463DDE">
            <w:instrText xml:space="preserve"> CITATION Bou21 \l 1033 </w:instrText>
          </w:r>
          <w:r w:rsidR="00463DDE">
            <w:fldChar w:fldCharType="separate"/>
          </w:r>
          <w:r w:rsidR="00463DDE">
            <w:rPr>
              <w:noProof/>
            </w:rPr>
            <w:t xml:space="preserve"> (Bouteille, 2021)</w:t>
          </w:r>
          <w:r w:rsidR="00463DDE">
            <w:fldChar w:fldCharType="end"/>
          </w:r>
        </w:sdtContent>
      </w:sdt>
      <w:r w:rsidRPr="00644485">
        <w:t>. The potential loss given default (LGD) can be a significant component of credit risk, particularly for unsecured loans.</w:t>
      </w:r>
    </w:p>
    <w:p w:rsidR="00644485" w:rsidRPr="00644485" w:rsidRDefault="00644485" w:rsidP="00644485">
      <w:pPr>
        <w:jc w:val="both"/>
      </w:pPr>
      <w:r w:rsidRPr="00644485">
        <w:t>The occurrence and impact of credit risk can be influenced by various factors, including the borrower's financial condition, macroeconomic conditions, and the terms of the loan or credit agreement. For example, credit risk can be higher in periods of economic downturn, for high-risk borrowers, or for long-term loans or bonds.</w:t>
      </w:r>
    </w:p>
    <w:p w:rsidR="00644485" w:rsidRPr="00644485" w:rsidRDefault="00644485" w:rsidP="00644485">
      <w:pPr>
        <w:jc w:val="both"/>
      </w:pPr>
      <w:r w:rsidRPr="00644485">
        <w:t>The effective management of credit risk is a critical component of a comprehensive approach to risk management and essential to the long-term success of any banking organization or company that extends credit in any form to its customers.</w:t>
      </w:r>
    </w:p>
    <w:p w:rsidR="00644485" w:rsidRPr="00644485" w:rsidRDefault="00644485" w:rsidP="00644485">
      <w:pPr>
        <w:jc w:val="both"/>
      </w:pPr>
    </w:p>
    <w:p w:rsidR="00644485" w:rsidRPr="00644485" w:rsidRDefault="00644485" w:rsidP="00644485">
      <w:pPr>
        <w:jc w:val="both"/>
      </w:pPr>
      <w:r w:rsidRPr="00644485">
        <w:rPr>
          <w:b/>
          <w:bCs/>
        </w:rPr>
        <w:t>Importance of Credit Risk</w:t>
      </w:r>
      <w:r w:rsidR="005766E1">
        <w:rPr>
          <w:b/>
          <w:bCs/>
        </w:rPr>
        <w:t xml:space="preserve"> Management</w:t>
      </w:r>
    </w:p>
    <w:p w:rsidR="00644485" w:rsidRPr="00644485" w:rsidRDefault="00644485" w:rsidP="00644485">
      <w:pPr>
        <w:jc w:val="both"/>
      </w:pPr>
      <w:r w:rsidRPr="00644485">
        <w:t>Managing credit risk is crucial for a variety of reasons:</w:t>
      </w:r>
    </w:p>
    <w:p w:rsidR="00644485" w:rsidRPr="00644485" w:rsidRDefault="00644485" w:rsidP="00644485">
      <w:pPr>
        <w:numPr>
          <w:ilvl w:val="0"/>
          <w:numId w:val="5"/>
        </w:numPr>
        <w:jc w:val="both"/>
        <w:rPr>
          <w:bCs/>
        </w:rPr>
      </w:pPr>
      <w:r w:rsidRPr="00644485">
        <w:rPr>
          <w:b/>
          <w:bCs/>
        </w:rPr>
        <w:lastRenderedPageBreak/>
        <w:t xml:space="preserve">Profitability: </w:t>
      </w:r>
      <w:r w:rsidRPr="00644485">
        <w:rPr>
          <w:bCs/>
        </w:rPr>
        <w:t>Credit risk management plays a crucial role in a bank's profitability. When a borrower defaults, the bank not only loses the principal amount but also the interest that it would have earned over the loan's lifespan. High rates of default can significantly erode the bank's income. Effective credit risk management can help banks minimize these losses</w:t>
      </w:r>
      <w:sdt>
        <w:sdtPr>
          <w:rPr>
            <w:bCs/>
          </w:rPr>
          <w:id w:val="630975404"/>
          <w:citation/>
        </w:sdtPr>
        <w:sdtEndPr/>
        <w:sdtContent>
          <w:r w:rsidR="005766E1">
            <w:rPr>
              <w:bCs/>
            </w:rPr>
            <w:fldChar w:fldCharType="begin"/>
          </w:r>
          <w:r w:rsidR="005766E1">
            <w:rPr>
              <w:bCs/>
            </w:rPr>
            <w:instrText xml:space="preserve"> CITATION Leo19 \l 1033 </w:instrText>
          </w:r>
          <w:r w:rsidR="005766E1">
            <w:rPr>
              <w:bCs/>
            </w:rPr>
            <w:fldChar w:fldCharType="separate"/>
          </w:r>
          <w:r w:rsidR="005766E1">
            <w:rPr>
              <w:bCs/>
              <w:noProof/>
            </w:rPr>
            <w:t xml:space="preserve"> </w:t>
          </w:r>
          <w:r w:rsidR="005766E1">
            <w:rPr>
              <w:noProof/>
            </w:rPr>
            <w:t>(Leo, 2019)</w:t>
          </w:r>
          <w:r w:rsidR="005766E1">
            <w:rPr>
              <w:bCs/>
            </w:rPr>
            <w:fldChar w:fldCharType="end"/>
          </w:r>
        </w:sdtContent>
      </w:sdt>
      <w:r w:rsidRPr="00644485">
        <w:rPr>
          <w:bCs/>
        </w:rPr>
        <w:t>. This is achieved by accurately identifying high-risk borrowers and either denying credit or pricing it to reflect the higher risk.</w:t>
      </w:r>
    </w:p>
    <w:p w:rsidR="00644485" w:rsidRPr="00644485" w:rsidRDefault="00644485" w:rsidP="00644485">
      <w:pPr>
        <w:numPr>
          <w:ilvl w:val="0"/>
          <w:numId w:val="5"/>
        </w:numPr>
        <w:jc w:val="both"/>
        <w:rPr>
          <w:bCs/>
        </w:rPr>
      </w:pPr>
      <w:r w:rsidRPr="00644485">
        <w:rPr>
          <w:b/>
          <w:bCs/>
        </w:rPr>
        <w:t xml:space="preserve">Financial Stability: </w:t>
      </w:r>
      <w:r w:rsidRPr="00644485">
        <w:rPr>
          <w:bCs/>
        </w:rPr>
        <w:t>A bank's stability can be jeopardized by high levels of credit risk. Banks rely heavily on the repayments of loans by borrowers to meet their own obligations, including withdrawals by depositors. If a large number of borrowers default, the bank could fail, as occurred with many financial institutions during the 2008 financial crisis</w:t>
      </w:r>
      <w:sdt>
        <w:sdtPr>
          <w:rPr>
            <w:bCs/>
          </w:rPr>
          <w:id w:val="976025123"/>
          <w:citation/>
        </w:sdtPr>
        <w:sdtEndPr/>
        <w:sdtContent>
          <w:r w:rsidR="001F3249">
            <w:rPr>
              <w:bCs/>
            </w:rPr>
            <w:fldChar w:fldCharType="begin"/>
          </w:r>
          <w:r w:rsidR="001F3249">
            <w:rPr>
              <w:bCs/>
            </w:rPr>
            <w:instrText xml:space="preserve"> CITATION Wal16 \l 1033 </w:instrText>
          </w:r>
          <w:r w:rsidR="001F3249">
            <w:rPr>
              <w:bCs/>
            </w:rPr>
            <w:fldChar w:fldCharType="separate"/>
          </w:r>
          <w:r w:rsidR="001F3249">
            <w:rPr>
              <w:bCs/>
              <w:noProof/>
            </w:rPr>
            <w:t xml:space="preserve"> </w:t>
          </w:r>
          <w:r w:rsidR="001F3249">
            <w:rPr>
              <w:noProof/>
            </w:rPr>
            <w:t>(Wallison, 2016)</w:t>
          </w:r>
          <w:r w:rsidR="001F3249">
            <w:rPr>
              <w:bCs/>
            </w:rPr>
            <w:fldChar w:fldCharType="end"/>
          </w:r>
        </w:sdtContent>
      </w:sdt>
      <w:r w:rsidRPr="00644485">
        <w:rPr>
          <w:bCs/>
        </w:rPr>
        <w:t>. Therefore, robust credit risk management is crucial to avoid such catastrophic outcomes.</w:t>
      </w:r>
    </w:p>
    <w:p w:rsidR="00644485" w:rsidRPr="003E1313" w:rsidRDefault="00644485" w:rsidP="00644485">
      <w:pPr>
        <w:numPr>
          <w:ilvl w:val="0"/>
          <w:numId w:val="5"/>
        </w:numPr>
        <w:jc w:val="both"/>
        <w:rPr>
          <w:bCs/>
        </w:rPr>
      </w:pPr>
      <w:r w:rsidRPr="00644485">
        <w:rPr>
          <w:b/>
          <w:bCs/>
        </w:rPr>
        <w:t xml:space="preserve">Regulatory Compliance: </w:t>
      </w:r>
      <w:r w:rsidRPr="003E1313">
        <w:rPr>
          <w:bCs/>
        </w:rPr>
        <w:t>Banks are required by regulators, such as the Federal Reserve in the U.S. or the European Central Bank in Europe, to hold a certain amount of capital as a buffer against potential loan losses. This is known as regulatory capital. If a bank's credit risk management is ineffective and it experiences higher than expected losses, it may fail to meet these capital requirements and face penalties or even the revocation of its banking license. Hence, compliance with these regulations is a vital aspect of credit risk management.</w:t>
      </w:r>
    </w:p>
    <w:p w:rsidR="00644485" w:rsidRPr="003E1313" w:rsidRDefault="00644485" w:rsidP="00644485">
      <w:pPr>
        <w:numPr>
          <w:ilvl w:val="0"/>
          <w:numId w:val="5"/>
        </w:numPr>
        <w:jc w:val="both"/>
        <w:rPr>
          <w:bCs/>
        </w:rPr>
      </w:pPr>
      <w:r w:rsidRPr="00644485">
        <w:rPr>
          <w:b/>
          <w:bCs/>
        </w:rPr>
        <w:t xml:space="preserve">Reputation: </w:t>
      </w:r>
      <w:r w:rsidRPr="003E1313">
        <w:rPr>
          <w:bCs/>
        </w:rPr>
        <w:t>Banks rely on the confidence of depositors, investors, and the wider market to operate effectively. If a bank is perceived to have poor credit risk management, it can suffer reputational damage, potentially leading to a withdrawal of deposits, falling stock price, and increased difficulty in raising funds from the market. Consequently, maintaining a good reputation through effective credit risk management is essential for a bank's success.</w:t>
      </w:r>
    </w:p>
    <w:p w:rsidR="00644485" w:rsidRPr="003E1313" w:rsidRDefault="00644485" w:rsidP="00644485">
      <w:pPr>
        <w:numPr>
          <w:ilvl w:val="0"/>
          <w:numId w:val="5"/>
        </w:numPr>
        <w:jc w:val="both"/>
        <w:rPr>
          <w:bCs/>
        </w:rPr>
      </w:pPr>
      <w:r w:rsidRPr="00644485">
        <w:rPr>
          <w:b/>
          <w:bCs/>
        </w:rPr>
        <w:t xml:space="preserve">Sustainable Growth: </w:t>
      </w:r>
      <w:r w:rsidRPr="003E1313">
        <w:rPr>
          <w:bCs/>
        </w:rPr>
        <w:t>To grow sustainably, a bank needs to extend credit to more borrowers. However, indiscriminately extending credit without proper risk management can lead to high default rates and financial instability. Therefore, effective credit risk management is crucial for sustainable growth. It enables banks to extend credit to a larger pool of borrowers, while keeping risks under control, by accurately assessing each borrower's creditworthiness and adjusting loan terms and pricing accordingly.</w:t>
      </w:r>
    </w:p>
    <w:p w:rsidR="00644485" w:rsidRPr="00644485" w:rsidRDefault="00644485" w:rsidP="00644485">
      <w:pPr>
        <w:jc w:val="both"/>
      </w:pPr>
      <w:r w:rsidRPr="00644485">
        <w:t>To manage credit risk effectively, financial institutions use a variety of tools and techniques, including credit scoring models, credit risk grading systems, portfolio risk analysis, stress testing, and provisions for credit losses.</w:t>
      </w:r>
    </w:p>
    <w:sdt>
      <w:sdtPr>
        <w:rPr>
          <w:rFonts w:asciiTheme="minorHAnsi" w:eastAsiaTheme="minorHAnsi" w:hAnsiTheme="minorHAnsi" w:cstheme="minorBidi"/>
          <w:color w:val="auto"/>
          <w:sz w:val="22"/>
          <w:szCs w:val="22"/>
        </w:rPr>
        <w:id w:val="912666951"/>
        <w:docPartObj>
          <w:docPartGallery w:val="Bibliographies"/>
          <w:docPartUnique/>
        </w:docPartObj>
      </w:sdtPr>
      <w:sdtEndPr/>
      <w:sdtContent>
        <w:p w:rsidR="0065607F" w:rsidRDefault="0065607F">
          <w:pPr>
            <w:pStyle w:val="Heading1"/>
          </w:pPr>
          <w:r>
            <w:t>References</w:t>
          </w:r>
        </w:p>
        <w:sdt>
          <w:sdtPr>
            <w:id w:val="-573587230"/>
            <w:bibliography/>
          </w:sdtPr>
          <w:sdtEndPr/>
          <w:sdtContent>
            <w:p w:rsidR="0065607F" w:rsidRDefault="0065607F" w:rsidP="0065607F">
              <w:pPr>
                <w:pStyle w:val="Bibliography"/>
                <w:ind w:left="720" w:hanging="720"/>
                <w:rPr>
                  <w:noProof/>
                  <w:sz w:val="24"/>
                  <w:szCs w:val="24"/>
                </w:rPr>
              </w:pPr>
              <w:r>
                <w:fldChar w:fldCharType="begin"/>
              </w:r>
              <w:r>
                <w:instrText xml:space="preserve"> BIBLIOGRAPHY </w:instrText>
              </w:r>
              <w:r>
                <w:fldChar w:fldCharType="separate"/>
              </w:r>
              <w:r>
                <w:rPr>
                  <w:noProof/>
                </w:rPr>
                <w:t xml:space="preserve">Bouteille, S. &amp;.-P. (2021). </w:t>
              </w:r>
              <w:r>
                <w:rPr>
                  <w:i/>
                  <w:iCs/>
                  <w:noProof/>
                </w:rPr>
                <w:t>The handbook of credit risk management: originating, assessing, and managing credit exposures.</w:t>
              </w:r>
              <w:r>
                <w:rPr>
                  <w:noProof/>
                </w:rPr>
                <w:t xml:space="preserve"> John Wiley &amp; Sons.</w:t>
              </w:r>
            </w:p>
            <w:p w:rsidR="0065607F" w:rsidRDefault="0065607F" w:rsidP="0065607F">
              <w:pPr>
                <w:pStyle w:val="Bibliography"/>
                <w:ind w:left="720" w:hanging="720"/>
                <w:rPr>
                  <w:noProof/>
                </w:rPr>
              </w:pPr>
              <w:r>
                <w:rPr>
                  <w:noProof/>
                </w:rPr>
                <w:t xml:space="preserve">Brown, K., &amp; Moles, P. (2014). </w:t>
              </w:r>
              <w:r>
                <w:rPr>
                  <w:i/>
                  <w:iCs/>
                  <w:noProof/>
                </w:rPr>
                <w:t>Credit Risk Management.</w:t>
              </w:r>
              <w:r>
                <w:rPr>
                  <w:noProof/>
                </w:rPr>
                <w:t xml:space="preserve"> Edinburgh Business School.</w:t>
              </w:r>
            </w:p>
            <w:p w:rsidR="0065607F" w:rsidRDefault="0065607F" w:rsidP="0065607F">
              <w:pPr>
                <w:pStyle w:val="Bibliography"/>
                <w:ind w:left="720" w:hanging="720"/>
                <w:rPr>
                  <w:noProof/>
                </w:rPr>
              </w:pPr>
              <w:r>
                <w:rPr>
                  <w:noProof/>
                </w:rPr>
                <w:t xml:space="preserve">Gavalas, D. &amp;. (2015). An integrated credit rating and loan quality model: application to bank shipping finance. </w:t>
              </w:r>
              <w:r>
                <w:rPr>
                  <w:i/>
                  <w:iCs/>
                  <w:noProof/>
                </w:rPr>
                <w:t>Maritime Policy &amp; Management</w:t>
              </w:r>
              <w:r>
                <w:rPr>
                  <w:noProof/>
                </w:rPr>
                <w:t>, 533-554.</w:t>
              </w:r>
            </w:p>
            <w:p w:rsidR="0065607F" w:rsidRDefault="0065607F" w:rsidP="0065607F">
              <w:pPr>
                <w:pStyle w:val="Bibliography"/>
                <w:ind w:left="720" w:hanging="720"/>
                <w:rPr>
                  <w:noProof/>
                </w:rPr>
              </w:pPr>
              <w:r>
                <w:rPr>
                  <w:noProof/>
                </w:rPr>
                <w:t xml:space="preserve">Leo, M. S. (2019). Machine learning in banking risk management: A literature review. </w:t>
              </w:r>
              <w:r>
                <w:rPr>
                  <w:i/>
                  <w:iCs/>
                  <w:noProof/>
                </w:rPr>
                <w:t>Risks</w:t>
              </w:r>
              <w:r>
                <w:rPr>
                  <w:noProof/>
                </w:rPr>
                <w:t>, 29.</w:t>
              </w:r>
            </w:p>
            <w:p w:rsidR="0065607F" w:rsidRDefault="0065607F" w:rsidP="0065607F">
              <w:pPr>
                <w:pStyle w:val="Bibliography"/>
                <w:ind w:left="720" w:hanging="720"/>
                <w:rPr>
                  <w:noProof/>
                </w:rPr>
              </w:pPr>
              <w:r>
                <w:rPr>
                  <w:noProof/>
                </w:rPr>
                <w:lastRenderedPageBreak/>
                <w:t xml:space="preserve">Spuchľáková, E. V. (2015). The credit risk and its measurement, hedging and monitoring. </w:t>
              </w:r>
              <w:r>
                <w:rPr>
                  <w:i/>
                  <w:iCs/>
                  <w:noProof/>
                </w:rPr>
                <w:t>Procedia Economics and finance</w:t>
              </w:r>
              <w:r>
                <w:rPr>
                  <w:noProof/>
                </w:rPr>
                <w:t>, 675-681.</w:t>
              </w:r>
            </w:p>
            <w:p w:rsidR="0065607F" w:rsidRDefault="0065607F" w:rsidP="0065607F">
              <w:pPr>
                <w:pStyle w:val="Bibliography"/>
                <w:ind w:left="720" w:hanging="720"/>
                <w:rPr>
                  <w:noProof/>
                </w:rPr>
              </w:pPr>
              <w:r>
                <w:rPr>
                  <w:noProof/>
                </w:rPr>
                <w:t xml:space="preserve">Wallison, P. J. (2016). </w:t>
              </w:r>
              <w:r>
                <w:rPr>
                  <w:i/>
                  <w:iCs/>
                  <w:noProof/>
                </w:rPr>
                <w:t>Hidden in Plain Sight: What Really Caused the World's Worst Financial Crisis and Why It Could Happen Again.</w:t>
              </w:r>
              <w:r>
                <w:rPr>
                  <w:noProof/>
                </w:rPr>
                <w:t xml:space="preserve"> Encounter Books.</w:t>
              </w:r>
            </w:p>
            <w:p w:rsidR="0065607F" w:rsidRDefault="0065607F" w:rsidP="0065607F">
              <w:r>
                <w:rPr>
                  <w:b/>
                  <w:bCs/>
                  <w:noProof/>
                </w:rPr>
                <w:fldChar w:fldCharType="end"/>
              </w:r>
            </w:p>
          </w:sdtContent>
        </w:sdt>
      </w:sdtContent>
    </w:sdt>
    <w:p w:rsidR="00D9481F" w:rsidRDefault="00B130BD" w:rsidP="00644485">
      <w:pPr>
        <w:jc w:val="both"/>
      </w:pPr>
    </w:p>
    <w:p w:rsidR="00EF08FA" w:rsidRDefault="00EF08FA" w:rsidP="00644485">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Brown, K., &amp; Moles, P. (2014). Credit risk management. </w:t>
      </w:r>
      <w:r>
        <w:rPr>
          <w:rFonts w:ascii="Arial" w:hAnsi="Arial" w:cs="Arial"/>
          <w:i/>
          <w:iCs/>
          <w:color w:val="222222"/>
          <w:sz w:val="20"/>
          <w:szCs w:val="20"/>
          <w:shd w:val="clear" w:color="auto" w:fill="FFFFFF"/>
        </w:rPr>
        <w:t>K. Brown &amp; P. Moles, Credit Risk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w:t>
      </w:r>
    </w:p>
    <w:p w:rsidR="00A74AA0" w:rsidRDefault="00A74AA0" w:rsidP="00644485">
      <w:pPr>
        <w:jc w:val="both"/>
      </w:pPr>
      <w:proofErr w:type="spellStart"/>
      <w:r>
        <w:rPr>
          <w:rFonts w:ascii="Arial" w:hAnsi="Arial" w:cs="Arial"/>
          <w:color w:val="222222"/>
          <w:sz w:val="20"/>
          <w:szCs w:val="20"/>
          <w:shd w:val="clear" w:color="auto" w:fill="FFFFFF"/>
        </w:rPr>
        <w:t>Spuchľáková</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Valašková</w:t>
      </w:r>
      <w:proofErr w:type="spellEnd"/>
      <w:r>
        <w:rPr>
          <w:rFonts w:ascii="Arial" w:hAnsi="Arial" w:cs="Arial"/>
          <w:color w:val="222222"/>
          <w:sz w:val="20"/>
          <w:szCs w:val="20"/>
          <w:shd w:val="clear" w:color="auto" w:fill="FFFFFF"/>
        </w:rPr>
        <w:t xml:space="preserve">, K., &amp; </w:t>
      </w:r>
      <w:proofErr w:type="spellStart"/>
      <w:r>
        <w:rPr>
          <w:rFonts w:ascii="Arial" w:hAnsi="Arial" w:cs="Arial"/>
          <w:color w:val="222222"/>
          <w:sz w:val="20"/>
          <w:szCs w:val="20"/>
          <w:shd w:val="clear" w:color="auto" w:fill="FFFFFF"/>
        </w:rPr>
        <w:t>Adamko</w:t>
      </w:r>
      <w:proofErr w:type="spellEnd"/>
      <w:r>
        <w:rPr>
          <w:rFonts w:ascii="Arial" w:hAnsi="Arial" w:cs="Arial"/>
          <w:color w:val="222222"/>
          <w:sz w:val="20"/>
          <w:szCs w:val="20"/>
          <w:shd w:val="clear" w:color="auto" w:fill="FFFFFF"/>
        </w:rPr>
        <w:t>, P. (2015). The credit risk and its measurement, hedging and monitoring. </w:t>
      </w:r>
      <w:r>
        <w:rPr>
          <w:rFonts w:ascii="Arial" w:hAnsi="Arial" w:cs="Arial"/>
          <w:i/>
          <w:iCs/>
          <w:color w:val="222222"/>
          <w:sz w:val="20"/>
          <w:szCs w:val="20"/>
          <w:shd w:val="clear" w:color="auto" w:fill="FFFFFF"/>
        </w:rPr>
        <w:t>Procedia Economics and finance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 675-681.</w:t>
      </w:r>
    </w:p>
    <w:p w:rsidR="00F6449B" w:rsidRDefault="00F6449B" w:rsidP="00644485">
      <w:pPr>
        <w:jc w:val="both"/>
      </w:pPr>
    </w:p>
    <w:p w:rsidR="00F6449B" w:rsidRDefault="00F6449B" w:rsidP="00644485">
      <w:pPr>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Gavalas</w:t>
      </w:r>
      <w:proofErr w:type="spellEnd"/>
      <w:r>
        <w:rPr>
          <w:rFonts w:ascii="Arial" w:hAnsi="Arial" w:cs="Arial"/>
          <w:color w:val="222222"/>
          <w:sz w:val="20"/>
          <w:szCs w:val="20"/>
          <w:shd w:val="clear" w:color="auto" w:fill="FFFFFF"/>
        </w:rPr>
        <w:t xml:space="preserve">, D., &amp; </w:t>
      </w:r>
      <w:proofErr w:type="spellStart"/>
      <w:r>
        <w:rPr>
          <w:rFonts w:ascii="Arial" w:hAnsi="Arial" w:cs="Arial"/>
          <w:color w:val="222222"/>
          <w:sz w:val="20"/>
          <w:szCs w:val="20"/>
          <w:shd w:val="clear" w:color="auto" w:fill="FFFFFF"/>
        </w:rPr>
        <w:t>Syriopoulos</w:t>
      </w:r>
      <w:proofErr w:type="spellEnd"/>
      <w:r>
        <w:rPr>
          <w:rFonts w:ascii="Arial" w:hAnsi="Arial" w:cs="Arial"/>
          <w:color w:val="222222"/>
          <w:sz w:val="20"/>
          <w:szCs w:val="20"/>
          <w:shd w:val="clear" w:color="auto" w:fill="FFFFFF"/>
        </w:rPr>
        <w:t>, T. (2015). An integrated credit rating and loan quality model: application to bank shipping finance. </w:t>
      </w:r>
      <w:r>
        <w:rPr>
          <w:rFonts w:ascii="Arial" w:hAnsi="Arial" w:cs="Arial"/>
          <w:i/>
          <w:iCs/>
          <w:color w:val="222222"/>
          <w:sz w:val="20"/>
          <w:szCs w:val="20"/>
          <w:shd w:val="clear" w:color="auto" w:fill="FFFFFF"/>
        </w:rPr>
        <w:t>Maritime Policy &amp;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42</w:t>
      </w:r>
      <w:r>
        <w:rPr>
          <w:rFonts w:ascii="Arial" w:hAnsi="Arial" w:cs="Arial"/>
          <w:color w:val="222222"/>
          <w:sz w:val="20"/>
          <w:szCs w:val="20"/>
          <w:shd w:val="clear" w:color="auto" w:fill="FFFFFF"/>
        </w:rPr>
        <w:t>(6), 533-554.</w:t>
      </w:r>
    </w:p>
    <w:p w:rsidR="00B130BD" w:rsidRDefault="00B130BD" w:rsidP="00644485">
      <w:pPr>
        <w:jc w:val="both"/>
        <w:rPr>
          <w:rFonts w:ascii="Arial" w:hAnsi="Arial" w:cs="Arial"/>
          <w:color w:val="222222"/>
          <w:sz w:val="20"/>
          <w:szCs w:val="20"/>
          <w:shd w:val="clear" w:color="auto" w:fill="FFFFFF"/>
        </w:rPr>
      </w:pPr>
    </w:p>
    <w:p w:rsidR="00B130BD" w:rsidRPr="00B130BD" w:rsidRDefault="00B130BD" w:rsidP="00644485">
      <w:pPr>
        <w:jc w:val="both"/>
        <w:rPr>
          <w:rFonts w:ascii="Arial" w:hAnsi="Arial" w:cs="Arial"/>
          <w:b/>
          <w:color w:val="222222"/>
          <w:sz w:val="20"/>
          <w:szCs w:val="20"/>
          <w:shd w:val="clear" w:color="auto" w:fill="FFFFFF"/>
        </w:rPr>
      </w:pPr>
      <w:bookmarkStart w:id="0" w:name="_GoBack"/>
      <w:r w:rsidRPr="00B130BD">
        <w:rPr>
          <w:rFonts w:ascii="Arial" w:hAnsi="Arial" w:cs="Arial"/>
          <w:b/>
          <w:color w:val="222222"/>
          <w:sz w:val="20"/>
          <w:szCs w:val="20"/>
          <w:shd w:val="clear" w:color="auto" w:fill="FFFFFF"/>
        </w:rPr>
        <w:t>3.2.4 Ensemble Methods</w:t>
      </w:r>
    </w:p>
    <w:bookmarkEnd w:id="0"/>
    <w:p w:rsidR="00B130BD" w:rsidRPr="00B130BD" w:rsidRDefault="00B130BD" w:rsidP="00B130BD">
      <w:pPr>
        <w:jc w:val="both"/>
      </w:pPr>
      <w:r w:rsidRPr="00B130BD">
        <w:rPr>
          <w:b/>
          <w:bCs/>
        </w:rPr>
        <w:t>Bagging (Bootstrap Aggregating)</w:t>
      </w:r>
    </w:p>
    <w:p w:rsidR="00B130BD" w:rsidRPr="00B130BD" w:rsidRDefault="00B130BD" w:rsidP="00B130BD">
      <w:pPr>
        <w:jc w:val="both"/>
      </w:pPr>
      <w:r w:rsidRPr="00B130BD">
        <w:t>Bagging is a method that involves generating multiple subsets of the original data, with replacement (a technique called bootstrapping), and then training a separate model on each subset. The final output prediction is typically the average of the predictions of each model (in regression) or the majority vote (in classification).</w:t>
      </w:r>
    </w:p>
    <w:p w:rsidR="00B130BD" w:rsidRPr="00B130BD" w:rsidRDefault="00B130BD" w:rsidP="00B130BD">
      <w:pPr>
        <w:jc w:val="both"/>
      </w:pPr>
      <w:r w:rsidRPr="00B130BD">
        <w:t>Bagging methods, like the Random Forest algorithm, can help increase predictive accuracy in credit risk management by reducing the model's variance, thereby minimizing overfitting. This allows for more robust credit risk models that are less likely to be influenced by outliers or noisy data. It is particularly beneficial when dealing with imbalanced datasets, a common issue in credit risk, where defaults (negative class) are often significantly outnumbered by non-defaults (positive class).</w:t>
      </w:r>
    </w:p>
    <w:p w:rsidR="00B130BD" w:rsidRPr="00B130BD" w:rsidRDefault="00B130BD" w:rsidP="00B130BD">
      <w:pPr>
        <w:jc w:val="both"/>
      </w:pPr>
      <w:r w:rsidRPr="00B130BD">
        <w:rPr>
          <w:b/>
          <w:bCs/>
        </w:rPr>
        <w:t>Boosting</w:t>
      </w:r>
    </w:p>
    <w:p w:rsidR="00B130BD" w:rsidRPr="00B130BD" w:rsidRDefault="00B130BD" w:rsidP="00B130BD">
      <w:pPr>
        <w:jc w:val="both"/>
      </w:pPr>
      <w:r w:rsidRPr="00B130BD">
        <w:t>Boosting is an iterative ensemble method that adjusts the weight of an observation based on the last classification. If an observation was classified incorrectly, it attempts to increase the weight of this observation and vice versa. Thus, boosting helps to train models that focus more on the challenging parts of the data that could not be predicted well in previous iterations.</w:t>
      </w:r>
    </w:p>
    <w:p w:rsidR="00B130BD" w:rsidRPr="00B130BD" w:rsidRDefault="00B130BD" w:rsidP="00B130BD">
      <w:pPr>
        <w:jc w:val="both"/>
      </w:pPr>
      <w:r w:rsidRPr="00B130BD">
        <w:t>One of the most common boosting algorithms is Gradient Boosting. In the context of credit risk management, boosting can help improve the accuracy of credit scoring models, particularly in complex, nonlinear cases where traditional methods might struggle.</w:t>
      </w:r>
    </w:p>
    <w:p w:rsidR="00B130BD" w:rsidRPr="00B130BD" w:rsidRDefault="00B130BD" w:rsidP="00B130BD">
      <w:pPr>
        <w:jc w:val="both"/>
      </w:pPr>
      <w:r w:rsidRPr="00B130BD">
        <w:rPr>
          <w:b/>
          <w:bCs/>
        </w:rPr>
        <w:t>Stacking (Stacked Generalization)</w:t>
      </w:r>
    </w:p>
    <w:p w:rsidR="00B130BD" w:rsidRPr="00B130BD" w:rsidRDefault="00B130BD" w:rsidP="00B130BD">
      <w:pPr>
        <w:jc w:val="both"/>
      </w:pPr>
      <w:r w:rsidRPr="00B130BD">
        <w:t>Stacking involves training multiple different models, potentially of different types, and then combining their predictions using another model (a "second-level" model or meta-learner). The main idea here is that the combination of learning models will result in a more robust and accurate prediction.</w:t>
      </w:r>
    </w:p>
    <w:p w:rsidR="00B130BD" w:rsidRPr="00B130BD" w:rsidRDefault="00B130BD" w:rsidP="00B130BD">
      <w:pPr>
        <w:jc w:val="both"/>
      </w:pPr>
      <w:r w:rsidRPr="00B130BD">
        <w:lastRenderedPageBreak/>
        <w:t>For instance, in credit risk management, we might have one model that's particularly good at using transaction history to predict defaults, another that excels in demographic data, and another that makes excellent use of credit bureau data. We can use stacking to effectively combine these models, which might lead to improved overall accuracy.</w:t>
      </w:r>
    </w:p>
    <w:p w:rsidR="00B130BD" w:rsidRPr="00B130BD" w:rsidRDefault="00B130BD" w:rsidP="00B130BD">
      <w:pPr>
        <w:jc w:val="both"/>
      </w:pPr>
      <w:r w:rsidRPr="00B130BD">
        <w:t>However, in real-world credit risk applications, ensemble methods also need careful management. While they can help improve model performance, they can also be computationally intensive and less interpretable than simpler models, which may pose challenges in terms of efficiency and regulatory compliance. It's crucial to balance these trade-offs based on the specific requirements of the credit risk context.</w:t>
      </w:r>
    </w:p>
    <w:p w:rsidR="00B130BD" w:rsidRPr="00B130BD" w:rsidRDefault="00B130BD" w:rsidP="00644485">
      <w:pPr>
        <w:jc w:val="both"/>
        <w:rPr>
          <w:b/>
        </w:rPr>
      </w:pPr>
      <w:r w:rsidRPr="00B130BD">
        <w:rPr>
          <w:b/>
        </w:rPr>
        <w:t>3.2.5 Deep learning</w:t>
      </w:r>
    </w:p>
    <w:p w:rsidR="00B130BD" w:rsidRPr="00B130BD" w:rsidRDefault="00B130BD" w:rsidP="00B130BD">
      <w:pPr>
        <w:jc w:val="both"/>
      </w:pPr>
      <w:r w:rsidRPr="00B130BD">
        <w:rPr>
          <w:b/>
          <w:bCs/>
        </w:rPr>
        <w:t>Feedforward Neural Networks (FNN)</w:t>
      </w:r>
    </w:p>
    <w:p w:rsidR="00B130BD" w:rsidRPr="00B130BD" w:rsidRDefault="00B130BD" w:rsidP="00B130BD">
      <w:pPr>
        <w:jc w:val="both"/>
      </w:pPr>
      <w:r w:rsidRPr="00B130BD">
        <w:t>Feedforward Neural Networks, or FNNs, consist of an input layer, one or more hidden layers, and an output layer. Each layer consists of several nodes (or "neurons"), and the nodes of consecutive layers are fully connected. The information flows from the input layer through the hidden layers to the output layer, with no loops, hence "feedforward".</w:t>
      </w:r>
    </w:p>
    <w:p w:rsidR="00B130BD" w:rsidRPr="00B130BD" w:rsidRDefault="00B130BD" w:rsidP="00B130BD">
      <w:pPr>
        <w:jc w:val="both"/>
      </w:pPr>
      <w:r w:rsidRPr="00B130BD">
        <w:t>In credit risk management, FNNs can be used to learn complex, non-linear relationships between various factors that affect credit risk, such as a borrower's income, credit history, and the terms of the loan. The output layer might contain a single node predicting the probability of default, for example.</w:t>
      </w:r>
    </w:p>
    <w:p w:rsidR="00B130BD" w:rsidRPr="00B130BD" w:rsidRDefault="00B130BD" w:rsidP="00B130BD">
      <w:pPr>
        <w:jc w:val="both"/>
      </w:pPr>
      <w:r w:rsidRPr="00B130BD">
        <w:rPr>
          <w:b/>
          <w:bCs/>
        </w:rPr>
        <w:t>Convolutional Neural Networks (CNN)</w:t>
      </w:r>
    </w:p>
    <w:p w:rsidR="00B130BD" w:rsidRPr="00B130BD" w:rsidRDefault="00B130BD" w:rsidP="00B130BD">
      <w:pPr>
        <w:jc w:val="both"/>
      </w:pPr>
      <w:r w:rsidRPr="00B130BD">
        <w:t>Convolutional Neural Networks (CNNs) have primarily been used for image and video processing tasks due to their capability to identify spatial features. They also have found applications in processing sequential data, including time-series data, by using 1-Dimensional convolutions.</w:t>
      </w:r>
    </w:p>
    <w:p w:rsidR="00B130BD" w:rsidRPr="00B130BD" w:rsidRDefault="00B130BD" w:rsidP="00B130BD">
      <w:pPr>
        <w:jc w:val="both"/>
      </w:pPr>
      <w:r w:rsidRPr="00B130BD">
        <w:t>In the context of credit risk management, a CNN could be used to analyze temporal patterns in a borrower's repayment history or fluctuations in macroeconomic indicators that could affect credit risk. These could help in identifying trends or patterns that could lead to a potential default.</w:t>
      </w:r>
    </w:p>
    <w:p w:rsidR="00B130BD" w:rsidRPr="00B130BD" w:rsidRDefault="00B130BD" w:rsidP="00B130BD">
      <w:pPr>
        <w:jc w:val="both"/>
      </w:pPr>
      <w:r w:rsidRPr="00B130BD">
        <w:rPr>
          <w:b/>
          <w:bCs/>
        </w:rPr>
        <w:t>Recurrent Neural Networks (RNN) and Long Short-Term Memory (LSTM) networks</w:t>
      </w:r>
    </w:p>
    <w:p w:rsidR="00B130BD" w:rsidRPr="00B130BD" w:rsidRDefault="00B130BD" w:rsidP="00B130BD">
      <w:pPr>
        <w:jc w:val="both"/>
      </w:pPr>
      <w:r w:rsidRPr="00B130BD">
        <w:t>RNNs and LSTMs excel in handling sequential data and time-series information. These network architectures are designed to remember past data and decisions, which makes them particularly well-suited for credit risk assessment, where past financial behaviors are often predictive of future creditworthiness.</w:t>
      </w:r>
    </w:p>
    <w:p w:rsidR="00B130BD" w:rsidRPr="00B130BD" w:rsidRDefault="00B130BD" w:rsidP="00B130BD">
      <w:pPr>
        <w:jc w:val="both"/>
      </w:pPr>
      <w:r w:rsidRPr="00B130BD">
        <w:t>RNNs, however, often suffer from the vanishing gradient problem, where the contribution of information decays geometrically over time. LSTMs solve this problem with a unique design that allows them to retain information for longer periods, making them more effective in practice for most tasks. In credit risk management, an LSTM could be used to model a borrower's credit use over time, for instance, considering patterns of credit card usage, repayment history, and outstanding balances.</w:t>
      </w:r>
    </w:p>
    <w:p w:rsidR="00B130BD" w:rsidRPr="00B130BD" w:rsidRDefault="00B130BD" w:rsidP="00B130BD">
      <w:pPr>
        <w:jc w:val="both"/>
      </w:pPr>
      <w:r w:rsidRPr="00B130BD">
        <w:rPr>
          <w:b/>
          <w:bCs/>
        </w:rPr>
        <w:t>Interpretation and Ethical Considerations</w:t>
      </w:r>
    </w:p>
    <w:p w:rsidR="00B130BD" w:rsidRPr="00B130BD" w:rsidRDefault="00B130BD" w:rsidP="00B130BD">
      <w:pPr>
        <w:jc w:val="both"/>
      </w:pPr>
      <w:r w:rsidRPr="00B130BD">
        <w:lastRenderedPageBreak/>
        <w:t>While deep learning techniques can greatly enhance the accuracy of credit risk assessment, it's crucial to bear in mind that they also pose challenges in terms of interpretability and fairness.</w:t>
      </w:r>
    </w:p>
    <w:p w:rsidR="00B130BD" w:rsidRPr="00B130BD" w:rsidRDefault="00B130BD" w:rsidP="00B130BD">
      <w:pPr>
        <w:jc w:val="both"/>
      </w:pPr>
      <w:r w:rsidRPr="00B130BD">
        <w:t>These models are often described as "black boxes" because it can be difficult to understand how they arrive at their decisions. This can raise regulatory concerns, as lenders are often required to explain their decisions to reject a credit application.</w:t>
      </w:r>
    </w:p>
    <w:p w:rsidR="00B130BD" w:rsidRPr="00B130BD" w:rsidRDefault="00B130BD" w:rsidP="00B130BD">
      <w:pPr>
        <w:jc w:val="both"/>
      </w:pPr>
      <w:r w:rsidRPr="00B130BD">
        <w:t>Moreover, if the training data contains discriminatory biases, these models can inadvertently learn and perpetuate these biases, leading to unfair outcomes. Therefore, it's crucial to carefully validate these models and ensure that they comply with ethical guidelines and regulations.</w:t>
      </w:r>
    </w:p>
    <w:p w:rsidR="00B130BD" w:rsidRDefault="00B130BD" w:rsidP="00644485">
      <w:pPr>
        <w:jc w:val="both"/>
      </w:pPr>
    </w:p>
    <w:sectPr w:rsidR="00B130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E4C24"/>
    <w:multiLevelType w:val="multilevel"/>
    <w:tmpl w:val="7B24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B5682"/>
    <w:multiLevelType w:val="multilevel"/>
    <w:tmpl w:val="2868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538D7"/>
    <w:multiLevelType w:val="multilevel"/>
    <w:tmpl w:val="BF62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D4BD1"/>
    <w:multiLevelType w:val="multilevel"/>
    <w:tmpl w:val="C7F21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313A97"/>
    <w:multiLevelType w:val="multilevel"/>
    <w:tmpl w:val="D984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96"/>
    <w:rsid w:val="001F3249"/>
    <w:rsid w:val="00246B07"/>
    <w:rsid w:val="003E1313"/>
    <w:rsid w:val="00463DDE"/>
    <w:rsid w:val="004E001A"/>
    <w:rsid w:val="00512B96"/>
    <w:rsid w:val="005766E1"/>
    <w:rsid w:val="00644485"/>
    <w:rsid w:val="0065607F"/>
    <w:rsid w:val="0090011C"/>
    <w:rsid w:val="00A74AA0"/>
    <w:rsid w:val="00AB5B63"/>
    <w:rsid w:val="00B130BD"/>
    <w:rsid w:val="00EF08FA"/>
    <w:rsid w:val="00F6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3E27"/>
  <w15:chartTrackingRefBased/>
  <w15:docId w15:val="{8583D5AE-BFE5-46E9-BF69-B8DA5025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0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07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5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01822">
      <w:bodyDiv w:val="1"/>
      <w:marLeft w:val="0"/>
      <w:marRight w:val="0"/>
      <w:marTop w:val="0"/>
      <w:marBottom w:val="0"/>
      <w:divBdr>
        <w:top w:val="none" w:sz="0" w:space="0" w:color="auto"/>
        <w:left w:val="none" w:sz="0" w:space="0" w:color="auto"/>
        <w:bottom w:val="none" w:sz="0" w:space="0" w:color="auto"/>
        <w:right w:val="none" w:sz="0" w:space="0" w:color="auto"/>
      </w:divBdr>
    </w:div>
    <w:div w:id="139423948">
      <w:bodyDiv w:val="1"/>
      <w:marLeft w:val="0"/>
      <w:marRight w:val="0"/>
      <w:marTop w:val="0"/>
      <w:marBottom w:val="0"/>
      <w:divBdr>
        <w:top w:val="none" w:sz="0" w:space="0" w:color="auto"/>
        <w:left w:val="none" w:sz="0" w:space="0" w:color="auto"/>
        <w:bottom w:val="none" w:sz="0" w:space="0" w:color="auto"/>
        <w:right w:val="none" w:sz="0" w:space="0" w:color="auto"/>
      </w:divBdr>
    </w:div>
    <w:div w:id="691149299">
      <w:bodyDiv w:val="1"/>
      <w:marLeft w:val="0"/>
      <w:marRight w:val="0"/>
      <w:marTop w:val="0"/>
      <w:marBottom w:val="0"/>
      <w:divBdr>
        <w:top w:val="none" w:sz="0" w:space="0" w:color="auto"/>
        <w:left w:val="none" w:sz="0" w:space="0" w:color="auto"/>
        <w:bottom w:val="none" w:sz="0" w:space="0" w:color="auto"/>
        <w:right w:val="none" w:sz="0" w:space="0" w:color="auto"/>
      </w:divBdr>
    </w:div>
    <w:div w:id="786923096">
      <w:bodyDiv w:val="1"/>
      <w:marLeft w:val="0"/>
      <w:marRight w:val="0"/>
      <w:marTop w:val="0"/>
      <w:marBottom w:val="0"/>
      <w:divBdr>
        <w:top w:val="none" w:sz="0" w:space="0" w:color="auto"/>
        <w:left w:val="none" w:sz="0" w:space="0" w:color="auto"/>
        <w:bottom w:val="none" w:sz="0" w:space="0" w:color="auto"/>
        <w:right w:val="none" w:sz="0" w:space="0" w:color="auto"/>
      </w:divBdr>
    </w:div>
    <w:div w:id="941303897">
      <w:bodyDiv w:val="1"/>
      <w:marLeft w:val="0"/>
      <w:marRight w:val="0"/>
      <w:marTop w:val="0"/>
      <w:marBottom w:val="0"/>
      <w:divBdr>
        <w:top w:val="none" w:sz="0" w:space="0" w:color="auto"/>
        <w:left w:val="none" w:sz="0" w:space="0" w:color="auto"/>
        <w:bottom w:val="none" w:sz="0" w:space="0" w:color="auto"/>
        <w:right w:val="none" w:sz="0" w:space="0" w:color="auto"/>
      </w:divBdr>
    </w:div>
    <w:div w:id="984701130">
      <w:bodyDiv w:val="1"/>
      <w:marLeft w:val="0"/>
      <w:marRight w:val="0"/>
      <w:marTop w:val="0"/>
      <w:marBottom w:val="0"/>
      <w:divBdr>
        <w:top w:val="none" w:sz="0" w:space="0" w:color="auto"/>
        <w:left w:val="none" w:sz="0" w:space="0" w:color="auto"/>
        <w:bottom w:val="none" w:sz="0" w:space="0" w:color="auto"/>
        <w:right w:val="none" w:sz="0" w:space="0" w:color="auto"/>
      </w:divBdr>
    </w:div>
    <w:div w:id="1145783529">
      <w:bodyDiv w:val="1"/>
      <w:marLeft w:val="0"/>
      <w:marRight w:val="0"/>
      <w:marTop w:val="0"/>
      <w:marBottom w:val="0"/>
      <w:divBdr>
        <w:top w:val="none" w:sz="0" w:space="0" w:color="auto"/>
        <w:left w:val="none" w:sz="0" w:space="0" w:color="auto"/>
        <w:bottom w:val="none" w:sz="0" w:space="0" w:color="auto"/>
        <w:right w:val="none" w:sz="0" w:space="0" w:color="auto"/>
      </w:divBdr>
    </w:div>
    <w:div w:id="1218929289">
      <w:bodyDiv w:val="1"/>
      <w:marLeft w:val="0"/>
      <w:marRight w:val="0"/>
      <w:marTop w:val="0"/>
      <w:marBottom w:val="0"/>
      <w:divBdr>
        <w:top w:val="none" w:sz="0" w:space="0" w:color="auto"/>
        <w:left w:val="none" w:sz="0" w:space="0" w:color="auto"/>
        <w:bottom w:val="none" w:sz="0" w:space="0" w:color="auto"/>
        <w:right w:val="none" w:sz="0" w:space="0" w:color="auto"/>
      </w:divBdr>
      <w:divsChild>
        <w:div w:id="783110666">
          <w:marLeft w:val="0"/>
          <w:marRight w:val="0"/>
          <w:marTop w:val="0"/>
          <w:marBottom w:val="0"/>
          <w:divBdr>
            <w:top w:val="single" w:sz="2" w:space="0" w:color="auto"/>
            <w:left w:val="single" w:sz="2" w:space="0" w:color="auto"/>
            <w:bottom w:val="single" w:sz="6" w:space="0" w:color="auto"/>
            <w:right w:val="single" w:sz="2" w:space="0" w:color="auto"/>
          </w:divBdr>
          <w:divsChild>
            <w:div w:id="97035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765345975">
                  <w:marLeft w:val="0"/>
                  <w:marRight w:val="0"/>
                  <w:marTop w:val="0"/>
                  <w:marBottom w:val="0"/>
                  <w:divBdr>
                    <w:top w:val="single" w:sz="2" w:space="0" w:color="D9D9E3"/>
                    <w:left w:val="single" w:sz="2" w:space="0" w:color="D9D9E3"/>
                    <w:bottom w:val="single" w:sz="2" w:space="0" w:color="D9D9E3"/>
                    <w:right w:val="single" w:sz="2" w:space="0" w:color="D9D9E3"/>
                  </w:divBdr>
                  <w:divsChild>
                    <w:div w:id="1866751140">
                      <w:marLeft w:val="0"/>
                      <w:marRight w:val="0"/>
                      <w:marTop w:val="0"/>
                      <w:marBottom w:val="0"/>
                      <w:divBdr>
                        <w:top w:val="single" w:sz="2" w:space="0" w:color="D9D9E3"/>
                        <w:left w:val="single" w:sz="2" w:space="0" w:color="D9D9E3"/>
                        <w:bottom w:val="single" w:sz="2" w:space="0" w:color="D9D9E3"/>
                        <w:right w:val="single" w:sz="2" w:space="0" w:color="D9D9E3"/>
                      </w:divBdr>
                      <w:divsChild>
                        <w:div w:id="3193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5668012">
          <w:marLeft w:val="0"/>
          <w:marRight w:val="0"/>
          <w:marTop w:val="0"/>
          <w:marBottom w:val="0"/>
          <w:divBdr>
            <w:top w:val="single" w:sz="2" w:space="0" w:color="auto"/>
            <w:left w:val="single" w:sz="2" w:space="0" w:color="auto"/>
            <w:bottom w:val="single" w:sz="6" w:space="0" w:color="auto"/>
            <w:right w:val="single" w:sz="2" w:space="0" w:color="auto"/>
          </w:divBdr>
          <w:divsChild>
            <w:div w:id="590164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670456">
                  <w:marLeft w:val="0"/>
                  <w:marRight w:val="0"/>
                  <w:marTop w:val="0"/>
                  <w:marBottom w:val="0"/>
                  <w:divBdr>
                    <w:top w:val="single" w:sz="2" w:space="0" w:color="D9D9E3"/>
                    <w:left w:val="single" w:sz="2" w:space="0" w:color="D9D9E3"/>
                    <w:bottom w:val="single" w:sz="2" w:space="0" w:color="D9D9E3"/>
                    <w:right w:val="single" w:sz="2" w:space="0" w:color="D9D9E3"/>
                  </w:divBdr>
                  <w:divsChild>
                    <w:div w:id="157505221">
                      <w:marLeft w:val="0"/>
                      <w:marRight w:val="0"/>
                      <w:marTop w:val="0"/>
                      <w:marBottom w:val="0"/>
                      <w:divBdr>
                        <w:top w:val="single" w:sz="2" w:space="0" w:color="D9D9E3"/>
                        <w:left w:val="single" w:sz="2" w:space="0" w:color="D9D9E3"/>
                        <w:bottom w:val="single" w:sz="2" w:space="0" w:color="D9D9E3"/>
                        <w:right w:val="single" w:sz="2" w:space="0" w:color="D9D9E3"/>
                      </w:divBdr>
                      <w:divsChild>
                        <w:div w:id="1899973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28504">
                  <w:marLeft w:val="0"/>
                  <w:marRight w:val="0"/>
                  <w:marTop w:val="0"/>
                  <w:marBottom w:val="0"/>
                  <w:divBdr>
                    <w:top w:val="single" w:sz="2" w:space="0" w:color="D9D9E3"/>
                    <w:left w:val="single" w:sz="2" w:space="0" w:color="D9D9E3"/>
                    <w:bottom w:val="single" w:sz="2" w:space="0" w:color="D9D9E3"/>
                    <w:right w:val="single" w:sz="2" w:space="0" w:color="D9D9E3"/>
                  </w:divBdr>
                  <w:divsChild>
                    <w:div w:id="438989348">
                      <w:marLeft w:val="0"/>
                      <w:marRight w:val="0"/>
                      <w:marTop w:val="0"/>
                      <w:marBottom w:val="0"/>
                      <w:divBdr>
                        <w:top w:val="single" w:sz="2" w:space="0" w:color="D9D9E3"/>
                        <w:left w:val="single" w:sz="2" w:space="0" w:color="D9D9E3"/>
                        <w:bottom w:val="single" w:sz="2" w:space="0" w:color="D9D9E3"/>
                        <w:right w:val="single" w:sz="2" w:space="0" w:color="D9D9E3"/>
                      </w:divBdr>
                      <w:divsChild>
                        <w:div w:id="367950070">
                          <w:marLeft w:val="0"/>
                          <w:marRight w:val="0"/>
                          <w:marTop w:val="0"/>
                          <w:marBottom w:val="0"/>
                          <w:divBdr>
                            <w:top w:val="single" w:sz="2" w:space="0" w:color="D9D9E3"/>
                            <w:left w:val="single" w:sz="2" w:space="0" w:color="D9D9E3"/>
                            <w:bottom w:val="single" w:sz="2" w:space="0" w:color="D9D9E3"/>
                            <w:right w:val="single" w:sz="2" w:space="0" w:color="D9D9E3"/>
                          </w:divBdr>
                          <w:divsChild>
                            <w:div w:id="1039283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9456522">
      <w:bodyDiv w:val="1"/>
      <w:marLeft w:val="0"/>
      <w:marRight w:val="0"/>
      <w:marTop w:val="0"/>
      <w:marBottom w:val="0"/>
      <w:divBdr>
        <w:top w:val="none" w:sz="0" w:space="0" w:color="auto"/>
        <w:left w:val="none" w:sz="0" w:space="0" w:color="auto"/>
        <w:bottom w:val="none" w:sz="0" w:space="0" w:color="auto"/>
        <w:right w:val="none" w:sz="0" w:space="0" w:color="auto"/>
      </w:divBdr>
    </w:div>
    <w:div w:id="1434132530">
      <w:bodyDiv w:val="1"/>
      <w:marLeft w:val="0"/>
      <w:marRight w:val="0"/>
      <w:marTop w:val="0"/>
      <w:marBottom w:val="0"/>
      <w:divBdr>
        <w:top w:val="none" w:sz="0" w:space="0" w:color="auto"/>
        <w:left w:val="none" w:sz="0" w:space="0" w:color="auto"/>
        <w:bottom w:val="none" w:sz="0" w:space="0" w:color="auto"/>
        <w:right w:val="none" w:sz="0" w:space="0" w:color="auto"/>
      </w:divBdr>
    </w:div>
    <w:div w:id="1487042959">
      <w:bodyDiv w:val="1"/>
      <w:marLeft w:val="0"/>
      <w:marRight w:val="0"/>
      <w:marTop w:val="0"/>
      <w:marBottom w:val="0"/>
      <w:divBdr>
        <w:top w:val="none" w:sz="0" w:space="0" w:color="auto"/>
        <w:left w:val="none" w:sz="0" w:space="0" w:color="auto"/>
        <w:bottom w:val="none" w:sz="0" w:space="0" w:color="auto"/>
        <w:right w:val="none" w:sz="0" w:space="0" w:color="auto"/>
      </w:divBdr>
    </w:div>
    <w:div w:id="1553349432">
      <w:bodyDiv w:val="1"/>
      <w:marLeft w:val="0"/>
      <w:marRight w:val="0"/>
      <w:marTop w:val="0"/>
      <w:marBottom w:val="0"/>
      <w:divBdr>
        <w:top w:val="none" w:sz="0" w:space="0" w:color="auto"/>
        <w:left w:val="none" w:sz="0" w:space="0" w:color="auto"/>
        <w:bottom w:val="none" w:sz="0" w:space="0" w:color="auto"/>
        <w:right w:val="none" w:sz="0" w:space="0" w:color="auto"/>
      </w:divBdr>
    </w:div>
    <w:div w:id="1612467649">
      <w:bodyDiv w:val="1"/>
      <w:marLeft w:val="0"/>
      <w:marRight w:val="0"/>
      <w:marTop w:val="0"/>
      <w:marBottom w:val="0"/>
      <w:divBdr>
        <w:top w:val="none" w:sz="0" w:space="0" w:color="auto"/>
        <w:left w:val="none" w:sz="0" w:space="0" w:color="auto"/>
        <w:bottom w:val="none" w:sz="0" w:space="0" w:color="auto"/>
        <w:right w:val="none" w:sz="0" w:space="0" w:color="auto"/>
      </w:divBdr>
    </w:div>
    <w:div w:id="1830360235">
      <w:bodyDiv w:val="1"/>
      <w:marLeft w:val="0"/>
      <w:marRight w:val="0"/>
      <w:marTop w:val="0"/>
      <w:marBottom w:val="0"/>
      <w:divBdr>
        <w:top w:val="none" w:sz="0" w:space="0" w:color="auto"/>
        <w:left w:val="none" w:sz="0" w:space="0" w:color="auto"/>
        <w:bottom w:val="none" w:sz="0" w:space="0" w:color="auto"/>
        <w:right w:val="none" w:sz="0" w:space="0" w:color="auto"/>
      </w:divBdr>
      <w:divsChild>
        <w:div w:id="1351684189">
          <w:marLeft w:val="0"/>
          <w:marRight w:val="0"/>
          <w:marTop w:val="0"/>
          <w:marBottom w:val="0"/>
          <w:divBdr>
            <w:top w:val="single" w:sz="2" w:space="0" w:color="auto"/>
            <w:left w:val="single" w:sz="2" w:space="0" w:color="auto"/>
            <w:bottom w:val="single" w:sz="6" w:space="0" w:color="auto"/>
            <w:right w:val="single" w:sz="2" w:space="0" w:color="auto"/>
          </w:divBdr>
          <w:divsChild>
            <w:div w:id="1465081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25737900">
                  <w:marLeft w:val="0"/>
                  <w:marRight w:val="0"/>
                  <w:marTop w:val="0"/>
                  <w:marBottom w:val="0"/>
                  <w:divBdr>
                    <w:top w:val="single" w:sz="2" w:space="0" w:color="D9D9E3"/>
                    <w:left w:val="single" w:sz="2" w:space="0" w:color="D9D9E3"/>
                    <w:bottom w:val="single" w:sz="2" w:space="0" w:color="D9D9E3"/>
                    <w:right w:val="single" w:sz="2" w:space="0" w:color="D9D9E3"/>
                  </w:divBdr>
                  <w:divsChild>
                    <w:div w:id="997072225">
                      <w:marLeft w:val="0"/>
                      <w:marRight w:val="0"/>
                      <w:marTop w:val="0"/>
                      <w:marBottom w:val="0"/>
                      <w:divBdr>
                        <w:top w:val="single" w:sz="2" w:space="0" w:color="D9D9E3"/>
                        <w:left w:val="single" w:sz="2" w:space="0" w:color="D9D9E3"/>
                        <w:bottom w:val="single" w:sz="2" w:space="0" w:color="D9D9E3"/>
                        <w:right w:val="single" w:sz="2" w:space="0" w:color="D9D9E3"/>
                      </w:divBdr>
                      <w:divsChild>
                        <w:div w:id="1152064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9414853">
          <w:marLeft w:val="0"/>
          <w:marRight w:val="0"/>
          <w:marTop w:val="0"/>
          <w:marBottom w:val="0"/>
          <w:divBdr>
            <w:top w:val="single" w:sz="2" w:space="0" w:color="auto"/>
            <w:left w:val="single" w:sz="2" w:space="0" w:color="auto"/>
            <w:bottom w:val="single" w:sz="6" w:space="0" w:color="auto"/>
            <w:right w:val="single" w:sz="2" w:space="0" w:color="auto"/>
          </w:divBdr>
          <w:divsChild>
            <w:div w:id="432172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705721">
                  <w:marLeft w:val="0"/>
                  <w:marRight w:val="0"/>
                  <w:marTop w:val="0"/>
                  <w:marBottom w:val="0"/>
                  <w:divBdr>
                    <w:top w:val="single" w:sz="2" w:space="0" w:color="D9D9E3"/>
                    <w:left w:val="single" w:sz="2" w:space="0" w:color="D9D9E3"/>
                    <w:bottom w:val="single" w:sz="2" w:space="0" w:color="D9D9E3"/>
                    <w:right w:val="single" w:sz="2" w:space="0" w:color="D9D9E3"/>
                  </w:divBdr>
                  <w:divsChild>
                    <w:div w:id="290290609">
                      <w:marLeft w:val="0"/>
                      <w:marRight w:val="0"/>
                      <w:marTop w:val="0"/>
                      <w:marBottom w:val="0"/>
                      <w:divBdr>
                        <w:top w:val="single" w:sz="2" w:space="0" w:color="D9D9E3"/>
                        <w:left w:val="single" w:sz="2" w:space="0" w:color="D9D9E3"/>
                        <w:bottom w:val="single" w:sz="2" w:space="0" w:color="D9D9E3"/>
                        <w:right w:val="single" w:sz="2" w:space="0" w:color="D9D9E3"/>
                      </w:divBdr>
                      <w:divsChild>
                        <w:div w:id="133591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021029">
                  <w:marLeft w:val="0"/>
                  <w:marRight w:val="0"/>
                  <w:marTop w:val="0"/>
                  <w:marBottom w:val="0"/>
                  <w:divBdr>
                    <w:top w:val="single" w:sz="2" w:space="0" w:color="D9D9E3"/>
                    <w:left w:val="single" w:sz="2" w:space="0" w:color="D9D9E3"/>
                    <w:bottom w:val="single" w:sz="2" w:space="0" w:color="D9D9E3"/>
                    <w:right w:val="single" w:sz="2" w:space="0" w:color="D9D9E3"/>
                  </w:divBdr>
                  <w:divsChild>
                    <w:div w:id="134110012">
                      <w:marLeft w:val="0"/>
                      <w:marRight w:val="0"/>
                      <w:marTop w:val="0"/>
                      <w:marBottom w:val="0"/>
                      <w:divBdr>
                        <w:top w:val="single" w:sz="2" w:space="0" w:color="D9D9E3"/>
                        <w:left w:val="single" w:sz="2" w:space="0" w:color="D9D9E3"/>
                        <w:bottom w:val="single" w:sz="2" w:space="0" w:color="D9D9E3"/>
                        <w:right w:val="single" w:sz="2" w:space="0" w:color="D9D9E3"/>
                      </w:divBdr>
                      <w:divsChild>
                        <w:div w:id="1138910609">
                          <w:marLeft w:val="0"/>
                          <w:marRight w:val="0"/>
                          <w:marTop w:val="0"/>
                          <w:marBottom w:val="0"/>
                          <w:divBdr>
                            <w:top w:val="single" w:sz="2" w:space="0" w:color="D9D9E3"/>
                            <w:left w:val="single" w:sz="2" w:space="0" w:color="D9D9E3"/>
                            <w:bottom w:val="single" w:sz="2" w:space="0" w:color="D9D9E3"/>
                            <w:right w:val="single" w:sz="2" w:space="0" w:color="D9D9E3"/>
                          </w:divBdr>
                          <w:divsChild>
                            <w:div w:id="2294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216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Ken14</b:Tag>
    <b:SourceType>Book</b:SourceType>
    <b:Guid>{D1AC1CB8-6EA6-43AE-B993-430A9CBBF2B1}</b:Guid>
    <b:Title>Credit Risk Management</b:Title>
    <b:Year>2014</b:Year>
    <b:Author>
      <b:Author>
        <b:NameList>
          <b:Person>
            <b:Last>Brown</b:Last>
            <b:First>Ken</b:First>
          </b:Person>
          <b:Person>
            <b:Last>Moles</b:Last>
            <b:First>Peter</b:First>
          </b:Person>
        </b:NameList>
      </b:Author>
    </b:Author>
    <b:JournalName>E</b:JournalName>
    <b:Publisher>Edinburgh Business School</b:Publisher>
    <b:RefOrder>1</b:RefOrder>
  </b:Source>
  <b:Source>
    <b:Tag>Spu15</b:Tag>
    <b:SourceType>JournalArticle</b:SourceType>
    <b:Guid>{240C2AC4-41F6-4670-B75A-F046FEDAC8AE}</b:Guid>
    <b:Title>The credit risk and its measurement, hedging and monitoring.</b:Title>
    <b:Year>2015</b:Year>
    <b:Author>
      <b:Author>
        <b:NameList>
          <b:Person>
            <b:Last>Spuchľáková</b:Last>
            <b:First>E.,</b:First>
            <b:Middle>Valašková, K., &amp; Adamko, P.</b:Middle>
          </b:Person>
        </b:NameList>
      </b:Author>
    </b:Author>
    <b:JournalName>Procedia Economics and finance</b:JournalName>
    <b:Pages>675-681</b:Pages>
    <b:RefOrder>3</b:RefOrder>
  </b:Source>
  <b:Source>
    <b:Tag>Bou21</b:Tag>
    <b:SourceType>Book</b:SourceType>
    <b:Guid>{FCFAD763-D1D3-4E1B-95A0-323D41179720}</b:Guid>
    <b:Title>The handbook of credit risk management: originating, assessing, and managing credit exposures.</b:Title>
    <b:Year>2021</b:Year>
    <b:Author>
      <b:Author>
        <b:NameList>
          <b:Person>
            <b:Last>Bouteille</b:Last>
            <b:First>S.,</b:First>
            <b:Middle>&amp; Coogan-Pushner, D.</b:Middle>
          </b:Person>
        </b:NameList>
      </b:Author>
    </b:Author>
    <b:Publisher>John Wiley &amp; Sons</b:Publisher>
    <b:RefOrder>2</b:RefOrder>
  </b:Source>
  <b:Source>
    <b:Tag>Gav15</b:Tag>
    <b:SourceType>JournalArticle</b:SourceType>
    <b:Guid>{487FAFC0-61C7-4084-AD63-C8AD53D33628}</b:Guid>
    <b:Title>An integrated credit rating and loan quality model: application to bank shipping finance.</b:Title>
    <b:Year>2015</b:Year>
    <b:Author>
      <b:Author>
        <b:NameList>
          <b:Person>
            <b:Last>Gavalas</b:Last>
            <b:First>D.,</b:First>
            <b:Middle>&amp; Syriopoulos, T.</b:Middle>
          </b:Person>
        </b:NameList>
      </b:Author>
    </b:Author>
    <b:JournalName>Maritime Policy &amp; Management</b:JournalName>
    <b:Pages>533-554</b:Pages>
    <b:RefOrder>4</b:RefOrder>
  </b:Source>
  <b:Source>
    <b:Tag>Leo19</b:Tag>
    <b:SourceType>JournalArticle</b:SourceType>
    <b:Guid>{F806C2D6-2CB4-4A28-AA55-62C0C3FA8C20}</b:Guid>
    <b:Author>
      <b:Author>
        <b:NameList>
          <b:Person>
            <b:Last>Leo</b:Last>
            <b:First>M.,</b:First>
            <b:Middle>Sharma, S., &amp; Maddulety, K.</b:Middle>
          </b:Person>
        </b:NameList>
      </b:Author>
    </b:Author>
    <b:Title>Machine learning in banking risk management: A literature review.</b:Title>
    <b:JournalName>Risks</b:JournalName>
    <b:Year>2019</b:Year>
    <b:Pages>29</b:Pages>
    <b:RefOrder>5</b:RefOrder>
  </b:Source>
  <b:Source>
    <b:Tag>Wal16</b:Tag>
    <b:SourceType>Book</b:SourceType>
    <b:Guid>{4E1B2A95-43F7-4A5F-B1A3-5BD444DD7367}</b:Guid>
    <b:Title>Hidden in Plain Sight: What Really Caused the World's Worst Financial Crisis and Why It Could Happen Again.</b:Title>
    <b:Year>2016</b:Year>
    <b:Author>
      <b:Author>
        <b:NameList>
          <b:Person>
            <b:Last>Wallison</b:Last>
            <b:First>Peter</b:First>
            <b:Middle>J.</b:Middle>
          </b:Person>
        </b:NameList>
      </b:Author>
    </b:Author>
    <b:Publisher>Encounter Books</b:Publisher>
    <b:RefOrder>6</b:RefOrder>
  </b:Source>
</b:Sources>
</file>

<file path=customXml/itemProps1.xml><?xml version="1.0" encoding="utf-8"?>
<ds:datastoreItem xmlns:ds="http://schemas.openxmlformats.org/officeDocument/2006/customXml" ds:itemID="{762C4DFF-7441-4792-8F9B-802C0C5A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6</cp:revision>
  <dcterms:created xsi:type="dcterms:W3CDTF">2023-05-21T08:18:00Z</dcterms:created>
  <dcterms:modified xsi:type="dcterms:W3CDTF">2023-06-05T11:56:00Z</dcterms:modified>
</cp:coreProperties>
</file>