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81F" w:rsidRDefault="00E41DAC" w:rsidP="001C45B6">
      <w:pPr>
        <w:jc w:val="both"/>
        <w:rPr>
          <w:b/>
        </w:rPr>
      </w:pPr>
      <w:r w:rsidRPr="00E41DAC">
        <w:rPr>
          <w:b/>
        </w:rPr>
        <w:t>Credit analysis comparison for different customers</w:t>
      </w:r>
    </w:p>
    <w:p w:rsidR="00684A99" w:rsidRPr="00684A99" w:rsidRDefault="00684A99" w:rsidP="001C45B6">
      <w:pPr>
        <w:pStyle w:val="ListParagraph"/>
        <w:numPr>
          <w:ilvl w:val="0"/>
          <w:numId w:val="6"/>
        </w:numPr>
        <w:jc w:val="both"/>
        <w:rPr>
          <w:b/>
        </w:rPr>
      </w:pPr>
      <w:r>
        <w:rPr>
          <w:b/>
        </w:rPr>
        <w:t>Consumers</w:t>
      </w:r>
    </w:p>
    <w:p w:rsidR="00684A99" w:rsidRPr="00684A99" w:rsidRDefault="00684A99" w:rsidP="001C45B6">
      <w:pPr>
        <w:jc w:val="both"/>
      </w:pPr>
      <w:r w:rsidRPr="00684A99">
        <w:t>Credit analysis for consumer lending involves assessing the borrower's ability (capacity) to repay a loan and their willingness to do so. This process is based on various quantitative and qualitative factors. Let's discuss these aspects and provide examples:</w:t>
      </w:r>
    </w:p>
    <w:p w:rsidR="00684A99" w:rsidRPr="00684A99" w:rsidRDefault="00684A99" w:rsidP="001C45B6">
      <w:pPr>
        <w:jc w:val="both"/>
      </w:pPr>
      <w:r w:rsidRPr="00684A99">
        <w:rPr>
          <w:b/>
          <w:bCs/>
        </w:rPr>
        <w:t>Capacity</w:t>
      </w:r>
      <w:r w:rsidRPr="00684A99">
        <w:t>: Capacity refers to a borrower's financial ability to repay a loan. Lenders typically assess a borrower's income, employment stability, debt-to-income ratio, and other financial resources to determine their repayment capacity.</w:t>
      </w:r>
    </w:p>
    <w:p w:rsidR="00684A99" w:rsidRPr="00684A99" w:rsidRDefault="00684A99" w:rsidP="001C45B6">
      <w:pPr>
        <w:numPr>
          <w:ilvl w:val="0"/>
          <w:numId w:val="2"/>
        </w:numPr>
        <w:jc w:val="both"/>
      </w:pPr>
      <w:r w:rsidRPr="00684A99">
        <w:rPr>
          <w:b/>
          <w:bCs/>
        </w:rPr>
        <w:t>Scenario</w:t>
      </w:r>
      <w:r w:rsidRPr="00684A99">
        <w:t>: Consider a borrower who is applying for a mortgage. The lender would look at the borrower's income, the stability of that income (e.g., has the borrower been in the same job for several years?), and their current debt obligations. The lender would use this information to calculate the borrower's debt-to-income ratio. If the ratio is too high, it might indicate that the borrower may struggle to handle the additional debt of the mortgage.</w:t>
      </w:r>
    </w:p>
    <w:p w:rsidR="00684A99" w:rsidRPr="00684A99" w:rsidRDefault="00684A99" w:rsidP="001C45B6">
      <w:pPr>
        <w:jc w:val="both"/>
      </w:pPr>
      <w:r w:rsidRPr="00684A99">
        <w:rPr>
          <w:b/>
          <w:bCs/>
        </w:rPr>
        <w:t>Willingness</w:t>
      </w:r>
      <w:r w:rsidRPr="00684A99">
        <w:t>: Willingness to repay refers to a borrower's attitude towards meeting their debt obligations, as reflected in their credit history. Lenders typically look at a borrower's credit score, payment history, and any past defaults or delinquencies to assess their willingness to repay.</w:t>
      </w:r>
    </w:p>
    <w:p w:rsidR="00684A99" w:rsidRPr="00684A99" w:rsidRDefault="00684A99" w:rsidP="001C45B6">
      <w:pPr>
        <w:numPr>
          <w:ilvl w:val="0"/>
          <w:numId w:val="3"/>
        </w:numPr>
        <w:jc w:val="both"/>
      </w:pPr>
      <w:r w:rsidRPr="00684A99">
        <w:rPr>
          <w:b/>
          <w:bCs/>
        </w:rPr>
        <w:t>Scenario</w:t>
      </w:r>
      <w:r w:rsidRPr="00684A99">
        <w:t>: Suppose a borrower has a history of late payments and has defaulted on a previous loan. Even if they have a high income and low debt-to-income ratio, the lender may view them as a high credit risk due to their poor repayment history, indicating a lack of willingness to repay.</w:t>
      </w:r>
    </w:p>
    <w:p w:rsidR="00684A99" w:rsidRPr="00684A99" w:rsidRDefault="00684A99" w:rsidP="001C45B6">
      <w:pPr>
        <w:jc w:val="both"/>
      </w:pPr>
      <w:r w:rsidRPr="00684A99">
        <w:rPr>
          <w:b/>
          <w:bCs/>
        </w:rPr>
        <w:t>Methods of Evaluation</w:t>
      </w:r>
      <w:r w:rsidRPr="00684A99">
        <w:t>: Consumer credit analysis typically involves the use of credit scoring models, such as the FICO score, which consider factors like payment history, credit utilization, length of credit history, types of credit used, and recent credit inquiries. Additionally, lenders may consider factors such as the borrower's employment history, income stability, and personal savings.</w:t>
      </w:r>
    </w:p>
    <w:p w:rsidR="00684A99" w:rsidRPr="00684A99" w:rsidRDefault="00684A99" w:rsidP="001C45B6">
      <w:pPr>
        <w:numPr>
          <w:ilvl w:val="0"/>
          <w:numId w:val="4"/>
        </w:numPr>
        <w:jc w:val="both"/>
      </w:pPr>
      <w:r w:rsidRPr="00684A99">
        <w:rPr>
          <w:b/>
          <w:bCs/>
        </w:rPr>
        <w:t>Scenario</w:t>
      </w:r>
      <w:r w:rsidRPr="00684A99">
        <w:t>: A lender may use a credit scoring model to assign a numerical score to a borrower based on their credit report data. If the borrower has a high credit score, they are likely to be viewed as a low credit risk. However, if the borrower recently lost their job or has unstable income, the lender may view them as a high credit risk despite their high credit score.</w:t>
      </w:r>
    </w:p>
    <w:p w:rsidR="00684A99" w:rsidRPr="00684A99" w:rsidRDefault="00684A99" w:rsidP="001C45B6">
      <w:pPr>
        <w:jc w:val="both"/>
      </w:pPr>
      <w:r w:rsidRPr="00684A99">
        <w:rPr>
          <w:b/>
          <w:bCs/>
        </w:rPr>
        <w:t>Loan Size/Type</w:t>
      </w:r>
      <w:r w:rsidRPr="00684A99">
        <w:t>: The size and type of the loan can also impact the credit analysis process. For example, a larger loan or a loan with a longer term may pose a higher credit risk. The type of loan (e.g., mortgage, auto loan, personal loan, credit card) can also influence the factors considered in the credit analysis.</w:t>
      </w:r>
    </w:p>
    <w:p w:rsidR="00684A99" w:rsidRPr="00684A99" w:rsidRDefault="00684A99" w:rsidP="001C45B6">
      <w:pPr>
        <w:numPr>
          <w:ilvl w:val="0"/>
          <w:numId w:val="5"/>
        </w:numPr>
        <w:jc w:val="both"/>
      </w:pPr>
      <w:r w:rsidRPr="00684A99">
        <w:rPr>
          <w:b/>
          <w:bCs/>
        </w:rPr>
        <w:t>Scenario</w:t>
      </w:r>
      <w:r w:rsidRPr="00684A99">
        <w:t>: A borrower applying for a small personal loan may be assessed mainly based on their credit score and income. However, if the same borrower is applying for a large mortgage, the lender may also consider their savings, the value of the property (as collateral), and their ability to handle a long-term financial commitment.</w:t>
      </w:r>
    </w:p>
    <w:p w:rsidR="00684A99" w:rsidRPr="00684A99" w:rsidRDefault="00684A99" w:rsidP="001C45B6">
      <w:pPr>
        <w:jc w:val="both"/>
      </w:pPr>
      <w:r w:rsidRPr="00684A99">
        <w:t>In all scenarios, the aim of credit analysis is to estimate the borrower's ability and willingness to repay the loan, which helps lenders manage their risk and make informed lending decisions</w:t>
      </w:r>
    </w:p>
    <w:p w:rsidR="00684A99" w:rsidRPr="00684A99" w:rsidRDefault="00684A99" w:rsidP="001C45B6">
      <w:pPr>
        <w:jc w:val="both"/>
      </w:pPr>
    </w:p>
    <w:p w:rsidR="00684A99" w:rsidRPr="001C45B6" w:rsidRDefault="00684A99" w:rsidP="001C45B6">
      <w:pPr>
        <w:pStyle w:val="ListParagraph"/>
        <w:numPr>
          <w:ilvl w:val="0"/>
          <w:numId w:val="6"/>
        </w:numPr>
        <w:jc w:val="both"/>
        <w:rPr>
          <w:b/>
        </w:rPr>
      </w:pPr>
      <w:r w:rsidRPr="001C45B6">
        <w:rPr>
          <w:b/>
        </w:rPr>
        <w:lastRenderedPageBreak/>
        <w:t>Corporation</w:t>
      </w:r>
    </w:p>
    <w:p w:rsidR="00684A99" w:rsidRPr="00684A99" w:rsidRDefault="00684A99" w:rsidP="001C45B6">
      <w:pPr>
        <w:jc w:val="both"/>
      </w:pPr>
      <w:r w:rsidRPr="00684A99">
        <w:t>Credit analysis for corporate lending involves a more complex process due to the larger scale and complexity of corporate operations and finances. Here are the aspects and scenarios for capacity, willingness, methods of evaluation, and loan size/type:</w:t>
      </w:r>
    </w:p>
    <w:p w:rsidR="00684A99" w:rsidRPr="00684A99" w:rsidRDefault="00684A99" w:rsidP="001C45B6">
      <w:pPr>
        <w:jc w:val="both"/>
      </w:pPr>
      <w:r w:rsidRPr="00684A99">
        <w:rPr>
          <w:b/>
          <w:bCs/>
        </w:rPr>
        <w:t>Capacity</w:t>
      </w:r>
      <w:r w:rsidRPr="00684A99">
        <w:t>: This refers to a corporation's ability to repay its debt. It is typically assessed based on the company's cash flow, profitability, financial projections, and debt servicing capacity. Lenders also look at the company's financial ratios, such as debt-to-equity and interest coverage ratios.</w:t>
      </w:r>
    </w:p>
    <w:p w:rsidR="00684A99" w:rsidRPr="00684A99" w:rsidRDefault="00684A99" w:rsidP="001C45B6">
      <w:pPr>
        <w:numPr>
          <w:ilvl w:val="0"/>
          <w:numId w:val="7"/>
        </w:numPr>
        <w:jc w:val="both"/>
      </w:pPr>
      <w:r w:rsidRPr="00684A99">
        <w:rPr>
          <w:b/>
          <w:bCs/>
        </w:rPr>
        <w:t>Scenario</w:t>
      </w:r>
      <w:r w:rsidRPr="00684A99">
        <w:t>: Consider a corporation seeking a loan for business expansion. The lender would assess the company's historical and projected cash flows, profitability, and its existing debt obligations. If the company shows strong cash flows and profitability, and its debt-to-equity ratio is reasonable, it indicates a good repayment capacity.</w:t>
      </w:r>
    </w:p>
    <w:p w:rsidR="00684A99" w:rsidRPr="00684A99" w:rsidRDefault="00684A99" w:rsidP="001C45B6">
      <w:pPr>
        <w:jc w:val="both"/>
      </w:pPr>
      <w:r w:rsidRPr="00684A99">
        <w:rPr>
          <w:b/>
          <w:bCs/>
        </w:rPr>
        <w:t>Willingness</w:t>
      </w:r>
      <w:r w:rsidRPr="00684A99">
        <w:t>: While this term is more applicable to individual borrowers, in the corporate context, it can be interpreted as the corporate governance and management's commitment to meet the company's financial obligations. It can be evaluated based on the company's past loan repayment record and its management's reputation.</w:t>
      </w:r>
    </w:p>
    <w:p w:rsidR="00684A99" w:rsidRPr="00684A99" w:rsidRDefault="00684A99" w:rsidP="001C45B6">
      <w:pPr>
        <w:numPr>
          <w:ilvl w:val="0"/>
          <w:numId w:val="8"/>
        </w:numPr>
        <w:jc w:val="both"/>
      </w:pPr>
      <w:r w:rsidRPr="00684A99">
        <w:rPr>
          <w:b/>
          <w:bCs/>
        </w:rPr>
        <w:t>Scenario</w:t>
      </w:r>
      <w:r w:rsidRPr="00684A99">
        <w:t>: If a company has a history of late payments or defaults on its debt, it might indicate a lack of commitment to meeting financial obligations. However, if the company's management has a good reputation and demonstrates a strong commitment to maintaining the company's financial health, it can improve the lender's perception of the company's 'willingness' to repay.</w:t>
      </w:r>
    </w:p>
    <w:p w:rsidR="00684A99" w:rsidRPr="00684A99" w:rsidRDefault="00684A99" w:rsidP="001C45B6">
      <w:pPr>
        <w:jc w:val="both"/>
      </w:pPr>
      <w:r w:rsidRPr="00684A99">
        <w:rPr>
          <w:b/>
          <w:bCs/>
        </w:rPr>
        <w:t>Methods of Evaluation</w:t>
      </w:r>
      <w:r w:rsidRPr="00684A99">
        <w:t>: Corporate credit analysis involves an in-depth analysis of the company's financial statements, industry position, and macroeconomic factors. Lenders typically use various financial ratios, cash flow analysis, and sometimes even sophisticated credit risk models.</w:t>
      </w:r>
    </w:p>
    <w:p w:rsidR="00684A99" w:rsidRPr="00684A99" w:rsidRDefault="00684A99" w:rsidP="001C45B6">
      <w:pPr>
        <w:numPr>
          <w:ilvl w:val="0"/>
          <w:numId w:val="9"/>
        </w:numPr>
        <w:jc w:val="both"/>
      </w:pPr>
      <w:r w:rsidRPr="00684A99">
        <w:rPr>
          <w:b/>
          <w:bCs/>
        </w:rPr>
        <w:t>Scenario</w:t>
      </w:r>
      <w:r w:rsidRPr="00684A99">
        <w:t>: Lenders will thoroughly analyze a company's balance sheet, income statement, and cash flow statement. They will calculate and evaluate various financial ratios, such as liquidity ratios, profitability ratios, and leverage ratios, to assess the company's financial health and credit risk.</w:t>
      </w:r>
    </w:p>
    <w:p w:rsidR="00684A99" w:rsidRPr="00684A99" w:rsidRDefault="00684A99" w:rsidP="001C45B6">
      <w:pPr>
        <w:jc w:val="both"/>
      </w:pPr>
      <w:r w:rsidRPr="00684A99">
        <w:rPr>
          <w:b/>
          <w:bCs/>
        </w:rPr>
        <w:t>Loan Size/Type</w:t>
      </w:r>
      <w:r w:rsidRPr="00684A99">
        <w:t>: The size and type of the corporate loan can significantly impact the credit analysis process. Larger loans or loans with longer terms typically involve a more thorough and complex credit analysis process. The type of loan (e.g., working capital loan, term loan, syndicated loan) can also influence the factors considered in the credit analysis.</w:t>
      </w:r>
    </w:p>
    <w:p w:rsidR="00684A99" w:rsidRPr="00684A99" w:rsidRDefault="00684A99" w:rsidP="001C45B6">
      <w:pPr>
        <w:numPr>
          <w:ilvl w:val="0"/>
          <w:numId w:val="10"/>
        </w:numPr>
        <w:jc w:val="both"/>
      </w:pPr>
      <w:r w:rsidRPr="00684A99">
        <w:rPr>
          <w:b/>
          <w:bCs/>
        </w:rPr>
        <w:t>Scenario</w:t>
      </w:r>
      <w:r w:rsidRPr="00684A99">
        <w:t>: A corporation applying for a large syndicated loan for a major acquisition would undergo a much more rigorous credit analysis process compared to a smaller short-term working capital loan. For a large syndicated loan, lenders might even conduct a detailed due diligence process, including a thorough review of the acquisition target's financial health and prospects.</w:t>
      </w:r>
    </w:p>
    <w:p w:rsidR="00684A99" w:rsidRPr="00684A99" w:rsidRDefault="00684A99" w:rsidP="001C45B6">
      <w:pPr>
        <w:jc w:val="both"/>
      </w:pPr>
      <w:r w:rsidRPr="00684A99">
        <w:t>In all these scenarios, the goal of credit analysis is to estimate the corporation's ability and willingness to repay the loan, allowing lenders to manage their risk effectively and make informed lending decisions.</w:t>
      </w:r>
    </w:p>
    <w:p w:rsidR="00684A99" w:rsidRDefault="00684A99" w:rsidP="001C45B6">
      <w:pPr>
        <w:jc w:val="both"/>
      </w:pPr>
    </w:p>
    <w:p w:rsidR="001C45B6" w:rsidRPr="00684A99" w:rsidRDefault="001C45B6" w:rsidP="001C45B6">
      <w:pPr>
        <w:jc w:val="both"/>
      </w:pPr>
    </w:p>
    <w:p w:rsidR="001C45B6" w:rsidRPr="001C45B6" w:rsidRDefault="001C45B6" w:rsidP="001C45B6">
      <w:pPr>
        <w:jc w:val="both"/>
        <w:rPr>
          <w:b/>
        </w:rPr>
      </w:pPr>
      <w:r w:rsidRPr="001C45B6">
        <w:rPr>
          <w:b/>
        </w:rPr>
        <w:lastRenderedPageBreak/>
        <w:t>Credit analysis comparison for different customers for consumers and corporations</w:t>
      </w:r>
    </w:p>
    <w:p w:rsidR="001C45B6" w:rsidRPr="001C45B6" w:rsidRDefault="001C45B6" w:rsidP="001C45B6">
      <w:pPr>
        <w:jc w:val="both"/>
      </w:pPr>
      <w:r w:rsidRPr="001C45B6">
        <w:t>Credit analysis for consumers and corporations differs significantly due to the nature of their operations, financial structures, and credit needs. Here are some key differences:</w:t>
      </w:r>
    </w:p>
    <w:p w:rsidR="001C45B6" w:rsidRPr="001C45B6" w:rsidRDefault="001C45B6" w:rsidP="001C45B6">
      <w:pPr>
        <w:numPr>
          <w:ilvl w:val="0"/>
          <w:numId w:val="1"/>
        </w:numPr>
        <w:jc w:val="both"/>
      </w:pPr>
      <w:r w:rsidRPr="001C45B6">
        <w:rPr>
          <w:bCs/>
        </w:rPr>
        <w:t>Scale and Complexity</w:t>
      </w:r>
      <w:r w:rsidRPr="001C45B6">
        <w:t>: Corporate credit analysis is typically more complex and involves larger amounts of money. Corporations often have more intricate financial structures, multiple revenue streams, and a variety of financing needs, which can make their credit analysis more challenging. On the other hand, consumer credit analysis is usually more straightforward and involves smaller loan amounts.</w:t>
      </w:r>
    </w:p>
    <w:p w:rsidR="001C45B6" w:rsidRPr="001C45B6" w:rsidRDefault="001C45B6" w:rsidP="001C45B6">
      <w:pPr>
        <w:numPr>
          <w:ilvl w:val="0"/>
          <w:numId w:val="1"/>
        </w:numPr>
        <w:jc w:val="both"/>
      </w:pPr>
      <w:r w:rsidRPr="001C45B6">
        <w:rPr>
          <w:bCs/>
        </w:rPr>
        <w:t>Data Used</w:t>
      </w:r>
      <w:r w:rsidRPr="001C45B6">
        <w:t>: Consumer credit analysis primarily relies on personal financial data, such as income, personal assets, and credit history. Credit scores, like FICO, are commonly used to assess a consumer's creditworthiness. On the other hand, corporate credit analysis involves a deep dive into the company's financial statements, including its balance sheet, income statement, and cash flow statement. Analysts look at financial ratios, industry position, and macroeconomic factors.</w:t>
      </w:r>
    </w:p>
    <w:p w:rsidR="001C45B6" w:rsidRPr="001C45B6" w:rsidRDefault="001C45B6" w:rsidP="001C45B6">
      <w:pPr>
        <w:numPr>
          <w:ilvl w:val="0"/>
          <w:numId w:val="1"/>
        </w:numPr>
        <w:jc w:val="both"/>
      </w:pPr>
      <w:r w:rsidRPr="001C45B6">
        <w:rPr>
          <w:bCs/>
        </w:rPr>
        <w:t>Collateral</w:t>
      </w:r>
      <w:r w:rsidRPr="001C45B6">
        <w:t>: For consumer loans, collateral can include personal assets like a house (in a mortgage) or a car (in an auto loan). In contrast, corporations can offer a wider range of assets as collateral, such as plant, property, equipment, inventory, or accounts receivable.</w:t>
      </w:r>
    </w:p>
    <w:p w:rsidR="001C45B6" w:rsidRPr="001C45B6" w:rsidRDefault="001C45B6" w:rsidP="001C45B6">
      <w:pPr>
        <w:numPr>
          <w:ilvl w:val="0"/>
          <w:numId w:val="1"/>
        </w:numPr>
        <w:jc w:val="both"/>
      </w:pPr>
      <w:r w:rsidRPr="001C45B6">
        <w:rPr>
          <w:bCs/>
        </w:rPr>
        <w:t>Credit Purpose</w:t>
      </w:r>
      <w:r w:rsidRPr="001C45B6">
        <w:t>: Consumers typically seek credit for personal needs, such as buying a house, a car, or for credit card spending. Conversely, corporations typically seek credit for various business needs, including working capital, capital expenditure, refinancing existing debt, or business expansion.</w:t>
      </w:r>
    </w:p>
    <w:p w:rsidR="001C45B6" w:rsidRPr="001C45B6" w:rsidRDefault="001C45B6" w:rsidP="001C45B6">
      <w:pPr>
        <w:numPr>
          <w:ilvl w:val="0"/>
          <w:numId w:val="1"/>
        </w:numPr>
        <w:jc w:val="both"/>
      </w:pPr>
      <w:r w:rsidRPr="001C45B6">
        <w:rPr>
          <w:bCs/>
        </w:rPr>
        <w:t>Legal Implications</w:t>
      </w:r>
      <w:r w:rsidRPr="001C45B6">
        <w:t>: Corporations, especially large ones, often have more complex legal considerations involved in loan agreements, including covenants that can affect the company's future operations. Consumer loans are usually more straightforward, with simpler legal implications.</w:t>
      </w:r>
    </w:p>
    <w:p w:rsidR="001C45B6" w:rsidRPr="001C45B6" w:rsidRDefault="001C45B6" w:rsidP="001C45B6">
      <w:pPr>
        <w:numPr>
          <w:ilvl w:val="0"/>
          <w:numId w:val="1"/>
        </w:numPr>
        <w:jc w:val="both"/>
      </w:pPr>
      <w:r w:rsidRPr="001C45B6">
        <w:rPr>
          <w:bCs/>
        </w:rPr>
        <w:t>Repayment Capacity</w:t>
      </w:r>
      <w:r w:rsidRPr="001C45B6">
        <w:t>: Repayment capacity for consumers is evaluated based on their income stability, employment history, and personal savings. For corporations, repayment capacity is evaluated based on cash flow generation, profitability, and financial projections.</w:t>
      </w:r>
    </w:p>
    <w:p w:rsidR="001C45B6" w:rsidRPr="001C45B6" w:rsidRDefault="001C45B6" w:rsidP="001C45B6">
      <w:pPr>
        <w:numPr>
          <w:ilvl w:val="0"/>
          <w:numId w:val="1"/>
        </w:numPr>
        <w:jc w:val="both"/>
      </w:pPr>
      <w:r w:rsidRPr="001C45B6">
        <w:rPr>
          <w:bCs/>
        </w:rPr>
        <w:t>Credit Evaluation Models</w:t>
      </w:r>
      <w:r w:rsidRPr="001C45B6">
        <w:t>: For consumer credit analysis, statistical models and credit scoring techniques (like logistic regression or decision trees) are often used to predict default risk. In contrast, corporate credit analysis may involve more tailored credit models, taking into account company-specific and industry-specific factors.</w:t>
      </w:r>
    </w:p>
    <w:p w:rsidR="001C45B6" w:rsidRPr="001C45B6" w:rsidRDefault="001C45B6" w:rsidP="001C45B6">
      <w:pPr>
        <w:jc w:val="both"/>
      </w:pPr>
      <w:r w:rsidRPr="001C45B6">
        <w:t>In both cases, the goal of credit analysis is to estimate the borrower's ability and willingness to repay the loan, and thus the risk associated with lending to the borrower. The analytical process, however, can be significantly different for consumers and corporations due to the inherent differences between these types of borrowers.</w:t>
      </w:r>
    </w:p>
    <w:p w:rsidR="001C45B6" w:rsidRDefault="001C45B6" w:rsidP="001C45B6">
      <w:pPr>
        <w:jc w:val="both"/>
        <w:rPr>
          <w:b/>
        </w:rPr>
      </w:pPr>
    </w:p>
    <w:p w:rsidR="001C45B6" w:rsidRDefault="001C45B6" w:rsidP="001C45B6">
      <w:pPr>
        <w:jc w:val="both"/>
        <w:rPr>
          <w:b/>
        </w:rPr>
      </w:pPr>
    </w:p>
    <w:p w:rsidR="001C45B6" w:rsidRPr="001C45B6" w:rsidRDefault="001C45B6" w:rsidP="001C45B6">
      <w:pPr>
        <w:jc w:val="both"/>
        <w:rPr>
          <w:b/>
        </w:rPr>
      </w:pPr>
    </w:p>
    <w:p w:rsidR="00684A99" w:rsidRPr="001C45B6" w:rsidRDefault="001C45B6" w:rsidP="001C45B6">
      <w:pPr>
        <w:pStyle w:val="ListParagraph"/>
        <w:numPr>
          <w:ilvl w:val="0"/>
          <w:numId w:val="6"/>
        </w:numPr>
        <w:jc w:val="both"/>
        <w:rPr>
          <w:b/>
        </w:rPr>
      </w:pPr>
      <w:r w:rsidRPr="001C45B6">
        <w:rPr>
          <w:b/>
        </w:rPr>
        <w:lastRenderedPageBreak/>
        <w:t>Financial Institutions</w:t>
      </w:r>
    </w:p>
    <w:p w:rsidR="001C45B6" w:rsidRPr="001C45B6" w:rsidRDefault="001C45B6" w:rsidP="001C45B6">
      <w:pPr>
        <w:jc w:val="both"/>
      </w:pPr>
      <w:r w:rsidRPr="001C45B6">
        <w:t>Credit analysis for financial institutions, such as banks, insurance companies, and asset managers, involves a unique set of considerations due to the nature of their operations and regulatory environment. Here are the aspects and scenarios for capacity, willingness, methods of evaluation, and loan size/type:</w:t>
      </w:r>
    </w:p>
    <w:p w:rsidR="001C45B6" w:rsidRPr="001C45B6" w:rsidRDefault="001C45B6" w:rsidP="001C45B6">
      <w:pPr>
        <w:jc w:val="both"/>
      </w:pPr>
      <w:r w:rsidRPr="001C45B6">
        <w:rPr>
          <w:b/>
          <w:bCs/>
        </w:rPr>
        <w:t>Capacity</w:t>
      </w:r>
      <w:r w:rsidRPr="001C45B6">
        <w:t>: This refers to a financial institution's ability to repay its debt. It is typically assessed based on the institution's capital adequacy, earnings, and liquidity position. Key considerations include the institution's Tier 1 capital ratio, return on assets (ROA), and liquidity coverage ratio (LCR), among others.</w:t>
      </w:r>
    </w:p>
    <w:p w:rsidR="001C45B6" w:rsidRPr="001C45B6" w:rsidRDefault="001C45B6" w:rsidP="001C45B6">
      <w:pPr>
        <w:numPr>
          <w:ilvl w:val="0"/>
          <w:numId w:val="11"/>
        </w:numPr>
        <w:jc w:val="both"/>
      </w:pPr>
      <w:r w:rsidRPr="001C45B6">
        <w:rPr>
          <w:b/>
          <w:bCs/>
        </w:rPr>
        <w:t>Scenario</w:t>
      </w:r>
      <w:r w:rsidRPr="001C45B6">
        <w:t>: Suppose a bank is seeking a loan to expand its operations. The lender would assess the bank's capital adequacy (e.g., Tier 1 capital ratio), profitability (e.g., ROA), and liquidity position (e.g., LCR and net stable funding ratio). If these indicators are strong, it would suggest a good repayment capacity.</w:t>
      </w:r>
    </w:p>
    <w:p w:rsidR="001C45B6" w:rsidRPr="001C45B6" w:rsidRDefault="001C45B6" w:rsidP="001C45B6">
      <w:pPr>
        <w:jc w:val="both"/>
      </w:pPr>
      <w:r w:rsidRPr="001C45B6">
        <w:rPr>
          <w:b/>
          <w:bCs/>
        </w:rPr>
        <w:t>Willingness</w:t>
      </w:r>
      <w:r w:rsidRPr="001C45B6">
        <w:t>: This can be interpreted as the institution's commitment to meeting its financial obligations. It can be evaluated based on the institution's regulatory compliance record, the quality of its management, and its reputation in the market.</w:t>
      </w:r>
    </w:p>
    <w:p w:rsidR="001C45B6" w:rsidRPr="001C45B6" w:rsidRDefault="001C45B6" w:rsidP="001C45B6">
      <w:pPr>
        <w:numPr>
          <w:ilvl w:val="0"/>
          <w:numId w:val="12"/>
        </w:numPr>
        <w:jc w:val="both"/>
      </w:pPr>
      <w:r w:rsidRPr="001C45B6">
        <w:rPr>
          <w:b/>
          <w:bCs/>
        </w:rPr>
        <w:t>Scenario</w:t>
      </w:r>
      <w:r w:rsidRPr="001C45B6">
        <w:t>: If a bank has a history of regulatory violations or governance issues, it might raise concerns about its willingness to meet its financial obligations. However, a strong track record of regulatory compliance and a management team with a good reputation can enhance the lender's perception of the bank's willingness to repay.</w:t>
      </w:r>
    </w:p>
    <w:p w:rsidR="001C45B6" w:rsidRPr="001C45B6" w:rsidRDefault="001C45B6" w:rsidP="001C45B6">
      <w:pPr>
        <w:jc w:val="both"/>
      </w:pPr>
      <w:r w:rsidRPr="001C45B6">
        <w:rPr>
          <w:b/>
          <w:bCs/>
        </w:rPr>
        <w:t>Methods of Evaluation</w:t>
      </w:r>
      <w:r w:rsidRPr="001C45B6">
        <w:t>: Credit analysis of financial institutions often involves an assessment of the institution's financial health, risk management practices, and regulatory compliance. The CAMELS rating system (Capital adequacy, Asset quality, Management, Earnings, Liquidity, and Sensitivity to market risk) is commonly used for this purpose.</w:t>
      </w:r>
    </w:p>
    <w:p w:rsidR="001C45B6" w:rsidRPr="001C45B6" w:rsidRDefault="001C45B6" w:rsidP="001C45B6">
      <w:pPr>
        <w:numPr>
          <w:ilvl w:val="0"/>
          <w:numId w:val="13"/>
        </w:numPr>
        <w:jc w:val="both"/>
      </w:pPr>
      <w:r w:rsidRPr="001C45B6">
        <w:rPr>
          <w:b/>
          <w:bCs/>
        </w:rPr>
        <w:t>Scenario</w:t>
      </w:r>
      <w:r w:rsidRPr="001C45B6">
        <w:t>: The lender would conduct a thorough analysis of the financial institution's financial statements and regulatory reports. They would assess the institution's capital adequacy, asset quality, management quality, earnings, liquidity, and sensitivity to market risk. They might also consider the institution's risk management practices and regulatory compliance record.</w:t>
      </w:r>
    </w:p>
    <w:p w:rsidR="001C45B6" w:rsidRPr="001C45B6" w:rsidRDefault="001C45B6" w:rsidP="001C45B6">
      <w:pPr>
        <w:jc w:val="both"/>
      </w:pPr>
      <w:r w:rsidRPr="001C45B6">
        <w:rPr>
          <w:b/>
          <w:bCs/>
        </w:rPr>
        <w:t>Loan Size/Type</w:t>
      </w:r>
      <w:r w:rsidRPr="001C45B6">
        <w:t>: The size and type of the loan can significantly impact the credit analysis process. Larger loans or loans with longer terms typically involve a more rigorous credit analysis process. The type of loan (e.g., term loan, syndicated loan) can also influence the factors considered in the credit analysis.</w:t>
      </w:r>
    </w:p>
    <w:p w:rsidR="001C45B6" w:rsidRPr="001C45B6" w:rsidRDefault="001C45B6" w:rsidP="001C45B6">
      <w:pPr>
        <w:numPr>
          <w:ilvl w:val="0"/>
          <w:numId w:val="14"/>
        </w:numPr>
        <w:jc w:val="both"/>
      </w:pPr>
      <w:r w:rsidRPr="001C45B6">
        <w:rPr>
          <w:b/>
          <w:bCs/>
        </w:rPr>
        <w:t>Scenario</w:t>
      </w:r>
      <w:r w:rsidRPr="001C45B6">
        <w:t>: A financial institution applying for a large term loan for a significant strategic initiative would undergo a more rigorous credit analysis process compared to a smaller short-term working capital loan. The lender might consider a range of factors, including the institution's strategic plans, regulatory environment, market conditions, and risk management practices.</w:t>
      </w:r>
    </w:p>
    <w:p w:rsidR="001C45B6" w:rsidRPr="001C45B6" w:rsidRDefault="001C45B6" w:rsidP="001C45B6">
      <w:pPr>
        <w:jc w:val="both"/>
      </w:pPr>
      <w:r w:rsidRPr="001C45B6">
        <w:t>In all these scenarios, the goal of credit analysis is to estimate the financial institution's ability and willingness to repay the loan, allowing lenders to manage their risk effectively and make informed lending decisions.</w:t>
      </w:r>
    </w:p>
    <w:p w:rsidR="001C45B6" w:rsidRPr="001C45B6" w:rsidRDefault="001C45B6" w:rsidP="001C45B6">
      <w:pPr>
        <w:jc w:val="both"/>
      </w:pPr>
    </w:p>
    <w:p w:rsidR="00E41DAC" w:rsidRDefault="00E41DAC" w:rsidP="001C45B6">
      <w:pPr>
        <w:jc w:val="both"/>
      </w:pPr>
    </w:p>
    <w:p w:rsidR="001C45B6" w:rsidRDefault="003D3C88" w:rsidP="003D3C88">
      <w:pPr>
        <w:pStyle w:val="ListParagraph"/>
        <w:numPr>
          <w:ilvl w:val="0"/>
          <w:numId w:val="6"/>
        </w:numPr>
        <w:jc w:val="both"/>
        <w:rPr>
          <w:b/>
        </w:rPr>
      </w:pPr>
      <w:r w:rsidRPr="003D3C88">
        <w:rPr>
          <w:b/>
        </w:rPr>
        <w:lastRenderedPageBreak/>
        <w:t>Sovereigns</w:t>
      </w:r>
    </w:p>
    <w:p w:rsidR="003D3C88" w:rsidRPr="003D3C88" w:rsidRDefault="003D3C88" w:rsidP="003D3C88">
      <w:pPr>
        <w:jc w:val="both"/>
      </w:pPr>
      <w:r w:rsidRPr="003D3C88">
        <w:t>Credit analysis for sovereigns, or countries, involves assessing the ability and willingness of a government to fulfill its financial obligations in full and on time. It includes the following aspects:</w:t>
      </w:r>
    </w:p>
    <w:p w:rsidR="003D3C88" w:rsidRPr="003D3C88" w:rsidRDefault="003D3C88" w:rsidP="003D3C88">
      <w:pPr>
        <w:jc w:val="both"/>
      </w:pPr>
      <w:r w:rsidRPr="003D3C88">
        <w:rPr>
          <w:b/>
          <w:bCs/>
        </w:rPr>
        <w:t>Capacity</w:t>
      </w:r>
      <w:r w:rsidRPr="003D3C88">
        <w:t>: This refers to a sovereign's ability to service its debt. Key considerations include the country's economic output (GDP), fiscal position (such as budget deficit or surplus), debt-to-GDP ratio, and foreign exchange reserves.</w:t>
      </w:r>
    </w:p>
    <w:p w:rsidR="003D3C88" w:rsidRPr="003D3C88" w:rsidRDefault="003D3C88" w:rsidP="003D3C88">
      <w:pPr>
        <w:numPr>
          <w:ilvl w:val="0"/>
          <w:numId w:val="15"/>
        </w:numPr>
        <w:jc w:val="both"/>
      </w:pPr>
      <w:r w:rsidRPr="003D3C88">
        <w:rPr>
          <w:b/>
          <w:bCs/>
        </w:rPr>
        <w:t>Scenario</w:t>
      </w:r>
      <w:r w:rsidRPr="003D3C88">
        <w:t>: Consider a country seeking to issue bonds in the international market. Potential investors would assess the country's economic size and growth prospects, fiscal balance, public debt level, and foreign exchange reserves. A country with a growing economy, a manageable fiscal deficit, a moderate debt-to-GDP ratio, and substantial foreign exchange reserves would be considered to have a good repayment capacity.</w:t>
      </w:r>
    </w:p>
    <w:p w:rsidR="003D3C88" w:rsidRPr="003D3C88" w:rsidRDefault="003D3C88" w:rsidP="003D3C88">
      <w:pPr>
        <w:jc w:val="both"/>
      </w:pPr>
      <w:r w:rsidRPr="003D3C88">
        <w:rPr>
          <w:b/>
          <w:bCs/>
        </w:rPr>
        <w:t>Willingness</w:t>
      </w:r>
      <w:r w:rsidRPr="003D3C88">
        <w:t>: This refers to a sovereign's commitment to meet its financial obligations. It can be gauged by the country's political stability, policy consistency, and its track record of repayment.</w:t>
      </w:r>
    </w:p>
    <w:p w:rsidR="003D3C88" w:rsidRPr="003D3C88" w:rsidRDefault="003D3C88" w:rsidP="003D3C88">
      <w:pPr>
        <w:numPr>
          <w:ilvl w:val="0"/>
          <w:numId w:val="16"/>
        </w:numPr>
        <w:jc w:val="both"/>
      </w:pPr>
      <w:r w:rsidRPr="003D3C88">
        <w:rPr>
          <w:b/>
          <w:bCs/>
        </w:rPr>
        <w:t>Scenario</w:t>
      </w:r>
      <w:r w:rsidRPr="003D3C88">
        <w:t>: If a country has a history of defaults or debt restructuring, it might indicate a lack of willingness to meet financial obligations. However, a country with a stable political environment, consistent policy-making, and a strong repayment record would be seen as more willing to fulfill its debt obligations.</w:t>
      </w:r>
    </w:p>
    <w:p w:rsidR="003D3C88" w:rsidRPr="003D3C88" w:rsidRDefault="003D3C88" w:rsidP="003D3C88">
      <w:pPr>
        <w:jc w:val="both"/>
      </w:pPr>
      <w:r w:rsidRPr="003D3C88">
        <w:rPr>
          <w:b/>
          <w:bCs/>
        </w:rPr>
        <w:t>Methods of Evaluation</w:t>
      </w:r>
      <w:r w:rsidRPr="003D3C88">
        <w:t>: Credit rating agencies like S&amp;P, Moody's, and Fitch use various quantitative and qualitative factors to assess sovereign credit risk. These include economic indicators, political risk, external liquidity and international investment position, fiscal performance, and monetary flexibility.</w:t>
      </w:r>
    </w:p>
    <w:p w:rsidR="003D3C88" w:rsidRPr="003D3C88" w:rsidRDefault="003D3C88" w:rsidP="003D3C88">
      <w:pPr>
        <w:numPr>
          <w:ilvl w:val="0"/>
          <w:numId w:val="17"/>
        </w:numPr>
        <w:jc w:val="both"/>
      </w:pPr>
      <w:r w:rsidRPr="003D3C88">
        <w:rPr>
          <w:b/>
          <w:bCs/>
        </w:rPr>
        <w:t>Scenario</w:t>
      </w:r>
      <w:r w:rsidRPr="003D3C88">
        <w:t>: A credit rating agency would assess a country's economic indicators (such as GDP growth, inflation, unemployment rate), political risk, external debt and reserves, fiscal performance (including budget balance and public debt level), and monetary policy flexibility. The agency would then assign a credit rating to the country, indicating its creditworthiness and default risk.</w:t>
      </w:r>
    </w:p>
    <w:p w:rsidR="003D3C88" w:rsidRPr="003D3C88" w:rsidRDefault="003D3C88" w:rsidP="003D3C88">
      <w:pPr>
        <w:jc w:val="both"/>
      </w:pPr>
      <w:r w:rsidRPr="003D3C88">
        <w:rPr>
          <w:b/>
          <w:bCs/>
        </w:rPr>
        <w:t>Loan Size/Type</w:t>
      </w:r>
      <w:r w:rsidRPr="003D3C88">
        <w:t>: The size and type of the debt can influence the risk associated with it. Large amounts of foreign-currency debt can be particularly risky if the country has limited foreign exchange reserves. The type of debt (e.g., short-term vs. long-term, fixed-rate vs. floating-rate) can also impact the country's debt servicing burden and default risk.</w:t>
      </w:r>
    </w:p>
    <w:p w:rsidR="003D3C88" w:rsidRPr="003D3C88" w:rsidRDefault="003D3C88" w:rsidP="003D3C88">
      <w:pPr>
        <w:numPr>
          <w:ilvl w:val="0"/>
          <w:numId w:val="18"/>
        </w:numPr>
        <w:jc w:val="both"/>
      </w:pPr>
      <w:r w:rsidRPr="003D3C88">
        <w:rPr>
          <w:b/>
          <w:bCs/>
        </w:rPr>
        <w:t>Scenario</w:t>
      </w:r>
      <w:r w:rsidRPr="003D3C88">
        <w:t>: A country with a large amount of short-term, foreign-currency debt and limited foreign exchange reserves would be seen as having a high default risk. In contrast, a country with mostly long-term, domestic-currency debt and substantial foreign exchange reserves would be seen as having a lower default risk.</w:t>
      </w:r>
    </w:p>
    <w:p w:rsidR="003D3C88" w:rsidRPr="003D3C88" w:rsidRDefault="003D3C88" w:rsidP="003D3C88">
      <w:pPr>
        <w:jc w:val="both"/>
      </w:pPr>
      <w:r w:rsidRPr="003D3C88">
        <w:t>In all these scenarios, the goal of credit analysis is to estimate the sovereign's ability and willingness to repay its debt, enabling investors to assess the risk associated with lending to or investing in the country.</w:t>
      </w:r>
    </w:p>
    <w:p w:rsidR="003D3C88" w:rsidRDefault="003D3C88" w:rsidP="003D3C88">
      <w:pPr>
        <w:jc w:val="both"/>
      </w:pPr>
    </w:p>
    <w:p w:rsidR="008E3C58" w:rsidRDefault="008E3C58" w:rsidP="003D3C88">
      <w:pPr>
        <w:jc w:val="both"/>
      </w:pPr>
    </w:p>
    <w:p w:rsidR="008E3C58" w:rsidRPr="008E3C58" w:rsidRDefault="008E3C58" w:rsidP="003D3C88">
      <w:pPr>
        <w:jc w:val="both"/>
        <w:rPr>
          <w:b/>
        </w:rPr>
      </w:pPr>
      <w:r w:rsidRPr="008E3C58">
        <w:rPr>
          <w:b/>
        </w:rPr>
        <w:lastRenderedPageBreak/>
        <w:t>Credit Risk Measurements</w:t>
      </w:r>
    </w:p>
    <w:p w:rsidR="008E3C58" w:rsidRPr="008E3C58" w:rsidRDefault="008E3C58" w:rsidP="008E3C58">
      <w:pPr>
        <w:jc w:val="both"/>
      </w:pPr>
      <w:r w:rsidRPr="008E3C58">
        <w:t>Credit risk measurement is a fundamental aspect of managing the financial health of a lending institution. It involves estimating potential losses due to a borrower's inability to meet its debt obligations. The primary drivers for credit risk measurement are the probability of default (PD), loss given default (LGD), and exposure at default (EAD). Let's discuss each of these elements:</w:t>
      </w:r>
    </w:p>
    <w:p w:rsidR="008E3C58" w:rsidRPr="008E3C58" w:rsidRDefault="008E3C58" w:rsidP="008E3C58">
      <w:pPr>
        <w:numPr>
          <w:ilvl w:val="0"/>
          <w:numId w:val="19"/>
        </w:numPr>
        <w:jc w:val="both"/>
      </w:pPr>
      <w:r w:rsidRPr="008E3C58">
        <w:rPr>
          <w:b/>
          <w:bCs/>
        </w:rPr>
        <w:t>Probability of Default (PD)</w:t>
      </w:r>
      <w:r w:rsidRPr="008E3C58">
        <w:t>: PD is the likelihood that a borrower will default on a loan within a given time horizon. It's often calculated based on historical default rates for borrowers with similar risk characteristics. Factors like credit score, income stability, debt-to-income ratio, and the type of loan can influence the PD.</w:t>
      </w:r>
    </w:p>
    <w:p w:rsidR="008E3C58" w:rsidRPr="008E3C58" w:rsidRDefault="008E3C58" w:rsidP="008E3C58">
      <w:pPr>
        <w:numPr>
          <w:ilvl w:val="1"/>
          <w:numId w:val="19"/>
        </w:numPr>
        <w:jc w:val="both"/>
      </w:pPr>
      <w:r w:rsidRPr="008E3C58">
        <w:t>Modelling PD often involves statistical techniques to predict the likelihood of default based on a borrower's characteristics and economic conditions. Logistic regression, survival analysis, and machine learning techniques are often used for this purpose.</w:t>
      </w:r>
    </w:p>
    <w:p w:rsidR="008E3C58" w:rsidRPr="008E3C58" w:rsidRDefault="008E3C58" w:rsidP="008E3C58">
      <w:pPr>
        <w:numPr>
          <w:ilvl w:val="0"/>
          <w:numId w:val="19"/>
        </w:numPr>
        <w:jc w:val="both"/>
      </w:pPr>
      <w:r w:rsidRPr="008E3C58">
        <w:rPr>
          <w:b/>
          <w:bCs/>
        </w:rPr>
        <w:t>Loss Given Default (LGD)</w:t>
      </w:r>
      <w:r w:rsidRPr="008E3C58">
        <w:t>: LGD represents the portion of the exposure that is likely to be lost if a default occurs. It's influenced by factors such as the recovery rate, the type of loan, and the presence and value of collateral.</w:t>
      </w:r>
    </w:p>
    <w:p w:rsidR="008E3C58" w:rsidRPr="008E3C58" w:rsidRDefault="008E3C58" w:rsidP="008E3C58">
      <w:pPr>
        <w:numPr>
          <w:ilvl w:val="1"/>
          <w:numId w:val="19"/>
        </w:numPr>
        <w:jc w:val="both"/>
      </w:pPr>
      <w:r w:rsidRPr="008E3C58">
        <w:t>For instance, a secured loan like a mortgage may have a lower LGD because the lender can recover some of the loss by selling the property. On the other hand, unsecured loans like credit card debt would have a higher LGD.</w:t>
      </w:r>
    </w:p>
    <w:p w:rsidR="008E3C58" w:rsidRPr="008E3C58" w:rsidRDefault="008E3C58" w:rsidP="008E3C58">
      <w:pPr>
        <w:numPr>
          <w:ilvl w:val="1"/>
          <w:numId w:val="19"/>
        </w:numPr>
        <w:jc w:val="both"/>
      </w:pPr>
      <w:r w:rsidRPr="008E3C58">
        <w:t>Modelling LGD often involves regression models or decision trees, and it's usually more challenging than modelling PD due to the high variability and uncertainty in recovery rates.</w:t>
      </w:r>
    </w:p>
    <w:p w:rsidR="008E3C58" w:rsidRPr="008E3C58" w:rsidRDefault="008E3C58" w:rsidP="008E3C58">
      <w:pPr>
        <w:numPr>
          <w:ilvl w:val="0"/>
          <w:numId w:val="19"/>
        </w:numPr>
        <w:jc w:val="both"/>
      </w:pPr>
      <w:r w:rsidRPr="008E3C58">
        <w:rPr>
          <w:b/>
          <w:bCs/>
        </w:rPr>
        <w:t>Exposure at Default (EAD)</w:t>
      </w:r>
      <w:r w:rsidRPr="008E3C58">
        <w:t>: EAD is the total value that a lender is exposed to at the time of default. For a simple loan, the EAD would be the outstanding balance at the time of default. However, for more complex financial instruments, the EAD can be difficult to estimate and may require sophisticated models.</w:t>
      </w:r>
    </w:p>
    <w:p w:rsidR="008E3C58" w:rsidRPr="008E3C58" w:rsidRDefault="008E3C58" w:rsidP="008E3C58">
      <w:pPr>
        <w:numPr>
          <w:ilvl w:val="1"/>
          <w:numId w:val="19"/>
        </w:numPr>
        <w:jc w:val="both"/>
      </w:pPr>
      <w:r w:rsidRPr="008E3C58">
        <w:t>For example, for a revolving credit line like a credit card, the EAD would depend on the borrower's credit limit and their spending and repayment behavior. Modelling EAD for such products often involves predicting the borrower's future credit utilization based on their past behavior and other factors.</w:t>
      </w:r>
    </w:p>
    <w:p w:rsidR="008E3C58" w:rsidRPr="008E3C58" w:rsidRDefault="008E3C58" w:rsidP="008E3C58">
      <w:pPr>
        <w:jc w:val="both"/>
      </w:pPr>
      <w:r w:rsidRPr="008E3C58">
        <w:t>By modelling these three components (PD, LGD, and EAD), an institution can estimate the expected loss (EL) from a loan or a portfolio of loans. The Expected Loss is given by the formula:</w:t>
      </w:r>
    </w:p>
    <w:p w:rsidR="008E3C58" w:rsidRPr="008E3C58" w:rsidRDefault="008E3C58" w:rsidP="008E3C58">
      <w:pPr>
        <w:jc w:val="both"/>
      </w:pPr>
      <w:r w:rsidRPr="008E3C58">
        <w:t>EL = PD * LGD * EAD</w:t>
      </w:r>
    </w:p>
    <w:p w:rsidR="008E3C58" w:rsidRPr="008E3C58" w:rsidRDefault="008E3C58" w:rsidP="008E3C58">
      <w:pPr>
        <w:jc w:val="both"/>
      </w:pPr>
      <w:r w:rsidRPr="008E3C58">
        <w:t>This quantifies the amount the lender expects to lose from defaults over a given period. Understanding these components and how they interact is essential for effective credit risk management. Credit risk models based on these components can help lenders make more informed lending decisions, price their products appropriately, and maintain sufficient capital to absorb potential losses.</w:t>
      </w:r>
    </w:p>
    <w:p w:rsidR="008E3C58" w:rsidRPr="00A15196" w:rsidRDefault="00A15196" w:rsidP="003D3C88">
      <w:pPr>
        <w:jc w:val="both"/>
        <w:rPr>
          <w:b/>
        </w:rPr>
      </w:pPr>
      <w:r w:rsidRPr="00A15196">
        <w:rPr>
          <w:b/>
        </w:rPr>
        <w:t>Assignment</w:t>
      </w:r>
      <w:r>
        <w:rPr>
          <w:b/>
        </w:rPr>
        <w:t xml:space="preserve">: </w:t>
      </w:r>
      <w:r w:rsidRPr="00A15196">
        <w:t>Probability of default</w:t>
      </w:r>
      <w:r>
        <w:t xml:space="preserve"> - </w:t>
      </w:r>
    </w:p>
    <w:p w:rsidR="00A15196" w:rsidRDefault="00A15196" w:rsidP="003D3C88">
      <w:pPr>
        <w:jc w:val="both"/>
        <w:rPr>
          <w:b/>
        </w:rPr>
      </w:pPr>
      <w:r w:rsidRPr="00A15196">
        <w:rPr>
          <w:b/>
        </w:rPr>
        <w:lastRenderedPageBreak/>
        <w:t>Modelling Default Risk</w:t>
      </w:r>
    </w:p>
    <w:p w:rsidR="00A15196" w:rsidRPr="00A15196" w:rsidRDefault="00A15196" w:rsidP="00A15196">
      <w:pPr>
        <w:jc w:val="both"/>
      </w:pPr>
      <w:r w:rsidRPr="00A15196">
        <w:t>Modelling default risk is an integral part of credit risk management. It involves developing statistical models to predict the likelihood that a borrower will default on their loan obligations. The output of these models is typically the Probability of Default (PD), which is one of the key components of credit risk.</w:t>
      </w:r>
    </w:p>
    <w:p w:rsidR="00A15196" w:rsidRPr="00A15196" w:rsidRDefault="00A15196" w:rsidP="00A15196">
      <w:pPr>
        <w:jc w:val="both"/>
      </w:pPr>
      <w:r w:rsidRPr="00A15196">
        <w:t>There are several approaches to modelling default risk:</w:t>
      </w:r>
    </w:p>
    <w:p w:rsidR="00A15196" w:rsidRPr="00A15196" w:rsidRDefault="00A15196" w:rsidP="00A15196">
      <w:pPr>
        <w:numPr>
          <w:ilvl w:val="0"/>
          <w:numId w:val="20"/>
        </w:numPr>
        <w:jc w:val="both"/>
      </w:pPr>
      <w:r w:rsidRPr="00A15196">
        <w:rPr>
          <w:b/>
          <w:bCs/>
        </w:rPr>
        <w:t>Statistical Models</w:t>
      </w:r>
      <w:r w:rsidRPr="00A15196">
        <w:t>: These are the most common type of models for predicting default risk. They typically involve using historical data to identify patterns and relationships between various borrower characteristics and the likelihood of default. Logistic regression is a common statistical method used for this purpose, but other techniques like linear regression, decision trees, and survival analysis can also be used.</w:t>
      </w:r>
    </w:p>
    <w:p w:rsidR="00A15196" w:rsidRPr="00A15196" w:rsidRDefault="00A15196" w:rsidP="00A15196">
      <w:pPr>
        <w:jc w:val="both"/>
      </w:pPr>
      <w:r w:rsidRPr="00A15196">
        <w:t>The independent variables in these models can include borrower characteristics (like credit score, income, debt-to-income ratio), loan characteristics (like loan amount, interest rate, term), and macroeconomic variables (like unemployment rate, GDP growth). The dependent variable is usually a binary indicator of whether the borrower defaulted or not.</w:t>
      </w:r>
    </w:p>
    <w:p w:rsidR="00A15196" w:rsidRPr="00A15196" w:rsidRDefault="00A15196" w:rsidP="00A15196">
      <w:pPr>
        <w:numPr>
          <w:ilvl w:val="0"/>
          <w:numId w:val="20"/>
        </w:numPr>
        <w:jc w:val="both"/>
      </w:pPr>
      <w:r w:rsidRPr="00A15196">
        <w:rPr>
          <w:b/>
          <w:bCs/>
        </w:rPr>
        <w:t>Credit Scoring Models</w:t>
      </w:r>
      <w:r w:rsidRPr="00A15196">
        <w:t>: These models assign a score to each borrower based on their characteristics, with higher scores indicating lower default risk. The most well-known example is the FICO score, but many lenders develop their own internal credit scoring models.</w:t>
      </w:r>
    </w:p>
    <w:p w:rsidR="00A15196" w:rsidRPr="00A15196" w:rsidRDefault="00A15196" w:rsidP="00A15196">
      <w:pPr>
        <w:numPr>
          <w:ilvl w:val="0"/>
          <w:numId w:val="20"/>
        </w:numPr>
        <w:jc w:val="both"/>
      </w:pPr>
      <w:r w:rsidRPr="00A15196">
        <w:rPr>
          <w:b/>
          <w:bCs/>
        </w:rPr>
        <w:t>Structural Models</w:t>
      </w:r>
      <w:r w:rsidRPr="00A15196">
        <w:t>: These models, also known as Merton models, are based on the theory of option pricing. They treat equity as a call option on the firm’s assets, and default occurs when the value of the firm’s assets falls below the value of its debt. These models are more commonly used for corporate borrowers rather than individual consumers.</w:t>
      </w:r>
    </w:p>
    <w:p w:rsidR="00A15196" w:rsidRPr="00A15196" w:rsidRDefault="00A15196" w:rsidP="00A15196">
      <w:pPr>
        <w:numPr>
          <w:ilvl w:val="0"/>
          <w:numId w:val="20"/>
        </w:numPr>
        <w:jc w:val="both"/>
      </w:pPr>
      <w:r w:rsidRPr="00A15196">
        <w:rPr>
          <w:b/>
          <w:bCs/>
        </w:rPr>
        <w:t>Machine Learning Models</w:t>
      </w:r>
      <w:r w:rsidRPr="00A15196">
        <w:t>: With the rise of big data and machine learning, more sophisticated models have been developed to predict default risk. These models can handle large amounts of data and complex relationships, which can improve the accuracy of the predictions. Examples include random forests, support vector machines, and neural networks.</w:t>
      </w:r>
    </w:p>
    <w:p w:rsidR="00A15196" w:rsidRPr="00A15196" w:rsidRDefault="00A15196" w:rsidP="00A15196">
      <w:pPr>
        <w:numPr>
          <w:ilvl w:val="0"/>
          <w:numId w:val="20"/>
        </w:numPr>
        <w:jc w:val="both"/>
      </w:pPr>
      <w:r w:rsidRPr="00A15196">
        <w:rPr>
          <w:b/>
          <w:bCs/>
        </w:rPr>
        <w:t>Stress Testing Models</w:t>
      </w:r>
      <w:r w:rsidRPr="00A15196">
        <w:t>: These models assess the impact of extreme but plausible scenarios on the default risk. For example, how would the default rate change if the unemployment rate increased by 5%? These models are used by lenders and regulators to ensure the financial system's resilience to adverse economic conditions.</w:t>
      </w:r>
    </w:p>
    <w:p w:rsidR="00A15196" w:rsidRPr="00A15196" w:rsidRDefault="00A15196" w:rsidP="00A15196">
      <w:pPr>
        <w:jc w:val="both"/>
      </w:pPr>
      <w:r w:rsidRPr="00A15196">
        <w:t>It's important to note that all models have limitations and assumptions, and they should be used as one tool among many for managing credit risk. The models should be regularly validated and updated to ensure they remain accurate and reliable.</w:t>
      </w:r>
    </w:p>
    <w:p w:rsidR="00A15196" w:rsidRDefault="00A15196" w:rsidP="003D3C88">
      <w:pPr>
        <w:jc w:val="both"/>
      </w:pPr>
    </w:p>
    <w:p w:rsidR="00A15196" w:rsidRPr="00A15196" w:rsidRDefault="00A15196" w:rsidP="003D3C88">
      <w:pPr>
        <w:jc w:val="both"/>
        <w:rPr>
          <w:highlight w:val="yellow"/>
        </w:rPr>
      </w:pPr>
      <w:r w:rsidRPr="00A15196">
        <w:rPr>
          <w:highlight w:val="yellow"/>
        </w:rPr>
        <w:t>CAT online or takeaway 10% - not scheduled</w:t>
      </w:r>
    </w:p>
    <w:p w:rsidR="00A15196" w:rsidRPr="00A15196" w:rsidRDefault="00A15196" w:rsidP="003D3C88">
      <w:pPr>
        <w:jc w:val="both"/>
        <w:rPr>
          <w:highlight w:val="yellow"/>
        </w:rPr>
      </w:pPr>
      <w:r w:rsidRPr="00A15196">
        <w:rPr>
          <w:highlight w:val="yellow"/>
        </w:rPr>
        <w:t>CAT 2 - group task credit risk modelling 20 pages</w:t>
      </w:r>
      <w:r w:rsidR="00A9436A">
        <w:rPr>
          <w:highlight w:val="yellow"/>
        </w:rPr>
        <w:t xml:space="preserve"> – groups of </w:t>
      </w:r>
      <w:proofErr w:type="gramStart"/>
      <w:r w:rsidR="00A9436A">
        <w:rPr>
          <w:highlight w:val="yellow"/>
        </w:rPr>
        <w:t>5,  2</w:t>
      </w:r>
      <w:proofErr w:type="gramEnd"/>
      <w:r w:rsidR="00A9436A">
        <w:rPr>
          <w:highlight w:val="yellow"/>
        </w:rPr>
        <w:t xml:space="preserve"> ladies at least (20 Marks)</w:t>
      </w:r>
    </w:p>
    <w:p w:rsidR="00A15196" w:rsidRPr="00A15196" w:rsidRDefault="00A15196" w:rsidP="003D3C88">
      <w:pPr>
        <w:jc w:val="both"/>
        <w:rPr>
          <w:highlight w:val="yellow"/>
        </w:rPr>
      </w:pPr>
      <w:r w:rsidRPr="00A15196">
        <w:rPr>
          <w:highlight w:val="yellow"/>
        </w:rPr>
        <w:t>Cat 3 - operational risk modelling</w:t>
      </w:r>
      <w:r w:rsidR="00A9436A">
        <w:rPr>
          <w:highlight w:val="yellow"/>
        </w:rPr>
        <w:t xml:space="preserve"> (10 Marks) Similar methods</w:t>
      </w:r>
      <w:bookmarkStart w:id="0" w:name="_GoBack"/>
      <w:bookmarkEnd w:id="0"/>
    </w:p>
    <w:p w:rsidR="00A15196" w:rsidRDefault="00A15196" w:rsidP="003D3C88">
      <w:pPr>
        <w:jc w:val="both"/>
      </w:pPr>
      <w:r w:rsidRPr="00A15196">
        <w:rPr>
          <w:highlight w:val="yellow"/>
        </w:rPr>
        <w:t>Share one-page outline by Monday</w:t>
      </w:r>
    </w:p>
    <w:p w:rsidR="00A15196" w:rsidRDefault="00A15196" w:rsidP="003D3C88">
      <w:pPr>
        <w:jc w:val="both"/>
      </w:pPr>
      <w:r>
        <w:lastRenderedPageBreak/>
        <w:t>Wednesday – Group set up</w:t>
      </w:r>
    </w:p>
    <w:p w:rsidR="00A15196" w:rsidRPr="00A15196" w:rsidRDefault="00A15196" w:rsidP="003D3C88">
      <w:pPr>
        <w:jc w:val="both"/>
      </w:pPr>
      <w:r>
        <w:t>Next Wednesday – Online class.</w:t>
      </w:r>
    </w:p>
    <w:sectPr w:rsidR="00A15196" w:rsidRPr="00A151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274B"/>
    <w:multiLevelType w:val="multilevel"/>
    <w:tmpl w:val="4E66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10CF2"/>
    <w:multiLevelType w:val="multilevel"/>
    <w:tmpl w:val="A97C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923D2"/>
    <w:multiLevelType w:val="hybridMultilevel"/>
    <w:tmpl w:val="2A22B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808B8"/>
    <w:multiLevelType w:val="multilevel"/>
    <w:tmpl w:val="7170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5470E6"/>
    <w:multiLevelType w:val="multilevel"/>
    <w:tmpl w:val="DA7C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9D4763"/>
    <w:multiLevelType w:val="multilevel"/>
    <w:tmpl w:val="D854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C97834"/>
    <w:multiLevelType w:val="multilevel"/>
    <w:tmpl w:val="47DE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9A37F6"/>
    <w:multiLevelType w:val="multilevel"/>
    <w:tmpl w:val="1B04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7C674C"/>
    <w:multiLevelType w:val="multilevel"/>
    <w:tmpl w:val="2C28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B12126"/>
    <w:multiLevelType w:val="multilevel"/>
    <w:tmpl w:val="A9BC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030C20"/>
    <w:multiLevelType w:val="multilevel"/>
    <w:tmpl w:val="B5CA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54000C"/>
    <w:multiLevelType w:val="multilevel"/>
    <w:tmpl w:val="E582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D3413C"/>
    <w:multiLevelType w:val="multilevel"/>
    <w:tmpl w:val="CF9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9510B3"/>
    <w:multiLevelType w:val="multilevel"/>
    <w:tmpl w:val="BC08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DA1264"/>
    <w:multiLevelType w:val="multilevel"/>
    <w:tmpl w:val="588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B770F4"/>
    <w:multiLevelType w:val="multilevel"/>
    <w:tmpl w:val="472C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600E4A"/>
    <w:multiLevelType w:val="multilevel"/>
    <w:tmpl w:val="A5820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ED3C36"/>
    <w:multiLevelType w:val="multilevel"/>
    <w:tmpl w:val="63FE7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8858EE"/>
    <w:multiLevelType w:val="multilevel"/>
    <w:tmpl w:val="F7A0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1757B2"/>
    <w:multiLevelType w:val="multilevel"/>
    <w:tmpl w:val="FC9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4"/>
  </w:num>
  <w:num w:numId="3">
    <w:abstractNumId w:val="15"/>
  </w:num>
  <w:num w:numId="4">
    <w:abstractNumId w:val="4"/>
  </w:num>
  <w:num w:numId="5">
    <w:abstractNumId w:val="13"/>
  </w:num>
  <w:num w:numId="6">
    <w:abstractNumId w:val="2"/>
  </w:num>
  <w:num w:numId="7">
    <w:abstractNumId w:val="6"/>
  </w:num>
  <w:num w:numId="8">
    <w:abstractNumId w:val="11"/>
  </w:num>
  <w:num w:numId="9">
    <w:abstractNumId w:val="9"/>
  </w:num>
  <w:num w:numId="10">
    <w:abstractNumId w:val="1"/>
  </w:num>
  <w:num w:numId="11">
    <w:abstractNumId w:val="19"/>
  </w:num>
  <w:num w:numId="12">
    <w:abstractNumId w:val="7"/>
  </w:num>
  <w:num w:numId="13">
    <w:abstractNumId w:val="0"/>
  </w:num>
  <w:num w:numId="14">
    <w:abstractNumId w:val="10"/>
  </w:num>
  <w:num w:numId="15">
    <w:abstractNumId w:val="5"/>
  </w:num>
  <w:num w:numId="16">
    <w:abstractNumId w:val="12"/>
  </w:num>
  <w:num w:numId="17">
    <w:abstractNumId w:val="3"/>
  </w:num>
  <w:num w:numId="18">
    <w:abstractNumId w:val="8"/>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66"/>
    <w:rsid w:val="001C45B6"/>
    <w:rsid w:val="003D3C88"/>
    <w:rsid w:val="00684A99"/>
    <w:rsid w:val="006A3ADF"/>
    <w:rsid w:val="00874E66"/>
    <w:rsid w:val="008E3C58"/>
    <w:rsid w:val="0090011C"/>
    <w:rsid w:val="00A15196"/>
    <w:rsid w:val="00A9436A"/>
    <w:rsid w:val="00AB5B63"/>
    <w:rsid w:val="00E4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A718"/>
  <w15:chartTrackingRefBased/>
  <w15:docId w15:val="{0991C819-204B-4718-8AF7-FE6814FB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810">
      <w:bodyDiv w:val="1"/>
      <w:marLeft w:val="0"/>
      <w:marRight w:val="0"/>
      <w:marTop w:val="0"/>
      <w:marBottom w:val="0"/>
      <w:divBdr>
        <w:top w:val="none" w:sz="0" w:space="0" w:color="auto"/>
        <w:left w:val="none" w:sz="0" w:space="0" w:color="auto"/>
        <w:bottom w:val="none" w:sz="0" w:space="0" w:color="auto"/>
        <w:right w:val="none" w:sz="0" w:space="0" w:color="auto"/>
      </w:divBdr>
      <w:divsChild>
        <w:div w:id="1054700575">
          <w:marLeft w:val="0"/>
          <w:marRight w:val="0"/>
          <w:marTop w:val="0"/>
          <w:marBottom w:val="0"/>
          <w:divBdr>
            <w:top w:val="single" w:sz="2" w:space="0" w:color="auto"/>
            <w:left w:val="single" w:sz="2" w:space="0" w:color="auto"/>
            <w:bottom w:val="single" w:sz="6" w:space="0" w:color="auto"/>
            <w:right w:val="single" w:sz="2" w:space="0" w:color="auto"/>
          </w:divBdr>
          <w:divsChild>
            <w:div w:id="1972055248">
              <w:marLeft w:val="0"/>
              <w:marRight w:val="0"/>
              <w:marTop w:val="100"/>
              <w:marBottom w:val="100"/>
              <w:divBdr>
                <w:top w:val="single" w:sz="2" w:space="0" w:color="D9D9E3"/>
                <w:left w:val="single" w:sz="2" w:space="0" w:color="D9D9E3"/>
                <w:bottom w:val="single" w:sz="2" w:space="0" w:color="D9D9E3"/>
                <w:right w:val="single" w:sz="2" w:space="0" w:color="D9D9E3"/>
              </w:divBdr>
              <w:divsChild>
                <w:div w:id="942111332">
                  <w:marLeft w:val="0"/>
                  <w:marRight w:val="0"/>
                  <w:marTop w:val="0"/>
                  <w:marBottom w:val="0"/>
                  <w:divBdr>
                    <w:top w:val="single" w:sz="2" w:space="0" w:color="D9D9E3"/>
                    <w:left w:val="single" w:sz="2" w:space="0" w:color="D9D9E3"/>
                    <w:bottom w:val="single" w:sz="2" w:space="0" w:color="D9D9E3"/>
                    <w:right w:val="single" w:sz="2" w:space="0" w:color="D9D9E3"/>
                  </w:divBdr>
                  <w:divsChild>
                    <w:div w:id="2093816905">
                      <w:marLeft w:val="0"/>
                      <w:marRight w:val="0"/>
                      <w:marTop w:val="0"/>
                      <w:marBottom w:val="0"/>
                      <w:divBdr>
                        <w:top w:val="single" w:sz="2" w:space="0" w:color="D9D9E3"/>
                        <w:left w:val="single" w:sz="2" w:space="0" w:color="D9D9E3"/>
                        <w:bottom w:val="single" w:sz="2" w:space="0" w:color="D9D9E3"/>
                        <w:right w:val="single" w:sz="2" w:space="0" w:color="D9D9E3"/>
                      </w:divBdr>
                      <w:divsChild>
                        <w:div w:id="1164736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5500071">
          <w:marLeft w:val="0"/>
          <w:marRight w:val="0"/>
          <w:marTop w:val="0"/>
          <w:marBottom w:val="0"/>
          <w:divBdr>
            <w:top w:val="single" w:sz="2" w:space="0" w:color="auto"/>
            <w:left w:val="single" w:sz="2" w:space="0" w:color="auto"/>
            <w:bottom w:val="single" w:sz="6" w:space="0" w:color="auto"/>
            <w:right w:val="single" w:sz="2" w:space="0" w:color="auto"/>
          </w:divBdr>
          <w:divsChild>
            <w:div w:id="927694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486783">
                  <w:marLeft w:val="0"/>
                  <w:marRight w:val="0"/>
                  <w:marTop w:val="0"/>
                  <w:marBottom w:val="0"/>
                  <w:divBdr>
                    <w:top w:val="single" w:sz="2" w:space="0" w:color="D9D9E3"/>
                    <w:left w:val="single" w:sz="2" w:space="0" w:color="D9D9E3"/>
                    <w:bottom w:val="single" w:sz="2" w:space="0" w:color="D9D9E3"/>
                    <w:right w:val="single" w:sz="2" w:space="0" w:color="D9D9E3"/>
                  </w:divBdr>
                  <w:divsChild>
                    <w:div w:id="252201243">
                      <w:marLeft w:val="0"/>
                      <w:marRight w:val="0"/>
                      <w:marTop w:val="0"/>
                      <w:marBottom w:val="0"/>
                      <w:divBdr>
                        <w:top w:val="single" w:sz="2" w:space="0" w:color="D9D9E3"/>
                        <w:left w:val="single" w:sz="2" w:space="0" w:color="D9D9E3"/>
                        <w:bottom w:val="single" w:sz="2" w:space="0" w:color="D9D9E3"/>
                        <w:right w:val="single" w:sz="2" w:space="0" w:color="D9D9E3"/>
                      </w:divBdr>
                      <w:divsChild>
                        <w:div w:id="16465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951884">
                  <w:marLeft w:val="0"/>
                  <w:marRight w:val="0"/>
                  <w:marTop w:val="0"/>
                  <w:marBottom w:val="0"/>
                  <w:divBdr>
                    <w:top w:val="single" w:sz="2" w:space="0" w:color="D9D9E3"/>
                    <w:left w:val="single" w:sz="2" w:space="0" w:color="D9D9E3"/>
                    <w:bottom w:val="single" w:sz="2" w:space="0" w:color="D9D9E3"/>
                    <w:right w:val="single" w:sz="2" w:space="0" w:color="D9D9E3"/>
                  </w:divBdr>
                  <w:divsChild>
                    <w:div w:id="1147555591">
                      <w:marLeft w:val="0"/>
                      <w:marRight w:val="0"/>
                      <w:marTop w:val="0"/>
                      <w:marBottom w:val="0"/>
                      <w:divBdr>
                        <w:top w:val="single" w:sz="2" w:space="0" w:color="D9D9E3"/>
                        <w:left w:val="single" w:sz="2" w:space="0" w:color="D9D9E3"/>
                        <w:bottom w:val="single" w:sz="2" w:space="0" w:color="D9D9E3"/>
                        <w:right w:val="single" w:sz="2" w:space="0" w:color="D9D9E3"/>
                      </w:divBdr>
                      <w:divsChild>
                        <w:div w:id="765081419">
                          <w:marLeft w:val="0"/>
                          <w:marRight w:val="0"/>
                          <w:marTop w:val="0"/>
                          <w:marBottom w:val="0"/>
                          <w:divBdr>
                            <w:top w:val="single" w:sz="2" w:space="0" w:color="D9D9E3"/>
                            <w:left w:val="single" w:sz="2" w:space="0" w:color="D9D9E3"/>
                            <w:bottom w:val="single" w:sz="2" w:space="0" w:color="D9D9E3"/>
                            <w:right w:val="single" w:sz="2" w:space="0" w:color="D9D9E3"/>
                          </w:divBdr>
                          <w:divsChild>
                            <w:div w:id="1491292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72908">
      <w:bodyDiv w:val="1"/>
      <w:marLeft w:val="0"/>
      <w:marRight w:val="0"/>
      <w:marTop w:val="0"/>
      <w:marBottom w:val="0"/>
      <w:divBdr>
        <w:top w:val="none" w:sz="0" w:space="0" w:color="auto"/>
        <w:left w:val="none" w:sz="0" w:space="0" w:color="auto"/>
        <w:bottom w:val="none" w:sz="0" w:space="0" w:color="auto"/>
        <w:right w:val="none" w:sz="0" w:space="0" w:color="auto"/>
      </w:divBdr>
    </w:div>
    <w:div w:id="14499383">
      <w:bodyDiv w:val="1"/>
      <w:marLeft w:val="0"/>
      <w:marRight w:val="0"/>
      <w:marTop w:val="0"/>
      <w:marBottom w:val="0"/>
      <w:divBdr>
        <w:top w:val="none" w:sz="0" w:space="0" w:color="auto"/>
        <w:left w:val="none" w:sz="0" w:space="0" w:color="auto"/>
        <w:bottom w:val="none" w:sz="0" w:space="0" w:color="auto"/>
        <w:right w:val="none" w:sz="0" w:space="0" w:color="auto"/>
      </w:divBdr>
      <w:divsChild>
        <w:div w:id="45567754">
          <w:marLeft w:val="0"/>
          <w:marRight w:val="0"/>
          <w:marTop w:val="0"/>
          <w:marBottom w:val="0"/>
          <w:divBdr>
            <w:top w:val="single" w:sz="2" w:space="0" w:color="auto"/>
            <w:left w:val="single" w:sz="2" w:space="0" w:color="auto"/>
            <w:bottom w:val="single" w:sz="6" w:space="0" w:color="auto"/>
            <w:right w:val="single" w:sz="2" w:space="0" w:color="auto"/>
          </w:divBdr>
          <w:divsChild>
            <w:div w:id="189296821">
              <w:marLeft w:val="0"/>
              <w:marRight w:val="0"/>
              <w:marTop w:val="100"/>
              <w:marBottom w:val="100"/>
              <w:divBdr>
                <w:top w:val="single" w:sz="2" w:space="0" w:color="D9D9E3"/>
                <w:left w:val="single" w:sz="2" w:space="0" w:color="D9D9E3"/>
                <w:bottom w:val="single" w:sz="2" w:space="0" w:color="D9D9E3"/>
                <w:right w:val="single" w:sz="2" w:space="0" w:color="D9D9E3"/>
              </w:divBdr>
              <w:divsChild>
                <w:div w:id="65423482">
                  <w:marLeft w:val="0"/>
                  <w:marRight w:val="0"/>
                  <w:marTop w:val="0"/>
                  <w:marBottom w:val="0"/>
                  <w:divBdr>
                    <w:top w:val="single" w:sz="2" w:space="0" w:color="D9D9E3"/>
                    <w:left w:val="single" w:sz="2" w:space="0" w:color="D9D9E3"/>
                    <w:bottom w:val="single" w:sz="2" w:space="0" w:color="D9D9E3"/>
                    <w:right w:val="single" w:sz="2" w:space="0" w:color="D9D9E3"/>
                  </w:divBdr>
                  <w:divsChild>
                    <w:div w:id="153959488">
                      <w:marLeft w:val="0"/>
                      <w:marRight w:val="0"/>
                      <w:marTop w:val="0"/>
                      <w:marBottom w:val="0"/>
                      <w:divBdr>
                        <w:top w:val="single" w:sz="2" w:space="0" w:color="D9D9E3"/>
                        <w:left w:val="single" w:sz="2" w:space="0" w:color="D9D9E3"/>
                        <w:bottom w:val="single" w:sz="2" w:space="0" w:color="D9D9E3"/>
                        <w:right w:val="single" w:sz="2" w:space="0" w:color="D9D9E3"/>
                      </w:divBdr>
                      <w:divsChild>
                        <w:div w:id="97618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1833960">
          <w:marLeft w:val="0"/>
          <w:marRight w:val="0"/>
          <w:marTop w:val="0"/>
          <w:marBottom w:val="0"/>
          <w:divBdr>
            <w:top w:val="single" w:sz="2" w:space="0" w:color="auto"/>
            <w:left w:val="single" w:sz="2" w:space="0" w:color="auto"/>
            <w:bottom w:val="single" w:sz="6" w:space="0" w:color="auto"/>
            <w:right w:val="single" w:sz="2" w:space="0" w:color="auto"/>
          </w:divBdr>
          <w:divsChild>
            <w:div w:id="652804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439533">
                  <w:marLeft w:val="0"/>
                  <w:marRight w:val="0"/>
                  <w:marTop w:val="0"/>
                  <w:marBottom w:val="0"/>
                  <w:divBdr>
                    <w:top w:val="single" w:sz="2" w:space="0" w:color="D9D9E3"/>
                    <w:left w:val="single" w:sz="2" w:space="0" w:color="D9D9E3"/>
                    <w:bottom w:val="single" w:sz="2" w:space="0" w:color="D9D9E3"/>
                    <w:right w:val="single" w:sz="2" w:space="0" w:color="D9D9E3"/>
                  </w:divBdr>
                  <w:divsChild>
                    <w:div w:id="549533379">
                      <w:marLeft w:val="0"/>
                      <w:marRight w:val="0"/>
                      <w:marTop w:val="0"/>
                      <w:marBottom w:val="0"/>
                      <w:divBdr>
                        <w:top w:val="single" w:sz="2" w:space="0" w:color="D9D9E3"/>
                        <w:left w:val="single" w:sz="2" w:space="0" w:color="D9D9E3"/>
                        <w:bottom w:val="single" w:sz="2" w:space="0" w:color="D9D9E3"/>
                        <w:right w:val="single" w:sz="2" w:space="0" w:color="D9D9E3"/>
                      </w:divBdr>
                      <w:divsChild>
                        <w:div w:id="118320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603089">
                  <w:marLeft w:val="0"/>
                  <w:marRight w:val="0"/>
                  <w:marTop w:val="0"/>
                  <w:marBottom w:val="0"/>
                  <w:divBdr>
                    <w:top w:val="single" w:sz="2" w:space="0" w:color="D9D9E3"/>
                    <w:left w:val="single" w:sz="2" w:space="0" w:color="D9D9E3"/>
                    <w:bottom w:val="single" w:sz="2" w:space="0" w:color="D9D9E3"/>
                    <w:right w:val="single" w:sz="2" w:space="0" w:color="D9D9E3"/>
                  </w:divBdr>
                  <w:divsChild>
                    <w:div w:id="1543714532">
                      <w:marLeft w:val="0"/>
                      <w:marRight w:val="0"/>
                      <w:marTop w:val="0"/>
                      <w:marBottom w:val="0"/>
                      <w:divBdr>
                        <w:top w:val="single" w:sz="2" w:space="0" w:color="D9D9E3"/>
                        <w:left w:val="single" w:sz="2" w:space="0" w:color="D9D9E3"/>
                        <w:bottom w:val="single" w:sz="2" w:space="0" w:color="D9D9E3"/>
                        <w:right w:val="single" w:sz="2" w:space="0" w:color="D9D9E3"/>
                      </w:divBdr>
                      <w:divsChild>
                        <w:div w:id="1123303531">
                          <w:marLeft w:val="0"/>
                          <w:marRight w:val="0"/>
                          <w:marTop w:val="0"/>
                          <w:marBottom w:val="0"/>
                          <w:divBdr>
                            <w:top w:val="single" w:sz="2" w:space="0" w:color="D9D9E3"/>
                            <w:left w:val="single" w:sz="2" w:space="0" w:color="D9D9E3"/>
                            <w:bottom w:val="single" w:sz="2" w:space="0" w:color="D9D9E3"/>
                            <w:right w:val="single" w:sz="2" w:space="0" w:color="D9D9E3"/>
                          </w:divBdr>
                          <w:divsChild>
                            <w:div w:id="165952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4940170">
      <w:bodyDiv w:val="1"/>
      <w:marLeft w:val="0"/>
      <w:marRight w:val="0"/>
      <w:marTop w:val="0"/>
      <w:marBottom w:val="0"/>
      <w:divBdr>
        <w:top w:val="none" w:sz="0" w:space="0" w:color="auto"/>
        <w:left w:val="none" w:sz="0" w:space="0" w:color="auto"/>
        <w:bottom w:val="none" w:sz="0" w:space="0" w:color="auto"/>
        <w:right w:val="none" w:sz="0" w:space="0" w:color="auto"/>
      </w:divBdr>
    </w:div>
    <w:div w:id="594050014">
      <w:bodyDiv w:val="1"/>
      <w:marLeft w:val="0"/>
      <w:marRight w:val="0"/>
      <w:marTop w:val="0"/>
      <w:marBottom w:val="0"/>
      <w:divBdr>
        <w:top w:val="none" w:sz="0" w:space="0" w:color="auto"/>
        <w:left w:val="none" w:sz="0" w:space="0" w:color="auto"/>
        <w:bottom w:val="none" w:sz="0" w:space="0" w:color="auto"/>
        <w:right w:val="none" w:sz="0" w:space="0" w:color="auto"/>
      </w:divBdr>
    </w:div>
    <w:div w:id="1079713461">
      <w:bodyDiv w:val="1"/>
      <w:marLeft w:val="0"/>
      <w:marRight w:val="0"/>
      <w:marTop w:val="0"/>
      <w:marBottom w:val="0"/>
      <w:divBdr>
        <w:top w:val="none" w:sz="0" w:space="0" w:color="auto"/>
        <w:left w:val="none" w:sz="0" w:space="0" w:color="auto"/>
        <w:bottom w:val="none" w:sz="0" w:space="0" w:color="auto"/>
        <w:right w:val="none" w:sz="0" w:space="0" w:color="auto"/>
      </w:divBdr>
    </w:div>
    <w:div w:id="1145513774">
      <w:bodyDiv w:val="1"/>
      <w:marLeft w:val="0"/>
      <w:marRight w:val="0"/>
      <w:marTop w:val="0"/>
      <w:marBottom w:val="0"/>
      <w:divBdr>
        <w:top w:val="none" w:sz="0" w:space="0" w:color="auto"/>
        <w:left w:val="none" w:sz="0" w:space="0" w:color="auto"/>
        <w:bottom w:val="none" w:sz="0" w:space="0" w:color="auto"/>
        <w:right w:val="none" w:sz="0" w:space="0" w:color="auto"/>
      </w:divBdr>
    </w:div>
    <w:div w:id="118667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8</Pages>
  <Words>3181</Words>
  <Characters>18138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3</cp:revision>
  <dcterms:created xsi:type="dcterms:W3CDTF">2023-05-10T15:34:00Z</dcterms:created>
  <dcterms:modified xsi:type="dcterms:W3CDTF">2023-05-11T12:28:00Z</dcterms:modified>
</cp:coreProperties>
</file>