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rFonts w:ascii="Microsoft YaHei" w:hAnsi="Microsoft YaHei" w:eastAsia="Microsoft YaHei"/>
          <w:b/>
          <w:sz w:val="48"/>
        </w:rPr>
        <w:t>渣土运输与消纳监管平台技术方案</w:t>
      </w:r>
    </w:p>
    <w:p>
      <w:pPr>
        <w:spacing w:before="360"/>
        <w:jc w:val="center"/>
      </w:pPr>
      <w:r>
        <w:rPr>
          <w:rFonts w:ascii="Microsoft YaHei" w:hAnsi="Microsoft YaHei" w:eastAsia="Microsoft YaHei"/>
          <w:sz w:val="28"/>
        </w:rPr>
        <w:t>甲方版技术方案</w:t>
      </w:r>
    </w:p>
    <w:p>
      <w:pPr>
        <w:spacing w:before="5200"/>
        <w:jc w:val="center"/>
      </w:pPr>
      <w:r>
        <w:rPr>
          <w:rFonts w:ascii="Microsoft YaHei" w:hAnsi="Microsoft YaHei" w:eastAsia="Microsoft YaHei"/>
          <w:sz w:val="24"/>
        </w:rPr>
        <w:t>导出日期：2026-04-08</w:t>
      </w:r>
    </w:p>
    <w:p>
      <w:r>
        <w:br w:type="page"/>
      </w:r>
    </w:p>
    <w:p>
      <w:pPr>
        <w:jc w:val="left"/>
      </w:pPr>
      <w:r>
        <w:rPr>
          <w:rFonts w:ascii="Microsoft YaHei" w:hAnsi="Microsoft YaHei" w:eastAsia="Microsoft YaHei"/>
          <w:b/>
          <w:sz w:val="32"/>
        </w:rPr>
        <w:t>目录</w:t>
      </w:r>
    </w:p>
    <w:p>
      <w:fldSimple w:instr="TOC \o &quot;1-3&quot; \h \z \u"/>
    </w:p>
    <w:p>
      <w:pPr>
        <w:spacing w:after="160"/>
      </w:pPr>
      <w:r>
        <w:t>说明：如目录未自动刷新，可在 Word 中全选后更新域。</w:t>
      </w:r>
    </w:p>
    <w:p>
      <w:pPr>
        <w:pStyle w:val="Heading1"/>
      </w:pPr>
      <w:r>
        <w:t>技术方案总目录</w:t>
      </w:r>
    </w:p>
    <w:p>
      <w:pPr>
        <w:pStyle w:val="Heading2"/>
      </w:pPr>
      <w:r>
        <w:t>1. 编制说明</w:t>
      </w:r>
    </w:p>
    <w:p>
      <w:pPr>
        <w:spacing w:after="120"/>
      </w:pPr>
      <w:r>
        <w:t>本目录用于汇总甲方版技术方案文件，全部按招标文件一级模块逐项展开，强调能力设计、业务接口、流程、异常处理与扩展方案。</w:t>
      </w:r>
    </w:p>
    <w:p>
      <w:pPr>
        <w:pStyle w:val="Heading2"/>
      </w:pPr>
      <w:r>
        <w:t>2. 文件清单</w:t>
      </w:r>
    </w:p>
    <w:tbl>
      <w:tblPr>
        <w:tblStyle w:val="TableGrid"/>
        <w:tblW w:type="auto" w:w="0"/>
        <w:tblLayout w:type="autofit"/>
        <w:tblLook w:firstColumn="1" w:firstRow="1" w:lastColumn="0" w:lastRow="0" w:noHBand="0" w:noVBand="1" w:val="04A0"/>
      </w:tblPr>
      <w:tblGrid>
        <w:gridCol w:w="2266"/>
        <w:gridCol w:w="2266"/>
        <w:gridCol w:w="2266"/>
        <w:gridCol w:w="2266"/>
      </w:tblGrid>
      <w:tr>
        <w:tc>
          <w:tcPr>
            <w:tcW w:type="dxa" w:w="2266"/>
          </w:tcPr>
          <w:p>
            <w:pPr>
              <w:spacing w:after="40"/>
            </w:pPr>
            <w:r/>
            <w:r>
              <w:rPr>
                <w:rFonts w:ascii="Microsoft YaHei" w:hAnsi="Microsoft YaHei" w:eastAsia="Microsoft YaHei"/>
                <w:sz w:val="21"/>
              </w:rPr>
              <w:t>序号</w:t>
            </w:r>
          </w:p>
        </w:tc>
        <w:tc>
          <w:tcPr>
            <w:tcW w:type="dxa" w:w="2266"/>
          </w:tcPr>
          <w:p>
            <w:pPr>
              <w:spacing w:after="40"/>
            </w:pPr>
            <w:r/>
            <w:r>
              <w:rPr>
                <w:rFonts w:ascii="Microsoft YaHei" w:hAnsi="Microsoft YaHei" w:eastAsia="Microsoft YaHei"/>
                <w:sz w:val="21"/>
              </w:rPr>
              <w:t>模块</w:t>
            </w:r>
          </w:p>
        </w:tc>
        <w:tc>
          <w:tcPr>
            <w:tcW w:type="dxa" w:w="2266"/>
          </w:tcPr>
          <w:p>
            <w:pPr>
              <w:spacing w:after="40"/>
            </w:pPr>
            <w:r/>
            <w:r>
              <w:rPr>
                <w:rFonts w:ascii="Microsoft YaHei" w:hAnsi="Microsoft YaHei" w:eastAsia="Microsoft YaHei"/>
                <w:sz w:val="21"/>
              </w:rPr>
              <w:t>文件</w:t>
            </w:r>
          </w:p>
        </w:tc>
        <w:tc>
          <w:tcPr>
            <w:tcW w:type="dxa" w:w="2266"/>
          </w:tcPr>
          <w:p>
            <w:pPr>
              <w:spacing w:after="40"/>
            </w:pPr>
            <w:r/>
            <w:r>
              <w:rPr>
                <w:rFonts w:ascii="Microsoft YaHei" w:hAnsi="Microsoft YaHei" w:eastAsia="Microsoft YaHei"/>
                <w:sz w:val="21"/>
              </w:rPr>
              <w:t>功能点数量</w:t>
            </w:r>
          </w:p>
        </w:tc>
      </w:tr>
      <w:tr>
        <w:tc>
          <w:tcPr>
            <w:tcW w:type="dxa" w:w="2266"/>
          </w:tcPr>
          <w:p>
            <w:pPr>
              <w:spacing w:after="40"/>
            </w:pPr>
            <w:r/>
            <w:r>
              <w:rPr>
                <w:rFonts w:ascii="Microsoft YaHei" w:hAnsi="Microsoft YaHei" w:eastAsia="Microsoft YaHei"/>
                <w:sz w:val="21"/>
              </w:rPr>
              <w:t>1</w:t>
            </w:r>
          </w:p>
        </w:tc>
        <w:tc>
          <w:tcPr>
            <w:tcW w:type="dxa" w:w="2266"/>
          </w:tcPr>
          <w:p>
            <w:pPr>
              <w:spacing w:after="40"/>
            </w:pPr>
            <w:r/>
            <w:r>
              <w:rPr>
                <w:rFonts w:ascii="Microsoft YaHei" w:hAnsi="Microsoft YaHei" w:eastAsia="Microsoft YaHei"/>
                <w:sz w:val="21"/>
              </w:rPr>
              <w:t>合同结算</w:t>
            </w:r>
          </w:p>
        </w:tc>
        <w:tc>
          <w:tcPr>
            <w:tcW w:type="dxa" w:w="2266"/>
          </w:tcPr>
          <w:p>
            <w:pPr>
              <w:spacing w:after="40"/>
            </w:pPr>
            <w:r/>
            <w:r>
              <w:rPr>
                <w:rFonts w:ascii="Microsoft YaHei" w:hAnsi="Microsoft YaHei" w:eastAsia="Microsoft YaHei"/>
                <w:sz w:val="21"/>
              </w:rPr>
              <w:t>01_合同结算技术方案.md</w:t>
            </w:r>
          </w:p>
        </w:tc>
        <w:tc>
          <w:tcPr>
            <w:tcW w:type="dxa" w:w="2266"/>
          </w:tcPr>
          <w:p>
            <w:pPr>
              <w:spacing w:after="40"/>
            </w:pPr>
            <w:r/>
            <w:r>
              <w:rPr>
                <w:rFonts w:ascii="Microsoft YaHei" w:hAnsi="Microsoft YaHei" w:eastAsia="Microsoft YaHei"/>
                <w:sz w:val="21"/>
              </w:rPr>
              <w:t>15</w:t>
            </w:r>
          </w:p>
        </w:tc>
      </w:tr>
      <w:tr>
        <w:tc>
          <w:tcPr>
            <w:tcW w:type="dxa" w:w="2266"/>
          </w:tcPr>
          <w:p>
            <w:pPr>
              <w:spacing w:after="40"/>
            </w:pPr>
            <w:r/>
            <w:r>
              <w:rPr>
                <w:rFonts w:ascii="Microsoft YaHei" w:hAnsi="Microsoft YaHei" w:eastAsia="Microsoft YaHei"/>
                <w:sz w:val="21"/>
              </w:rPr>
              <w:t>2</w:t>
            </w:r>
          </w:p>
        </w:tc>
        <w:tc>
          <w:tcPr>
            <w:tcW w:type="dxa" w:w="2266"/>
          </w:tcPr>
          <w:p>
            <w:pPr>
              <w:spacing w:after="40"/>
            </w:pPr>
            <w:r/>
            <w:r>
              <w:rPr>
                <w:rFonts w:ascii="Microsoft YaHei" w:hAnsi="Microsoft YaHei" w:eastAsia="Microsoft YaHei"/>
                <w:sz w:val="21"/>
              </w:rPr>
              <w:t>单位管理</w:t>
            </w:r>
          </w:p>
        </w:tc>
        <w:tc>
          <w:tcPr>
            <w:tcW w:type="dxa" w:w="2266"/>
          </w:tcPr>
          <w:p>
            <w:pPr>
              <w:spacing w:after="40"/>
            </w:pPr>
            <w:r/>
            <w:r>
              <w:rPr>
                <w:rFonts w:ascii="Microsoft YaHei" w:hAnsi="Microsoft YaHei" w:eastAsia="Microsoft YaHei"/>
                <w:sz w:val="21"/>
              </w:rPr>
              <w:t>02_单位管理技术方案.md</w:t>
            </w:r>
          </w:p>
        </w:tc>
        <w:tc>
          <w:tcPr>
            <w:tcW w:type="dxa" w:w="2266"/>
          </w:tcPr>
          <w:p>
            <w:pPr>
              <w:spacing w:after="40"/>
            </w:pPr>
            <w:r/>
            <w:r>
              <w:rPr>
                <w:rFonts w:ascii="Microsoft YaHei" w:hAnsi="Microsoft YaHei" w:eastAsia="Microsoft YaHei"/>
                <w:sz w:val="21"/>
              </w:rPr>
              <w:t>4</w:t>
            </w:r>
          </w:p>
        </w:tc>
      </w:tr>
      <w:tr>
        <w:tc>
          <w:tcPr>
            <w:tcW w:type="dxa" w:w="2266"/>
          </w:tcPr>
          <w:p>
            <w:pPr>
              <w:spacing w:after="40"/>
            </w:pPr>
            <w:r/>
            <w:r>
              <w:rPr>
                <w:rFonts w:ascii="Microsoft YaHei" w:hAnsi="Microsoft YaHei" w:eastAsia="Microsoft YaHei"/>
                <w:sz w:val="21"/>
              </w:rPr>
              <w:t>3</w:t>
            </w:r>
          </w:p>
        </w:tc>
        <w:tc>
          <w:tcPr>
            <w:tcW w:type="dxa" w:w="2266"/>
          </w:tcPr>
          <w:p>
            <w:pPr>
              <w:spacing w:after="40"/>
            </w:pPr>
            <w:r/>
            <w:r>
              <w:rPr>
                <w:rFonts w:ascii="Microsoft YaHei" w:hAnsi="Microsoft YaHei" w:eastAsia="Microsoft YaHei"/>
                <w:sz w:val="21"/>
              </w:rPr>
              <w:t>项目管理</w:t>
            </w:r>
          </w:p>
        </w:tc>
        <w:tc>
          <w:tcPr>
            <w:tcW w:type="dxa" w:w="2266"/>
          </w:tcPr>
          <w:p>
            <w:pPr>
              <w:spacing w:after="40"/>
            </w:pPr>
            <w:r/>
            <w:r>
              <w:rPr>
                <w:rFonts w:ascii="Microsoft YaHei" w:hAnsi="Microsoft YaHei" w:eastAsia="Microsoft YaHei"/>
                <w:sz w:val="21"/>
              </w:rPr>
              <w:t>03_项目管理技术方案.md</w:t>
            </w:r>
          </w:p>
        </w:tc>
        <w:tc>
          <w:tcPr>
            <w:tcW w:type="dxa" w:w="2266"/>
          </w:tcPr>
          <w:p>
            <w:pPr>
              <w:spacing w:after="40"/>
            </w:pPr>
            <w:r/>
            <w:r>
              <w:rPr>
                <w:rFonts w:ascii="Microsoft YaHei" w:hAnsi="Microsoft YaHei" w:eastAsia="Microsoft YaHei"/>
                <w:sz w:val="21"/>
              </w:rPr>
              <w:t>13</w:t>
            </w:r>
          </w:p>
        </w:tc>
      </w:tr>
      <w:tr>
        <w:tc>
          <w:tcPr>
            <w:tcW w:type="dxa" w:w="2266"/>
          </w:tcPr>
          <w:p>
            <w:pPr>
              <w:spacing w:after="40"/>
            </w:pPr>
            <w:r/>
            <w:r>
              <w:rPr>
                <w:rFonts w:ascii="Microsoft YaHei" w:hAnsi="Microsoft YaHei" w:eastAsia="Microsoft YaHei"/>
                <w:sz w:val="21"/>
              </w:rPr>
              <w:t>4</w:t>
            </w:r>
          </w:p>
        </w:tc>
        <w:tc>
          <w:tcPr>
            <w:tcW w:type="dxa" w:w="2266"/>
          </w:tcPr>
          <w:p>
            <w:pPr>
              <w:spacing w:after="40"/>
            </w:pPr>
            <w:r/>
            <w:r>
              <w:rPr>
                <w:rFonts w:ascii="Microsoft YaHei" w:hAnsi="Microsoft YaHei" w:eastAsia="Microsoft YaHei"/>
                <w:sz w:val="21"/>
              </w:rPr>
              <w:t>处置证</w:t>
            </w:r>
          </w:p>
        </w:tc>
        <w:tc>
          <w:tcPr>
            <w:tcW w:type="dxa" w:w="2266"/>
          </w:tcPr>
          <w:p>
            <w:pPr>
              <w:spacing w:after="40"/>
            </w:pPr>
            <w:r/>
            <w:r>
              <w:rPr>
                <w:rFonts w:ascii="Microsoft YaHei" w:hAnsi="Microsoft YaHei" w:eastAsia="Microsoft YaHei"/>
                <w:sz w:val="21"/>
              </w:rPr>
              <w:t>04_处置证技术方案.md</w:t>
            </w:r>
          </w:p>
        </w:tc>
        <w:tc>
          <w:tcPr>
            <w:tcW w:type="dxa" w:w="2266"/>
          </w:tcPr>
          <w:p>
            <w:pPr>
              <w:spacing w:after="40"/>
            </w:pPr>
            <w:r/>
            <w:r>
              <w:rPr>
                <w:rFonts w:ascii="Microsoft YaHei" w:hAnsi="Microsoft YaHei" w:eastAsia="Microsoft YaHei"/>
                <w:sz w:val="21"/>
              </w:rPr>
              <w:t>3</w:t>
            </w:r>
          </w:p>
        </w:tc>
      </w:tr>
      <w:tr>
        <w:tc>
          <w:tcPr>
            <w:tcW w:type="dxa" w:w="2266"/>
          </w:tcPr>
          <w:p>
            <w:pPr>
              <w:spacing w:after="40"/>
            </w:pPr>
            <w:r/>
            <w:r>
              <w:rPr>
                <w:rFonts w:ascii="Microsoft YaHei" w:hAnsi="Microsoft YaHei" w:eastAsia="Microsoft YaHei"/>
                <w:sz w:val="21"/>
              </w:rPr>
              <w:t>5</w:t>
            </w:r>
          </w:p>
        </w:tc>
        <w:tc>
          <w:tcPr>
            <w:tcW w:type="dxa" w:w="2266"/>
          </w:tcPr>
          <w:p>
            <w:pPr>
              <w:spacing w:after="40"/>
            </w:pPr>
            <w:r/>
            <w:r>
              <w:rPr>
                <w:rFonts w:ascii="Microsoft YaHei" w:hAnsi="Microsoft YaHei" w:eastAsia="Microsoft YaHei"/>
                <w:sz w:val="21"/>
              </w:rPr>
              <w:t>消纳场地</w:t>
            </w:r>
          </w:p>
        </w:tc>
        <w:tc>
          <w:tcPr>
            <w:tcW w:type="dxa" w:w="2266"/>
          </w:tcPr>
          <w:p>
            <w:pPr>
              <w:spacing w:after="40"/>
            </w:pPr>
            <w:r/>
            <w:r>
              <w:rPr>
                <w:rFonts w:ascii="Microsoft YaHei" w:hAnsi="Microsoft YaHei" w:eastAsia="Microsoft YaHei"/>
                <w:sz w:val="21"/>
              </w:rPr>
              <w:t>05_消纳场地技术方案.md</w:t>
            </w:r>
          </w:p>
        </w:tc>
        <w:tc>
          <w:tcPr>
            <w:tcW w:type="dxa" w:w="2266"/>
          </w:tcPr>
          <w:p>
            <w:pPr>
              <w:spacing w:after="40"/>
            </w:pPr>
            <w:r/>
            <w:r>
              <w:rPr>
                <w:rFonts w:ascii="Microsoft YaHei" w:hAnsi="Microsoft YaHei" w:eastAsia="Microsoft YaHei"/>
                <w:sz w:val="21"/>
              </w:rPr>
              <w:t>13</w:t>
            </w:r>
          </w:p>
        </w:tc>
      </w:tr>
      <w:tr>
        <w:tc>
          <w:tcPr>
            <w:tcW w:type="dxa" w:w="2266"/>
          </w:tcPr>
          <w:p>
            <w:pPr>
              <w:spacing w:after="40"/>
            </w:pPr>
            <w:r/>
            <w:r>
              <w:rPr>
                <w:rFonts w:ascii="Microsoft YaHei" w:hAnsi="Microsoft YaHei" w:eastAsia="Microsoft YaHei"/>
                <w:sz w:val="21"/>
              </w:rPr>
              <w:t>6</w:t>
            </w:r>
          </w:p>
        </w:tc>
        <w:tc>
          <w:tcPr>
            <w:tcW w:type="dxa" w:w="2266"/>
          </w:tcPr>
          <w:p>
            <w:pPr>
              <w:spacing w:after="40"/>
            </w:pPr>
            <w:r/>
            <w:r>
              <w:rPr>
                <w:rFonts w:ascii="Microsoft YaHei" w:hAnsi="Microsoft YaHei" w:eastAsia="Microsoft YaHei"/>
                <w:sz w:val="21"/>
              </w:rPr>
              <w:t>违规车辆清单</w:t>
            </w:r>
          </w:p>
        </w:tc>
        <w:tc>
          <w:tcPr>
            <w:tcW w:type="dxa" w:w="2266"/>
          </w:tcPr>
          <w:p>
            <w:pPr>
              <w:spacing w:after="40"/>
            </w:pPr>
            <w:r/>
            <w:r>
              <w:rPr>
                <w:rFonts w:ascii="Microsoft YaHei" w:hAnsi="Microsoft YaHei" w:eastAsia="Microsoft YaHei"/>
                <w:sz w:val="21"/>
              </w:rPr>
              <w:t>06_违规车辆清单技术方案.md</w:t>
            </w:r>
          </w:p>
        </w:tc>
        <w:tc>
          <w:tcPr>
            <w:tcW w:type="dxa" w:w="2266"/>
          </w:tcPr>
          <w:p>
            <w:pPr>
              <w:spacing w:after="40"/>
            </w:pPr>
            <w:r/>
            <w:r>
              <w:rPr>
                <w:rFonts w:ascii="Microsoft YaHei" w:hAnsi="Microsoft YaHei" w:eastAsia="Microsoft YaHei"/>
                <w:sz w:val="21"/>
              </w:rPr>
              <w:t>2</w:t>
            </w:r>
          </w:p>
        </w:tc>
      </w:tr>
      <w:tr>
        <w:tc>
          <w:tcPr>
            <w:tcW w:type="dxa" w:w="2266"/>
          </w:tcPr>
          <w:p>
            <w:pPr>
              <w:spacing w:after="40"/>
            </w:pPr>
            <w:r/>
            <w:r>
              <w:rPr>
                <w:rFonts w:ascii="Microsoft YaHei" w:hAnsi="Microsoft YaHei" w:eastAsia="Microsoft YaHei"/>
                <w:sz w:val="21"/>
              </w:rPr>
              <w:t>7</w:t>
            </w:r>
          </w:p>
        </w:tc>
        <w:tc>
          <w:tcPr>
            <w:tcW w:type="dxa" w:w="2266"/>
          </w:tcPr>
          <w:p>
            <w:pPr>
              <w:spacing w:after="40"/>
            </w:pPr>
            <w:r/>
            <w:r>
              <w:rPr>
                <w:rFonts w:ascii="Microsoft YaHei" w:hAnsi="Microsoft YaHei" w:eastAsia="Microsoft YaHei"/>
                <w:sz w:val="21"/>
              </w:rPr>
              <w:t>事件管理</w:t>
            </w:r>
          </w:p>
        </w:tc>
        <w:tc>
          <w:tcPr>
            <w:tcW w:type="dxa" w:w="2266"/>
          </w:tcPr>
          <w:p>
            <w:pPr>
              <w:spacing w:after="40"/>
            </w:pPr>
            <w:r/>
            <w:r>
              <w:rPr>
                <w:rFonts w:ascii="Microsoft YaHei" w:hAnsi="Microsoft YaHei" w:eastAsia="Microsoft YaHei"/>
                <w:sz w:val="21"/>
              </w:rPr>
              <w:t>07_事件管理技术方案.md</w:t>
            </w:r>
          </w:p>
        </w:tc>
        <w:tc>
          <w:tcPr>
            <w:tcW w:type="dxa" w:w="2266"/>
          </w:tcPr>
          <w:p>
            <w:pPr>
              <w:spacing w:after="40"/>
            </w:pPr>
            <w:r/>
            <w:r>
              <w:rPr>
                <w:rFonts w:ascii="Microsoft YaHei" w:hAnsi="Microsoft YaHei" w:eastAsia="Microsoft YaHei"/>
                <w:sz w:val="21"/>
              </w:rPr>
              <w:t>2</w:t>
            </w:r>
          </w:p>
        </w:tc>
      </w:tr>
      <w:tr>
        <w:tc>
          <w:tcPr>
            <w:tcW w:type="dxa" w:w="2266"/>
          </w:tcPr>
          <w:p>
            <w:pPr>
              <w:spacing w:after="40"/>
            </w:pPr>
            <w:r/>
            <w:r>
              <w:rPr>
                <w:rFonts w:ascii="Microsoft YaHei" w:hAnsi="Microsoft YaHei" w:eastAsia="Microsoft YaHei"/>
                <w:sz w:val="21"/>
              </w:rPr>
              <w:t>8</w:t>
            </w:r>
          </w:p>
        </w:tc>
        <w:tc>
          <w:tcPr>
            <w:tcW w:type="dxa" w:w="2266"/>
          </w:tcPr>
          <w:p>
            <w:pPr>
              <w:spacing w:after="40"/>
            </w:pPr>
            <w:r/>
            <w:r>
              <w:rPr>
                <w:rFonts w:ascii="Microsoft YaHei" w:hAnsi="Microsoft YaHei" w:eastAsia="Microsoft YaHei"/>
                <w:sz w:val="21"/>
              </w:rPr>
              <w:t>系统预警</w:t>
            </w:r>
          </w:p>
        </w:tc>
        <w:tc>
          <w:tcPr>
            <w:tcW w:type="dxa" w:w="2266"/>
          </w:tcPr>
          <w:p>
            <w:pPr>
              <w:spacing w:after="40"/>
            </w:pPr>
            <w:r/>
            <w:r>
              <w:rPr>
                <w:rFonts w:ascii="Microsoft YaHei" w:hAnsi="Microsoft YaHei" w:eastAsia="Microsoft YaHei"/>
                <w:sz w:val="21"/>
              </w:rPr>
              <w:t>08_系统预警技术方案.md</w:t>
            </w:r>
          </w:p>
        </w:tc>
        <w:tc>
          <w:tcPr>
            <w:tcW w:type="dxa" w:w="2266"/>
          </w:tcPr>
          <w:p>
            <w:pPr>
              <w:spacing w:after="40"/>
            </w:pPr>
            <w:r/>
            <w:r>
              <w:rPr>
                <w:rFonts w:ascii="Microsoft YaHei" w:hAnsi="Microsoft YaHei" w:eastAsia="Microsoft YaHei"/>
                <w:sz w:val="21"/>
              </w:rPr>
              <w:t>5</w:t>
            </w:r>
          </w:p>
        </w:tc>
      </w:tr>
      <w:tr>
        <w:tc>
          <w:tcPr>
            <w:tcW w:type="dxa" w:w="2266"/>
          </w:tcPr>
          <w:p>
            <w:pPr>
              <w:spacing w:after="40"/>
            </w:pPr>
            <w:r/>
            <w:r>
              <w:rPr>
                <w:rFonts w:ascii="Microsoft YaHei" w:hAnsi="Microsoft YaHei" w:eastAsia="Microsoft YaHei"/>
                <w:sz w:val="21"/>
              </w:rPr>
              <w:t>9</w:t>
            </w:r>
          </w:p>
        </w:tc>
        <w:tc>
          <w:tcPr>
            <w:tcW w:type="dxa" w:w="2266"/>
          </w:tcPr>
          <w:p>
            <w:pPr>
              <w:spacing w:after="40"/>
            </w:pPr>
            <w:r/>
            <w:r>
              <w:rPr>
                <w:rFonts w:ascii="Microsoft YaHei" w:hAnsi="Microsoft YaHei" w:eastAsia="Microsoft YaHei"/>
                <w:sz w:val="21"/>
              </w:rPr>
              <w:t>预警配置</w:t>
            </w:r>
          </w:p>
        </w:tc>
        <w:tc>
          <w:tcPr>
            <w:tcW w:type="dxa" w:w="2266"/>
          </w:tcPr>
          <w:p>
            <w:pPr>
              <w:spacing w:after="40"/>
            </w:pPr>
            <w:r/>
            <w:r>
              <w:rPr>
                <w:rFonts w:ascii="Microsoft YaHei" w:hAnsi="Microsoft YaHei" w:eastAsia="Microsoft YaHei"/>
                <w:sz w:val="21"/>
              </w:rPr>
              <w:t>09_预警配置技术方案.md</w:t>
            </w:r>
          </w:p>
        </w:tc>
        <w:tc>
          <w:tcPr>
            <w:tcW w:type="dxa" w:w="2266"/>
          </w:tcPr>
          <w:p>
            <w:pPr>
              <w:spacing w:after="40"/>
            </w:pPr>
            <w:r/>
            <w:r>
              <w:rPr>
                <w:rFonts w:ascii="Microsoft YaHei" w:hAnsi="Microsoft YaHei" w:eastAsia="Microsoft YaHei"/>
                <w:sz w:val="21"/>
              </w:rPr>
              <w:t>3</w:t>
            </w:r>
          </w:p>
        </w:tc>
      </w:tr>
      <w:tr>
        <w:tc>
          <w:tcPr>
            <w:tcW w:type="dxa" w:w="2266"/>
          </w:tcPr>
          <w:p>
            <w:pPr>
              <w:spacing w:after="40"/>
            </w:pPr>
            <w:r/>
            <w:r>
              <w:rPr>
                <w:rFonts w:ascii="Microsoft YaHei" w:hAnsi="Microsoft YaHei" w:eastAsia="Microsoft YaHei"/>
                <w:sz w:val="21"/>
              </w:rPr>
              <w:t>10</w:t>
            </w:r>
          </w:p>
        </w:tc>
        <w:tc>
          <w:tcPr>
            <w:tcW w:type="dxa" w:w="2266"/>
          </w:tcPr>
          <w:p>
            <w:pPr>
              <w:spacing w:after="40"/>
            </w:pPr>
            <w:r/>
            <w:r>
              <w:rPr>
                <w:rFonts w:ascii="Microsoft YaHei" w:hAnsi="Microsoft YaHei" w:eastAsia="Microsoft YaHei"/>
                <w:sz w:val="21"/>
              </w:rPr>
              <w:t>违规车辆研判模型</w:t>
            </w:r>
          </w:p>
        </w:tc>
        <w:tc>
          <w:tcPr>
            <w:tcW w:type="dxa" w:w="2266"/>
          </w:tcPr>
          <w:p>
            <w:pPr>
              <w:spacing w:after="40"/>
            </w:pPr>
            <w:r/>
            <w:r>
              <w:rPr>
                <w:rFonts w:ascii="Microsoft YaHei" w:hAnsi="Microsoft YaHei" w:eastAsia="Microsoft YaHei"/>
                <w:sz w:val="21"/>
              </w:rPr>
              <w:t>10_违规车辆研判模型技术方案.md</w:t>
            </w:r>
          </w:p>
        </w:tc>
        <w:tc>
          <w:tcPr>
            <w:tcW w:type="dxa" w:w="2266"/>
          </w:tcPr>
          <w:p>
            <w:pPr>
              <w:spacing w:after="40"/>
            </w:pPr>
            <w:r/>
            <w:r>
              <w:rPr>
                <w:rFonts w:ascii="Microsoft YaHei" w:hAnsi="Microsoft YaHei" w:eastAsia="Microsoft YaHei"/>
                <w:sz w:val="21"/>
              </w:rPr>
              <w:t>2</w:t>
            </w:r>
          </w:p>
        </w:tc>
      </w:tr>
      <w:tr>
        <w:tc>
          <w:tcPr>
            <w:tcW w:type="dxa" w:w="2266"/>
          </w:tcPr>
          <w:p>
            <w:pPr>
              <w:spacing w:after="40"/>
            </w:pPr>
            <w:r/>
            <w:r>
              <w:rPr>
                <w:rFonts w:ascii="Microsoft YaHei" w:hAnsi="Microsoft YaHei" w:eastAsia="Microsoft YaHei"/>
                <w:sz w:val="21"/>
              </w:rPr>
              <w:t>11</w:t>
            </w:r>
          </w:p>
        </w:tc>
        <w:tc>
          <w:tcPr>
            <w:tcW w:type="dxa" w:w="2266"/>
          </w:tcPr>
          <w:p>
            <w:pPr>
              <w:spacing w:after="40"/>
            </w:pPr>
            <w:r/>
            <w:r>
              <w:rPr>
                <w:rFonts w:ascii="Microsoft YaHei" w:hAnsi="Microsoft YaHei" w:eastAsia="Microsoft YaHei"/>
                <w:sz w:val="21"/>
              </w:rPr>
              <w:t>信息查询</w:t>
            </w:r>
          </w:p>
        </w:tc>
        <w:tc>
          <w:tcPr>
            <w:tcW w:type="dxa" w:w="2266"/>
          </w:tcPr>
          <w:p>
            <w:pPr>
              <w:spacing w:after="40"/>
            </w:pPr>
            <w:r/>
            <w:r>
              <w:rPr>
                <w:rFonts w:ascii="Microsoft YaHei" w:hAnsi="Microsoft YaHei" w:eastAsia="Microsoft YaHei"/>
                <w:sz w:val="21"/>
              </w:rPr>
              <w:t>11_信息查询技术方案.md</w:t>
            </w:r>
          </w:p>
        </w:tc>
        <w:tc>
          <w:tcPr>
            <w:tcW w:type="dxa" w:w="2266"/>
          </w:tcPr>
          <w:p>
            <w:pPr>
              <w:spacing w:after="40"/>
            </w:pPr>
            <w:r/>
            <w:r>
              <w:rPr>
                <w:rFonts w:ascii="Microsoft YaHei" w:hAnsi="Microsoft YaHei" w:eastAsia="Microsoft YaHei"/>
                <w:sz w:val="21"/>
              </w:rPr>
              <w:t>4</w:t>
            </w:r>
          </w:p>
        </w:tc>
      </w:tr>
      <w:tr>
        <w:tc>
          <w:tcPr>
            <w:tcW w:type="dxa" w:w="2266"/>
          </w:tcPr>
          <w:p>
            <w:pPr>
              <w:spacing w:after="40"/>
            </w:pPr>
            <w:r/>
            <w:r>
              <w:rPr>
                <w:rFonts w:ascii="Microsoft YaHei" w:hAnsi="Microsoft YaHei" w:eastAsia="Microsoft YaHei"/>
                <w:sz w:val="21"/>
              </w:rPr>
              <w:t>12</w:t>
            </w:r>
          </w:p>
        </w:tc>
        <w:tc>
          <w:tcPr>
            <w:tcW w:type="dxa" w:w="2266"/>
          </w:tcPr>
          <w:p>
            <w:pPr>
              <w:spacing w:after="40"/>
            </w:pPr>
            <w:r/>
            <w:r>
              <w:rPr>
                <w:rFonts w:ascii="Microsoft YaHei" w:hAnsi="Microsoft YaHei" w:eastAsia="Microsoft YaHei"/>
                <w:sz w:val="21"/>
              </w:rPr>
              <w:t>组织管理</w:t>
            </w:r>
          </w:p>
        </w:tc>
        <w:tc>
          <w:tcPr>
            <w:tcW w:type="dxa" w:w="2266"/>
          </w:tcPr>
          <w:p>
            <w:pPr>
              <w:spacing w:after="40"/>
            </w:pPr>
            <w:r/>
            <w:r>
              <w:rPr>
                <w:rFonts w:ascii="Microsoft YaHei" w:hAnsi="Microsoft YaHei" w:eastAsia="Microsoft YaHei"/>
                <w:sz w:val="21"/>
              </w:rPr>
              <w:t>12_组织管理技术方案.md</w:t>
            </w:r>
          </w:p>
        </w:tc>
        <w:tc>
          <w:tcPr>
            <w:tcW w:type="dxa" w:w="2266"/>
          </w:tcPr>
          <w:p>
            <w:pPr>
              <w:spacing w:after="40"/>
            </w:pPr>
            <w:r/>
            <w:r>
              <w:rPr>
                <w:rFonts w:ascii="Microsoft YaHei" w:hAnsi="Microsoft YaHei" w:eastAsia="Microsoft YaHei"/>
                <w:sz w:val="21"/>
              </w:rPr>
              <w:t>2</w:t>
            </w:r>
          </w:p>
        </w:tc>
      </w:tr>
      <w:tr>
        <w:tc>
          <w:tcPr>
            <w:tcW w:type="dxa" w:w="2266"/>
          </w:tcPr>
          <w:p>
            <w:pPr>
              <w:spacing w:after="40"/>
            </w:pPr>
            <w:r/>
            <w:r>
              <w:rPr>
                <w:rFonts w:ascii="Microsoft YaHei" w:hAnsi="Microsoft YaHei" w:eastAsia="Microsoft YaHei"/>
                <w:sz w:val="21"/>
              </w:rPr>
              <w:t>13</w:t>
            </w:r>
          </w:p>
        </w:tc>
        <w:tc>
          <w:tcPr>
            <w:tcW w:type="dxa" w:w="2266"/>
          </w:tcPr>
          <w:p>
            <w:pPr>
              <w:spacing w:after="40"/>
            </w:pPr>
            <w:r/>
            <w:r>
              <w:rPr>
                <w:rFonts w:ascii="Microsoft YaHei" w:hAnsi="Microsoft YaHei" w:eastAsia="Microsoft YaHei"/>
                <w:sz w:val="21"/>
              </w:rPr>
              <w:t>组织人员管理</w:t>
            </w:r>
          </w:p>
        </w:tc>
        <w:tc>
          <w:tcPr>
            <w:tcW w:type="dxa" w:w="2266"/>
          </w:tcPr>
          <w:p>
            <w:pPr>
              <w:spacing w:after="40"/>
            </w:pPr>
            <w:r/>
            <w:r>
              <w:rPr>
                <w:rFonts w:ascii="Microsoft YaHei" w:hAnsi="Microsoft YaHei" w:eastAsia="Microsoft YaHei"/>
                <w:sz w:val="21"/>
              </w:rPr>
              <w:t>13_组织人员管理技术方案.md</w:t>
            </w:r>
          </w:p>
        </w:tc>
        <w:tc>
          <w:tcPr>
            <w:tcW w:type="dxa" w:w="2266"/>
          </w:tcPr>
          <w:p>
            <w:pPr>
              <w:spacing w:after="40"/>
            </w:pPr>
            <w:r/>
            <w:r>
              <w:rPr>
                <w:rFonts w:ascii="Microsoft YaHei" w:hAnsi="Microsoft YaHei" w:eastAsia="Microsoft YaHei"/>
                <w:sz w:val="21"/>
              </w:rPr>
              <w:t>3</w:t>
            </w:r>
          </w:p>
        </w:tc>
      </w:tr>
      <w:tr>
        <w:tc>
          <w:tcPr>
            <w:tcW w:type="dxa" w:w="2266"/>
          </w:tcPr>
          <w:p>
            <w:pPr>
              <w:spacing w:after="40"/>
            </w:pPr>
            <w:r/>
            <w:r>
              <w:rPr>
                <w:rFonts w:ascii="Microsoft YaHei" w:hAnsi="Microsoft YaHei" w:eastAsia="Microsoft YaHei"/>
                <w:sz w:val="21"/>
              </w:rPr>
              <w:t>14</w:t>
            </w:r>
          </w:p>
        </w:tc>
        <w:tc>
          <w:tcPr>
            <w:tcW w:type="dxa" w:w="2266"/>
          </w:tcPr>
          <w:p>
            <w:pPr>
              <w:spacing w:after="40"/>
            </w:pPr>
            <w:r/>
            <w:r>
              <w:rPr>
                <w:rFonts w:ascii="Microsoft YaHei" w:hAnsi="Microsoft YaHei" w:eastAsia="Microsoft YaHei"/>
                <w:sz w:val="21"/>
              </w:rPr>
              <w:t>角色管理</w:t>
            </w:r>
          </w:p>
        </w:tc>
        <w:tc>
          <w:tcPr>
            <w:tcW w:type="dxa" w:w="2266"/>
          </w:tcPr>
          <w:p>
            <w:pPr>
              <w:spacing w:after="40"/>
            </w:pPr>
            <w:r/>
            <w:r>
              <w:rPr>
                <w:rFonts w:ascii="Microsoft YaHei" w:hAnsi="Microsoft YaHei" w:eastAsia="Microsoft YaHei"/>
                <w:sz w:val="21"/>
              </w:rPr>
              <w:t>14_角色管理技术方案.md</w:t>
            </w:r>
          </w:p>
        </w:tc>
        <w:tc>
          <w:tcPr>
            <w:tcW w:type="dxa" w:w="2266"/>
          </w:tcPr>
          <w:p>
            <w:pPr>
              <w:spacing w:after="40"/>
            </w:pPr>
            <w:r/>
            <w:r>
              <w:rPr>
                <w:rFonts w:ascii="Microsoft YaHei" w:hAnsi="Microsoft YaHei" w:eastAsia="Microsoft YaHei"/>
                <w:sz w:val="21"/>
              </w:rPr>
              <w:t>3</w:t>
            </w:r>
          </w:p>
        </w:tc>
      </w:tr>
      <w:tr>
        <w:tc>
          <w:tcPr>
            <w:tcW w:type="dxa" w:w="2266"/>
          </w:tcPr>
          <w:p>
            <w:pPr>
              <w:spacing w:after="40"/>
            </w:pPr>
            <w:r/>
            <w:r>
              <w:rPr>
                <w:rFonts w:ascii="Microsoft YaHei" w:hAnsi="Microsoft YaHei" w:eastAsia="Microsoft YaHei"/>
                <w:sz w:val="21"/>
              </w:rPr>
              <w:t>15</w:t>
            </w:r>
          </w:p>
        </w:tc>
        <w:tc>
          <w:tcPr>
            <w:tcW w:type="dxa" w:w="2266"/>
          </w:tcPr>
          <w:p>
            <w:pPr>
              <w:spacing w:after="40"/>
            </w:pPr>
            <w:r/>
            <w:r>
              <w:rPr>
                <w:rFonts w:ascii="Microsoft YaHei" w:hAnsi="Microsoft YaHei" w:eastAsia="Microsoft YaHei"/>
                <w:sz w:val="21"/>
              </w:rPr>
              <w:t>系统日志</w:t>
            </w:r>
          </w:p>
        </w:tc>
        <w:tc>
          <w:tcPr>
            <w:tcW w:type="dxa" w:w="2266"/>
          </w:tcPr>
          <w:p>
            <w:pPr>
              <w:spacing w:after="40"/>
            </w:pPr>
            <w:r/>
            <w:r>
              <w:rPr>
                <w:rFonts w:ascii="Microsoft YaHei" w:hAnsi="Microsoft YaHei" w:eastAsia="Microsoft YaHei"/>
                <w:sz w:val="21"/>
              </w:rPr>
              <w:t>15_系统日志技术方案.md</w:t>
            </w:r>
          </w:p>
        </w:tc>
        <w:tc>
          <w:tcPr>
            <w:tcW w:type="dxa" w:w="2266"/>
          </w:tcPr>
          <w:p>
            <w:pPr>
              <w:spacing w:after="40"/>
            </w:pPr>
            <w:r/>
            <w:r>
              <w:rPr>
                <w:rFonts w:ascii="Microsoft YaHei" w:hAnsi="Microsoft YaHei" w:eastAsia="Microsoft YaHei"/>
                <w:sz w:val="21"/>
              </w:rPr>
              <w:t>3</w:t>
            </w:r>
          </w:p>
        </w:tc>
      </w:tr>
      <w:tr>
        <w:tc>
          <w:tcPr>
            <w:tcW w:type="dxa" w:w="2266"/>
          </w:tcPr>
          <w:p>
            <w:pPr>
              <w:spacing w:after="40"/>
            </w:pPr>
            <w:r/>
            <w:r>
              <w:rPr>
                <w:rFonts w:ascii="Microsoft YaHei" w:hAnsi="Microsoft YaHei" w:eastAsia="Microsoft YaHei"/>
                <w:sz w:val="21"/>
              </w:rPr>
              <w:t>16</w:t>
            </w:r>
          </w:p>
        </w:tc>
        <w:tc>
          <w:tcPr>
            <w:tcW w:type="dxa" w:w="2266"/>
          </w:tcPr>
          <w:p>
            <w:pPr>
              <w:spacing w:after="40"/>
            </w:pPr>
            <w:r/>
            <w:r>
              <w:rPr>
                <w:rFonts w:ascii="Microsoft YaHei" w:hAnsi="Microsoft YaHei" w:eastAsia="Microsoft YaHei"/>
                <w:sz w:val="21"/>
              </w:rPr>
              <w:t>审核审批配置</w:t>
            </w:r>
          </w:p>
        </w:tc>
        <w:tc>
          <w:tcPr>
            <w:tcW w:type="dxa" w:w="2266"/>
          </w:tcPr>
          <w:p>
            <w:pPr>
              <w:spacing w:after="40"/>
            </w:pPr>
            <w:r/>
            <w:r>
              <w:rPr>
                <w:rFonts w:ascii="Microsoft YaHei" w:hAnsi="Microsoft YaHei" w:eastAsia="Microsoft YaHei"/>
                <w:sz w:val="21"/>
              </w:rPr>
              <w:t>16_审核审批配置技术方案.md</w:t>
            </w:r>
          </w:p>
        </w:tc>
        <w:tc>
          <w:tcPr>
            <w:tcW w:type="dxa" w:w="2266"/>
          </w:tcPr>
          <w:p>
            <w:pPr>
              <w:spacing w:after="40"/>
            </w:pPr>
            <w:r/>
            <w:r>
              <w:rPr>
                <w:rFonts w:ascii="Microsoft YaHei" w:hAnsi="Microsoft YaHei" w:eastAsia="Microsoft YaHei"/>
                <w:sz w:val="21"/>
              </w:rPr>
              <w:t>3</w:t>
            </w:r>
          </w:p>
        </w:tc>
      </w:tr>
      <w:tr>
        <w:tc>
          <w:tcPr>
            <w:tcW w:type="dxa" w:w="2266"/>
          </w:tcPr>
          <w:p>
            <w:pPr>
              <w:spacing w:after="40"/>
            </w:pPr>
            <w:r/>
            <w:r>
              <w:rPr>
                <w:rFonts w:ascii="Microsoft YaHei" w:hAnsi="Microsoft YaHei" w:eastAsia="Microsoft YaHei"/>
                <w:sz w:val="21"/>
              </w:rPr>
              <w:t>17</w:t>
            </w:r>
          </w:p>
        </w:tc>
        <w:tc>
          <w:tcPr>
            <w:tcW w:type="dxa" w:w="2266"/>
          </w:tcPr>
          <w:p>
            <w:pPr>
              <w:spacing w:after="40"/>
            </w:pPr>
            <w:r/>
            <w:r>
              <w:rPr>
                <w:rFonts w:ascii="Microsoft YaHei" w:hAnsi="Microsoft YaHei" w:eastAsia="Microsoft YaHei"/>
                <w:sz w:val="21"/>
              </w:rPr>
              <w:t>数据字典</w:t>
            </w:r>
          </w:p>
        </w:tc>
        <w:tc>
          <w:tcPr>
            <w:tcW w:type="dxa" w:w="2266"/>
          </w:tcPr>
          <w:p>
            <w:pPr>
              <w:spacing w:after="40"/>
            </w:pPr>
            <w:r/>
            <w:r>
              <w:rPr>
                <w:rFonts w:ascii="Microsoft YaHei" w:hAnsi="Microsoft YaHei" w:eastAsia="Microsoft YaHei"/>
                <w:sz w:val="21"/>
              </w:rPr>
              <w:t>17_数据字典技术方案.md</w:t>
            </w:r>
          </w:p>
        </w:tc>
        <w:tc>
          <w:tcPr>
            <w:tcW w:type="dxa" w:w="2266"/>
          </w:tcPr>
          <w:p>
            <w:pPr>
              <w:spacing w:after="40"/>
            </w:pPr>
            <w:r/>
            <w:r>
              <w:rPr>
                <w:rFonts w:ascii="Microsoft YaHei" w:hAnsi="Microsoft YaHei" w:eastAsia="Microsoft YaHei"/>
                <w:sz w:val="21"/>
              </w:rPr>
              <w:t>2</w:t>
            </w:r>
          </w:p>
        </w:tc>
      </w:tr>
      <w:tr>
        <w:tc>
          <w:tcPr>
            <w:tcW w:type="dxa" w:w="2266"/>
          </w:tcPr>
          <w:p>
            <w:pPr>
              <w:spacing w:after="40"/>
            </w:pPr>
            <w:r/>
            <w:r>
              <w:rPr>
                <w:rFonts w:ascii="Microsoft YaHei" w:hAnsi="Microsoft YaHei" w:eastAsia="Microsoft YaHei"/>
                <w:sz w:val="21"/>
              </w:rPr>
              <w:t>18</w:t>
            </w:r>
          </w:p>
        </w:tc>
        <w:tc>
          <w:tcPr>
            <w:tcW w:type="dxa" w:w="2266"/>
          </w:tcPr>
          <w:p>
            <w:pPr>
              <w:spacing w:after="40"/>
            </w:pPr>
            <w:r/>
            <w:r>
              <w:rPr>
                <w:rFonts w:ascii="Microsoft YaHei" w:hAnsi="Microsoft YaHei" w:eastAsia="Microsoft YaHei"/>
                <w:sz w:val="21"/>
              </w:rPr>
              <w:t>系统参数配置</w:t>
            </w:r>
          </w:p>
        </w:tc>
        <w:tc>
          <w:tcPr>
            <w:tcW w:type="dxa" w:w="2266"/>
          </w:tcPr>
          <w:p>
            <w:pPr>
              <w:spacing w:after="40"/>
            </w:pPr>
            <w:r/>
            <w:r>
              <w:rPr>
                <w:rFonts w:ascii="Microsoft YaHei" w:hAnsi="Microsoft YaHei" w:eastAsia="Microsoft YaHei"/>
                <w:sz w:val="21"/>
              </w:rPr>
              <w:t>18_系统参数配置技术方案.md</w:t>
            </w:r>
          </w:p>
        </w:tc>
        <w:tc>
          <w:tcPr>
            <w:tcW w:type="dxa" w:w="2266"/>
          </w:tcPr>
          <w:p>
            <w:pPr>
              <w:spacing w:after="40"/>
            </w:pPr>
            <w:r/>
            <w:r>
              <w:rPr>
                <w:rFonts w:ascii="Microsoft YaHei" w:hAnsi="Microsoft YaHei" w:eastAsia="Microsoft YaHei"/>
                <w:sz w:val="21"/>
              </w:rPr>
              <w:t>1</w:t>
            </w:r>
          </w:p>
        </w:tc>
      </w:tr>
      <w:tr>
        <w:tc>
          <w:tcPr>
            <w:tcW w:type="dxa" w:w="2266"/>
          </w:tcPr>
          <w:p>
            <w:pPr>
              <w:spacing w:after="40"/>
            </w:pPr>
            <w:r/>
            <w:r>
              <w:rPr>
                <w:rFonts w:ascii="Microsoft YaHei" w:hAnsi="Microsoft YaHei" w:eastAsia="Microsoft YaHei"/>
                <w:sz w:val="21"/>
              </w:rPr>
              <w:t>19</w:t>
            </w:r>
          </w:p>
        </w:tc>
        <w:tc>
          <w:tcPr>
            <w:tcW w:type="dxa" w:w="2266"/>
          </w:tcPr>
          <w:p>
            <w:pPr>
              <w:spacing w:after="40"/>
            </w:pPr>
            <w:r/>
            <w:r>
              <w:rPr>
                <w:rFonts w:ascii="Microsoft YaHei" w:hAnsi="Microsoft YaHei" w:eastAsia="Microsoft YaHei"/>
                <w:sz w:val="21"/>
              </w:rPr>
              <w:t>统计分析</w:t>
            </w:r>
          </w:p>
        </w:tc>
        <w:tc>
          <w:tcPr>
            <w:tcW w:type="dxa" w:w="2266"/>
          </w:tcPr>
          <w:p>
            <w:pPr>
              <w:spacing w:after="40"/>
            </w:pPr>
            <w:r/>
            <w:r>
              <w:rPr>
                <w:rFonts w:ascii="Microsoft YaHei" w:hAnsi="Microsoft YaHei" w:eastAsia="Microsoft YaHei"/>
                <w:sz w:val="21"/>
              </w:rPr>
              <w:t>19_统计分析技术方案.md</w:t>
            </w:r>
          </w:p>
        </w:tc>
        <w:tc>
          <w:tcPr>
            <w:tcW w:type="dxa" w:w="2266"/>
          </w:tcPr>
          <w:p>
            <w:pPr>
              <w:spacing w:after="40"/>
            </w:pPr>
            <w:r/>
            <w:r>
              <w:rPr>
                <w:rFonts w:ascii="Microsoft YaHei" w:hAnsi="Microsoft YaHei" w:eastAsia="Microsoft YaHei"/>
                <w:sz w:val="21"/>
              </w:rPr>
              <w:t>4</w:t>
            </w:r>
          </w:p>
        </w:tc>
      </w:tr>
      <w:tr>
        <w:tc>
          <w:tcPr>
            <w:tcW w:type="dxa" w:w="2266"/>
          </w:tcPr>
          <w:p>
            <w:pPr>
              <w:spacing w:after="40"/>
            </w:pPr>
            <w:r/>
            <w:r>
              <w:rPr>
                <w:rFonts w:ascii="Microsoft YaHei" w:hAnsi="Microsoft YaHei" w:eastAsia="Microsoft YaHei"/>
                <w:sz w:val="21"/>
              </w:rPr>
              <w:t>20</w:t>
            </w:r>
          </w:p>
        </w:tc>
        <w:tc>
          <w:tcPr>
            <w:tcW w:type="dxa" w:w="2266"/>
          </w:tcPr>
          <w:p>
            <w:pPr>
              <w:spacing w:after="40"/>
            </w:pPr>
            <w:r/>
            <w:r>
              <w:rPr>
                <w:rFonts w:ascii="Microsoft YaHei" w:hAnsi="Microsoft YaHei" w:eastAsia="Microsoft YaHei"/>
                <w:sz w:val="21"/>
              </w:rPr>
              <w:t>数据看板</w:t>
            </w:r>
          </w:p>
        </w:tc>
        <w:tc>
          <w:tcPr>
            <w:tcW w:type="dxa" w:w="2266"/>
          </w:tcPr>
          <w:p>
            <w:pPr>
              <w:spacing w:after="40"/>
            </w:pPr>
            <w:r/>
            <w:r>
              <w:rPr>
                <w:rFonts w:ascii="Microsoft YaHei" w:hAnsi="Microsoft YaHei" w:eastAsia="Microsoft YaHei"/>
                <w:sz w:val="21"/>
              </w:rPr>
              <w:t>20_数据看板技术方案.md</w:t>
            </w:r>
          </w:p>
        </w:tc>
        <w:tc>
          <w:tcPr>
            <w:tcW w:type="dxa" w:w="2266"/>
          </w:tcPr>
          <w:p>
            <w:pPr>
              <w:spacing w:after="40"/>
            </w:pPr>
            <w:r/>
            <w:r>
              <w:rPr>
                <w:rFonts w:ascii="Microsoft YaHei" w:hAnsi="Microsoft YaHei" w:eastAsia="Microsoft YaHei"/>
                <w:sz w:val="21"/>
              </w:rPr>
              <w:t>4</w:t>
            </w:r>
          </w:p>
        </w:tc>
      </w:tr>
      <w:tr>
        <w:tc>
          <w:tcPr>
            <w:tcW w:type="dxa" w:w="2266"/>
          </w:tcPr>
          <w:p>
            <w:pPr>
              <w:spacing w:after="40"/>
            </w:pPr>
            <w:r/>
            <w:r>
              <w:rPr>
                <w:rFonts w:ascii="Microsoft YaHei" w:hAnsi="Microsoft YaHei" w:eastAsia="Microsoft YaHei"/>
                <w:sz w:val="21"/>
              </w:rPr>
              <w:t>21</w:t>
            </w:r>
          </w:p>
        </w:tc>
        <w:tc>
          <w:tcPr>
            <w:tcW w:type="dxa" w:w="2266"/>
          </w:tcPr>
          <w:p>
            <w:pPr>
              <w:spacing w:after="40"/>
            </w:pPr>
            <w:r/>
            <w:r>
              <w:rPr>
                <w:rFonts w:ascii="Microsoft YaHei" w:hAnsi="Microsoft YaHei" w:eastAsia="Microsoft YaHei"/>
                <w:sz w:val="21"/>
              </w:rPr>
              <w:t>平台对接</w:t>
            </w:r>
          </w:p>
        </w:tc>
        <w:tc>
          <w:tcPr>
            <w:tcW w:type="dxa" w:w="2266"/>
          </w:tcPr>
          <w:p>
            <w:pPr>
              <w:spacing w:after="40"/>
            </w:pPr>
            <w:r/>
            <w:r>
              <w:rPr>
                <w:rFonts w:ascii="Microsoft YaHei" w:hAnsi="Microsoft YaHei" w:eastAsia="Microsoft YaHei"/>
                <w:sz w:val="21"/>
              </w:rPr>
              <w:t>21_平台对接技术方案.md</w:t>
            </w:r>
          </w:p>
        </w:tc>
        <w:tc>
          <w:tcPr>
            <w:tcW w:type="dxa" w:w="2266"/>
          </w:tcPr>
          <w:p>
            <w:pPr>
              <w:spacing w:after="40"/>
            </w:pPr>
            <w:r/>
            <w:r>
              <w:rPr>
                <w:rFonts w:ascii="Microsoft YaHei" w:hAnsi="Microsoft YaHei" w:eastAsia="Microsoft YaHei"/>
                <w:sz w:val="21"/>
              </w:rPr>
              <w:t>5</w:t>
            </w:r>
          </w:p>
        </w:tc>
      </w:tr>
      <w:tr>
        <w:tc>
          <w:tcPr>
            <w:tcW w:type="dxa" w:w="2266"/>
          </w:tcPr>
          <w:p>
            <w:pPr>
              <w:spacing w:after="40"/>
            </w:pPr>
            <w:r/>
            <w:r>
              <w:rPr>
                <w:rFonts w:ascii="Microsoft YaHei" w:hAnsi="Microsoft YaHei" w:eastAsia="Microsoft YaHei"/>
                <w:sz w:val="21"/>
              </w:rPr>
              <w:t>22</w:t>
            </w:r>
          </w:p>
        </w:tc>
        <w:tc>
          <w:tcPr>
            <w:tcW w:type="dxa" w:w="2266"/>
          </w:tcPr>
          <w:p>
            <w:pPr>
              <w:spacing w:after="40"/>
            </w:pPr>
            <w:r/>
            <w:r>
              <w:rPr>
                <w:rFonts w:ascii="Microsoft YaHei" w:hAnsi="Microsoft YaHei" w:eastAsia="Microsoft YaHei"/>
                <w:sz w:val="21"/>
              </w:rPr>
              <w:t>消息管理</w:t>
            </w:r>
          </w:p>
        </w:tc>
        <w:tc>
          <w:tcPr>
            <w:tcW w:type="dxa" w:w="2266"/>
          </w:tcPr>
          <w:p>
            <w:pPr>
              <w:spacing w:after="40"/>
            </w:pPr>
            <w:r/>
            <w:r>
              <w:rPr>
                <w:rFonts w:ascii="Microsoft YaHei" w:hAnsi="Microsoft YaHei" w:eastAsia="Microsoft YaHei"/>
                <w:sz w:val="21"/>
              </w:rPr>
              <w:t>22_消息管理技术方案.md</w:t>
            </w:r>
          </w:p>
        </w:tc>
        <w:tc>
          <w:tcPr>
            <w:tcW w:type="dxa" w:w="2266"/>
          </w:tcPr>
          <w:p>
            <w:pPr>
              <w:spacing w:after="40"/>
            </w:pPr>
            <w:r/>
            <w:r>
              <w:rPr>
                <w:rFonts w:ascii="Microsoft YaHei" w:hAnsi="Microsoft YaHei" w:eastAsia="Microsoft YaHei"/>
                <w:sz w:val="21"/>
              </w:rPr>
              <w:t>2</w:t>
            </w:r>
          </w:p>
        </w:tc>
      </w:tr>
      <w:tr>
        <w:tc>
          <w:tcPr>
            <w:tcW w:type="dxa" w:w="2266"/>
          </w:tcPr>
          <w:p>
            <w:pPr>
              <w:spacing w:after="40"/>
            </w:pPr>
            <w:r/>
            <w:r>
              <w:rPr>
                <w:rFonts w:ascii="Microsoft YaHei" w:hAnsi="Microsoft YaHei" w:eastAsia="Microsoft YaHei"/>
                <w:sz w:val="21"/>
              </w:rPr>
              <w:t>23</w:t>
            </w:r>
          </w:p>
        </w:tc>
        <w:tc>
          <w:tcPr>
            <w:tcW w:type="dxa" w:w="2266"/>
          </w:tcPr>
          <w:p>
            <w:pPr>
              <w:spacing w:after="40"/>
            </w:pPr>
            <w:r/>
            <w:r>
              <w:rPr>
                <w:rFonts w:ascii="Microsoft YaHei" w:hAnsi="Microsoft YaHei" w:eastAsia="Microsoft YaHei"/>
                <w:sz w:val="21"/>
              </w:rPr>
              <w:t>小程序</w:t>
            </w:r>
          </w:p>
        </w:tc>
        <w:tc>
          <w:tcPr>
            <w:tcW w:type="dxa" w:w="2266"/>
          </w:tcPr>
          <w:p>
            <w:pPr>
              <w:spacing w:after="40"/>
            </w:pPr>
            <w:r/>
            <w:r>
              <w:rPr>
                <w:rFonts w:ascii="Microsoft YaHei" w:hAnsi="Microsoft YaHei" w:eastAsia="Microsoft YaHei"/>
                <w:sz w:val="21"/>
              </w:rPr>
              <w:t>23_小程序技术方案.md</w:t>
            </w:r>
          </w:p>
        </w:tc>
        <w:tc>
          <w:tcPr>
            <w:tcW w:type="dxa" w:w="2266"/>
          </w:tcPr>
          <w:p>
            <w:pPr>
              <w:spacing w:after="40"/>
            </w:pPr>
            <w:r/>
            <w:r>
              <w:rPr>
                <w:rFonts w:ascii="Microsoft YaHei" w:hAnsi="Microsoft YaHei" w:eastAsia="Microsoft YaHei"/>
                <w:sz w:val="21"/>
              </w:rPr>
              <w:t>16</w:t>
            </w:r>
          </w:p>
        </w:tc>
      </w:tr>
      <w:tr>
        <w:tc>
          <w:tcPr>
            <w:tcW w:type="dxa" w:w="2266"/>
          </w:tcPr>
          <w:p>
            <w:pPr>
              <w:spacing w:after="40"/>
            </w:pPr>
            <w:r/>
            <w:r>
              <w:rPr>
                <w:rFonts w:ascii="Microsoft YaHei" w:hAnsi="Microsoft YaHei" w:eastAsia="Microsoft YaHei"/>
                <w:sz w:val="21"/>
              </w:rPr>
              <w:t>24</w:t>
            </w:r>
          </w:p>
        </w:tc>
        <w:tc>
          <w:tcPr>
            <w:tcW w:type="dxa" w:w="2266"/>
          </w:tcPr>
          <w:p>
            <w:pPr>
              <w:spacing w:after="40"/>
            </w:pPr>
            <w:r/>
            <w:r>
              <w:rPr>
                <w:rFonts w:ascii="Microsoft YaHei" w:hAnsi="Microsoft YaHei" w:eastAsia="Microsoft YaHei"/>
                <w:sz w:val="21"/>
              </w:rPr>
              <w:t>安全管理</w:t>
            </w:r>
          </w:p>
        </w:tc>
        <w:tc>
          <w:tcPr>
            <w:tcW w:type="dxa" w:w="2266"/>
          </w:tcPr>
          <w:p>
            <w:pPr>
              <w:spacing w:after="40"/>
            </w:pPr>
            <w:r/>
            <w:r>
              <w:rPr>
                <w:rFonts w:ascii="Microsoft YaHei" w:hAnsi="Microsoft YaHei" w:eastAsia="Microsoft YaHei"/>
                <w:sz w:val="21"/>
              </w:rPr>
              <w:t>24_安全管理技术方案.md</w:t>
            </w:r>
          </w:p>
        </w:tc>
        <w:tc>
          <w:tcPr>
            <w:tcW w:type="dxa" w:w="2266"/>
          </w:tcPr>
          <w:p>
            <w:pPr>
              <w:spacing w:after="40"/>
            </w:pPr>
            <w:r/>
            <w:r>
              <w:rPr>
                <w:rFonts w:ascii="Microsoft YaHei" w:hAnsi="Microsoft YaHei" w:eastAsia="Microsoft YaHei"/>
                <w:sz w:val="21"/>
              </w:rPr>
              <w:t>2</w:t>
            </w:r>
          </w:p>
        </w:tc>
      </w:tr>
      <w:tr>
        <w:tc>
          <w:tcPr>
            <w:tcW w:type="dxa" w:w="2266"/>
          </w:tcPr>
          <w:p>
            <w:pPr>
              <w:spacing w:after="40"/>
            </w:pPr>
            <w:r/>
            <w:r>
              <w:rPr>
                <w:rFonts w:ascii="Microsoft YaHei" w:hAnsi="Microsoft YaHei" w:eastAsia="Microsoft YaHei"/>
                <w:sz w:val="21"/>
              </w:rPr>
              <w:t>25</w:t>
            </w:r>
          </w:p>
        </w:tc>
        <w:tc>
          <w:tcPr>
            <w:tcW w:type="dxa" w:w="2266"/>
          </w:tcPr>
          <w:p>
            <w:pPr>
              <w:spacing w:after="40"/>
            </w:pPr>
            <w:r/>
            <w:r>
              <w:rPr>
                <w:rFonts w:ascii="Microsoft YaHei" w:hAnsi="Microsoft YaHei" w:eastAsia="Microsoft YaHei"/>
                <w:sz w:val="21"/>
              </w:rPr>
              <w:t>车辆管理</w:t>
            </w:r>
          </w:p>
        </w:tc>
        <w:tc>
          <w:tcPr>
            <w:tcW w:type="dxa" w:w="2266"/>
          </w:tcPr>
          <w:p>
            <w:pPr>
              <w:spacing w:after="40"/>
            </w:pPr>
            <w:r/>
            <w:r>
              <w:rPr>
                <w:rFonts w:ascii="Microsoft YaHei" w:hAnsi="Microsoft YaHei" w:eastAsia="Microsoft YaHei"/>
                <w:sz w:val="21"/>
              </w:rPr>
              <w:t>25_车辆管理技术方案.md</w:t>
            </w:r>
          </w:p>
        </w:tc>
        <w:tc>
          <w:tcPr>
            <w:tcW w:type="dxa" w:w="2266"/>
          </w:tcPr>
          <w:p>
            <w:pPr>
              <w:spacing w:after="40"/>
            </w:pPr>
            <w:r/>
            <w:r>
              <w:rPr>
                <w:rFonts w:ascii="Microsoft YaHei" w:hAnsi="Microsoft YaHei" w:eastAsia="Microsoft YaHei"/>
                <w:sz w:val="21"/>
              </w:rPr>
              <w:t>18</w:t>
            </w:r>
          </w:p>
        </w:tc>
      </w:tr>
    </w:tbl>
    <w:p/>
    <w:p>
      <w:pPr>
        <w:sectPr>
          <w:footerReference w:type="default" r:id="rId9"/>
          <w:pgSz w:w="12240" w:h="15840"/>
          <w:pgMar w:top="1440" w:right="1587" w:bottom="1440" w:left="1587" w:header="720" w:footer="720" w:gutter="0"/>
          <w:cols w:space="720"/>
          <w:docGrid w:linePitch="360"/>
        </w:sectPr>
      </w:pPr>
    </w:p>
    <w:p>
      <w:pPr>
        <w:pStyle w:val="Heading1"/>
      </w:pPr>
      <w:r>
        <w:t>合同结算技术方案</w:t>
      </w:r>
    </w:p>
    <w:p>
      <w:pPr>
        <w:pStyle w:val="Heading2"/>
      </w:pPr>
      <w:r>
        <w:t>1. 模块建设目标</w:t>
      </w:r>
    </w:p>
    <w:p>
      <w:pPr>
        <w:spacing w:after="120"/>
      </w:pPr>
      <w:r>
        <w:t>构建覆盖合同申请、审批、入账、结算、统计的合同全生命周期管理体系。</w:t>
      </w:r>
    </w:p>
    <w:p>
      <w:pPr>
        <w:pStyle w:val="Heading2"/>
      </w:pPr>
      <w:r>
        <w:t>2. 模块技术范围</w:t>
      </w:r>
    </w:p>
    <w:p>
      <w:pPr>
        <w:spacing w:after="120"/>
      </w:pPr>
      <w:r>
        <w:t>合同结算模块技术范围覆盖前端页面、后台接口、业务服务、数据模型、审批联动、消息通知、日志审计、导入导出、移动端或第三方对接等能力。</w:t>
      </w:r>
    </w:p>
    <w:p>
      <w:pPr>
        <w:pStyle w:val="Heading2"/>
      </w:pPr>
      <w:r>
        <w:t>3. 总体能力设计</w:t>
      </w:r>
    </w:p>
    <w:p>
      <w:pPr>
        <w:spacing w:after="120"/>
      </w:pPr>
      <w:r>
        <w:t>合同结算模块承担平台经营闭环和业务合规闭环双重职责，既服务项目、场地、单位之间的业务协同，也承接财务入账、合同履约、审批留痕和结算清分等核心管理要求。技术上采用统一前后端分层架构，前端负责界面编排与交互约束，后端负责业务校验、流程编排、数据存储、异步任务和接口开放。</w:t>
      </w:r>
    </w:p>
    <w:p>
      <w:pPr>
        <w:pStyle w:val="Heading2"/>
      </w:pPr>
      <w:r>
        <w:t>4. 功能点技术实现方案</w:t>
      </w:r>
    </w:p>
    <w:p>
      <w:pPr>
        <w:pStyle w:val="Heading3"/>
      </w:pPr>
      <w:r>
        <w:t>4.1 合同清单</w:t>
      </w:r>
    </w:p>
    <w:p>
      <w:pPr>
        <w:spacing w:after="120"/>
      </w:pPr>
      <w:r>
        <w:t>目标能力 建设“合同清单”的标准化服务能力，满足支持合同列表清单查看，可以通过多条件筛选合同清单数据；消纳合同、处置合同、车辆租赁合同、用工人员合同、其他相关合同。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建设单位经办人、施工单位经办人、运输单位经办人、财务人员、审批人员、平台管理员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/api/contracts：承载“合同清单”相关的查询、提交、处理或结果获取能力。</w:t>
      </w:r>
    </w:p>
    <w:p>
      <w:pPr>
        <w:pStyle w:val="ListBullet"/>
        <w:spacing w:after="40"/>
      </w:pPr>
      <w:r>
        <w:t>GET /api/contracts/{id}：承载“合同清单”相关的查询、提交、处理或结果获取能力。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4.2 合同详情</w:t>
      </w:r>
    </w:p>
    <w:p>
      <w:pPr>
        <w:spacing w:after="120"/>
      </w:pPr>
      <w:r>
        <w:t>目标能力 建设“合同详情”的标准化服务能力，满足在合同基础信息页面增加展示合同的审核审批流程、办事材料、历史发票信息以及历史领票记录。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建设单位经办人、施工单位经办人、运输单位经办人、财务人员、审批人员、平台管理员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/api/contracts/{id}：承载“合同详情”相关的查询、提交、处理或结果获取能力。</w:t>
      </w:r>
    </w:p>
    <w:p>
      <w:pPr>
        <w:pStyle w:val="ListBullet"/>
        <w:spacing w:after="40"/>
      </w:pPr>
      <w:r>
        <w:t>GET /api/contracts/{id}/timeline：承载“合同详情”相关的查询、提交、处理或结果获取能力。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4.3 合同入账</w:t>
      </w:r>
    </w:p>
    <w:p>
      <w:pPr>
        <w:spacing w:after="120"/>
      </w:pPr>
      <w:r>
        <w:t>目标能力 建设“合同入账”的标准化服务能力，满足支持合同的入账确认，同时支持一个合同的分次入账确认的业务目标，并为后续审批、预警、统计、移动端和第三方联动提供统一接口支撑。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建设单位经办人、施工单位经办人、运输单位经办人、财务人员、审批人员、平台管理员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/api/contracts：承载“合同入账”相关的查询、提交、处理或结果获取能力。</w:t>
      </w:r>
    </w:p>
    <w:p>
      <w:pPr>
        <w:pStyle w:val="ListBullet"/>
        <w:spacing w:after="40"/>
      </w:pPr>
      <w:r>
        <w:t>POST /api/contracts：承载“合同入账”相关的查询、提交、处理或结果获取能力。</w:t>
      </w:r>
    </w:p>
    <w:p>
      <w:pPr>
        <w:pStyle w:val="ListBullet"/>
        <w:spacing w:after="40"/>
      </w:pPr>
      <w:r>
        <w:t>PUT /api/contracts/{id}：承载“合同入账”相关的查询、提交、处理或结果获取能力。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4.4 合同导出</w:t>
      </w:r>
    </w:p>
    <w:p>
      <w:pPr>
        <w:spacing w:after="120"/>
      </w:pPr>
      <w:r>
        <w:t>目标能力 建设“合同导出”的标准化服务能力，满足支持平台合同数据按照筛选条件导出的业务目标，并为后续审批、预警、统计、移动端和第三方联动提供统一接口支撑。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建设单位经办人、施工单位经办人、运输单位经办人、财务人员、审批人员、平台管理员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POST /api/contracts/export：承载“合同导出”相关的查询、提交、处理或结果获取能力。</w:t>
      </w:r>
    </w:p>
    <w:p>
      <w:pPr>
        <w:pStyle w:val="ListBullet"/>
        <w:spacing w:after="40"/>
      </w:pPr>
      <w:r>
        <w:t>GET /api/export-tasks/{taskId}：承载“合同导出”相关的查询、提交、处理或结果获取能力。</w:t>
      </w:r>
    </w:p>
    <w:p>
      <w:pPr>
        <w:pStyle w:val="ListBullet"/>
        <w:spacing w:after="40"/>
      </w:pPr>
      <w:r>
        <w:t>GET /api/export-tasks/{taskId}/download：承载“合同导出”相关的查询、提交、处理或结果获取能力。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pStyle w:val="ListBullet"/>
        <w:spacing w:after="40"/>
      </w:pPr>
      <w:r>
        <w:t>文件批处理失败时需保留批次、失败明细和可重新执行入口。</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4.5 合同导入</w:t>
      </w:r>
    </w:p>
    <w:p>
      <w:pPr>
        <w:spacing w:after="120"/>
      </w:pPr>
      <w:r>
        <w:t>目标能力 建设“合同导入”的标准化服务能力，满足支持历史合同数据的批量添加的业务目标，并为后续审批、预警、统计、移动端和第三方联动提供统一接口支撑。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建设单位经办人、施工单位经办人、运输单位经办人、财务人员、审批人员、平台管理员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POST /api/contracts/import-preview：承载“合同导入”相关的查询、提交、处理或结果获取能力。</w:t>
      </w:r>
    </w:p>
    <w:p>
      <w:pPr>
        <w:pStyle w:val="ListBullet"/>
        <w:spacing w:after="40"/>
      </w:pPr>
      <w:r>
        <w:t>POST /api/contracts/import-commit：承载“合同导入”相关的查询、提交、处理或结果获取能力。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pStyle w:val="ListBullet"/>
        <w:spacing w:after="40"/>
      </w:pPr>
      <w:r>
        <w:t>文件批处理失败时需保留批次、失败明细和可重新执行入口。</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4.6 线下合同录入</w:t>
      </w:r>
    </w:p>
    <w:p>
      <w:pPr>
        <w:spacing w:after="120"/>
      </w:pPr>
      <w:r>
        <w:t>目标能力 建设“线下合同录入”的标准化服务能力，满足非在线申请普通合同的登记补录，支持编号、项目名称、单位等信息的录入；实现非在线三方合同信息的登记补录；支持编号、项目名称、三方单位的信息录入与关联；在线合同申请与线下合同补录功能支持同场地，不同区域价格的配置，实现区内单价和区外单价区分计算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建设单位经办人、施工单位经办人、运输单位经办人、财务人员、审批人员、平台管理员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/api/contracts：承载“线下合同录入”相关的查询、提交、处理或结果获取能力。</w:t>
      </w:r>
    </w:p>
    <w:p>
      <w:pPr>
        <w:pStyle w:val="ListBullet"/>
        <w:spacing w:after="40"/>
      </w:pPr>
      <w:r>
        <w:t>POST /api/contracts：承载“线下合同录入”相关的查询、提交、处理或结果获取能力。</w:t>
      </w:r>
    </w:p>
    <w:p>
      <w:pPr>
        <w:pStyle w:val="ListBullet"/>
        <w:spacing w:after="40"/>
      </w:pPr>
      <w:r>
        <w:t>PUT /api/contracts/{id}：承载“线下合同录入”相关的查询、提交、处理或结果获取能力。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4.7 月报统计</w:t>
      </w:r>
    </w:p>
    <w:p>
      <w:pPr>
        <w:spacing w:after="120"/>
      </w:pPr>
      <w:r>
        <w:t>目标能力 建设“月报统计”的标准化服务能力，满足支持日、月、年合同数据的统计计算功能，支持自定义结算日期统计计算功能的业务目标，并为后续审批、预警、统计、移动端和第三方联动提供统一接口支撑。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建设单位经办人、施工单位经办人、运输单位经办人、财务人员、审批人员、平台管理员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/api/contracts/summary：承载“月报统计”相关的查询、提交、处理或结果获取能力。</w:t>
      </w:r>
    </w:p>
    <w:p>
      <w:pPr>
        <w:pStyle w:val="ListBullet"/>
        <w:spacing w:after="40"/>
      </w:pPr>
      <w:r>
        <w:t>GET /api/contracts/trend：承载“月报统计”相关的查询、提交、处理或结果获取能力。</w:t>
      </w:r>
    </w:p>
    <w:p>
      <w:pPr>
        <w:pStyle w:val="ListBullet"/>
        <w:spacing w:after="40"/>
      </w:pPr>
      <w:r>
        <w:t>POST /api/contracts/export：承载“月报统计”相关的查询、提交、处理或结果获取能力。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4.8 单位统计</w:t>
      </w:r>
    </w:p>
    <w:p>
      <w:pPr>
        <w:spacing w:after="120"/>
      </w:pPr>
      <w:r>
        <w:t>目标能力 建设“单位统计”的标准化服务能力，满足支持统计单位的详情数据查看；详情展示单位的项目列表，项目列表可以查看合同明细，并且合同明细要按照消纳场地进行汇总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建设单位经办人、施工单位经办人、运输单位经办人、财务人员、审批人员、平台管理员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/api/contracts/summary：承载“单位统计”相关的查询、提交、处理或结果获取能力。</w:t>
      </w:r>
    </w:p>
    <w:p>
      <w:pPr>
        <w:pStyle w:val="ListBullet"/>
        <w:spacing w:after="40"/>
      </w:pPr>
      <w:r>
        <w:t>GET /api/contracts/trend：承载“单位统计”相关的查询、提交、处理或结果获取能力。</w:t>
      </w:r>
    </w:p>
    <w:p>
      <w:pPr>
        <w:pStyle w:val="ListBullet"/>
        <w:spacing w:after="40"/>
      </w:pPr>
      <w:r>
        <w:t>POST /api/contracts/export：承载“单位统计”相关的查询、提交、处理或结果获取能力。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4.9 合同审批</w:t>
      </w:r>
    </w:p>
    <w:p>
      <w:pPr>
        <w:spacing w:after="120"/>
      </w:pPr>
      <w:r>
        <w:t>目标能力 建设“合同审批”的标准化服务能力，满足支持合同在线审核审批流程，以及合同文书的在线生成的业务目标，并为后续审批、预警、统计、移动端和第三方联动提供统一接口支撑。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建设单位经办人、施工单位经办人、运输单位经办人、财务人员、审批人员、平台管理员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POST /api/contracts/{id}/submit：承载“合同审批”相关的查询、提交、处理或结果获取能力。</w:t>
      </w:r>
    </w:p>
    <w:p>
      <w:pPr>
        <w:pStyle w:val="ListBullet"/>
        <w:spacing w:after="40"/>
      </w:pPr>
      <w:r>
        <w:t>POST /api/contracts/{id}/approve：承载“合同审批”相关的查询、提交、处理或结果获取能力。</w:t>
      </w:r>
    </w:p>
    <w:p>
      <w:pPr>
        <w:pStyle w:val="ListBullet"/>
        <w:spacing w:after="40"/>
      </w:pPr>
      <w:r>
        <w:t>POST /api/contracts/{id}/reject：承载“合同审批”相关的查询、提交、处理或结果获取能力。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4.10 消纳合同发起</w:t>
      </w:r>
    </w:p>
    <w:p>
      <w:pPr>
        <w:spacing w:after="120"/>
      </w:pPr>
      <w:r>
        <w:t>目标能力 建设“消纳合同发起”的标准化服务能力，满足支持渣土消纳合同（正常合同和三方合同）在线申请；审批退回后支持退回原因的填写并告知申请人员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建设单位经办人、施工单位经办人、运输单位经办人、财务人员、审批人员、平台管理员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POST /api/contracts：承载“消纳合同发起”相关的查询、提交、处理或结果获取能力。</w:t>
      </w:r>
    </w:p>
    <w:p>
      <w:pPr>
        <w:pStyle w:val="ListBullet"/>
        <w:spacing w:after="40"/>
      </w:pPr>
      <w:r>
        <w:t>POST /api/contracts/{id}/submit：承载“消纳合同发起”相关的查询、提交、处理或结果获取能力。</w:t>
      </w:r>
    </w:p>
    <w:p>
      <w:pPr>
        <w:pStyle w:val="ListBullet"/>
        <w:spacing w:after="40"/>
      </w:pPr>
      <w:r>
        <w:t>GET /api/contracts/{id}：承载“消纳合同发起”相关的查询、提交、处理或结果获取能力。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4.11 变更合同发起</w:t>
      </w:r>
    </w:p>
    <w:p>
      <w:pPr>
        <w:spacing w:after="120"/>
      </w:pPr>
      <w:r>
        <w:t>目标能力 建设“变更合同发起”的标准化服务能力，满足1.支持渣土消纳合同（正常合同和三方合同）场地变更的在线申请2.场地支持部分方量变更；3.更新场地变更的方量计算方式，变更场地变更运算逻辑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建设单位经办人、施工单位经办人、运输单位经办人、财务人员、审批人员、平台管理员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POST /api/contracts：承载“变更合同发起”相关的查询、提交、处理或结果获取能力。</w:t>
      </w:r>
    </w:p>
    <w:p>
      <w:pPr>
        <w:pStyle w:val="ListBullet"/>
        <w:spacing w:after="40"/>
      </w:pPr>
      <w:r>
        <w:t>POST /api/contracts/{id}/submit：承载“变更合同发起”相关的查询、提交、处理或结果获取能力。</w:t>
      </w:r>
    </w:p>
    <w:p>
      <w:pPr>
        <w:pStyle w:val="ListBullet"/>
        <w:spacing w:after="40"/>
      </w:pPr>
      <w:r>
        <w:t>GET /api/contracts/{id}：承载“变更合同发起”相关的查询、提交、处理或结果获取能力。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4.12 消纳延期</w:t>
      </w:r>
    </w:p>
    <w:p>
      <w:pPr>
        <w:spacing w:after="120"/>
      </w:pPr>
      <w:r>
        <w:t>目标能力 建设“消纳延期”的标准化服务能力，满足支持项目延期单数据的自动统计并生成相应的文书材料的业务目标，并为后续审批、预警、统计、移动端和第三方联动提供统一接口支撑。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建设单位经办人、施工单位经办人、运输单位经办人、财务人员、审批人员、平台管理员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/api/contracts：承载“消纳延期”相关的查询、提交、处理或结果获取能力。</w:t>
      </w:r>
    </w:p>
    <w:p>
      <w:pPr>
        <w:pStyle w:val="ListBullet"/>
        <w:spacing w:after="40"/>
      </w:pPr>
      <w:r>
        <w:t>POST /api/contracts：承载“消纳延期”相关的查询、提交、处理或结果获取能力。</w:t>
      </w:r>
    </w:p>
    <w:p>
      <w:pPr>
        <w:pStyle w:val="ListBullet"/>
        <w:spacing w:after="40"/>
      </w:pPr>
      <w:r>
        <w:t>PUT /api/contracts/{id}：承载“消纳延期”相关的查询、提交、处理或结果获取能力。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4.13 内拨申请</w:t>
      </w:r>
    </w:p>
    <w:p>
      <w:pPr>
        <w:spacing w:after="120"/>
      </w:pPr>
      <w:r>
        <w:t>目标能力 建设“内拨申请”的标准化服务能力，满足支持用户发起短距离的场地间土方的调拨，自主申请的业务目标，并为后续审批、预警、统计、移动端和第三方联动提供统一接口支撑。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建设单位经办人、施工单位经办人、运输单位经办人、财务人员、审批人员、平台管理员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POST /api/contracts：承载“内拨申请”相关的查询、提交、处理或结果获取能力。</w:t>
      </w:r>
    </w:p>
    <w:p>
      <w:pPr>
        <w:pStyle w:val="ListBullet"/>
        <w:spacing w:after="40"/>
      </w:pPr>
      <w:r>
        <w:t>POST /api/contracts/{id}/submit：承载“内拨申请”相关的查询、提交、处理或结果获取能力。</w:t>
      </w:r>
    </w:p>
    <w:p>
      <w:pPr>
        <w:pStyle w:val="ListBullet"/>
        <w:spacing w:after="40"/>
      </w:pPr>
      <w:r>
        <w:t>GET /api/contracts/{id}：承载“内拨申请”相关的查询、提交、处理或结果获取能力。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4.14 项目结算</w:t>
      </w:r>
    </w:p>
    <w:p>
      <w:pPr>
        <w:spacing w:after="120"/>
      </w:pPr>
      <w:r>
        <w:t>目标能力 建设“项目结算”的标准化服务能力，满足支持项目的结算，可以按照关联的合同进行汇总展示，并进行消纳数据的结算的业务目标，并为后续审批、预警、统计、移动端和第三方联动提供统一接口支撑。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建设单位经办人、施工单位经办人、运输单位经办人、财务人员、审批人员、平台管理员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/api/contracts：承载“项目结算”相关的查询、提交、处理或结果获取能力。</w:t>
      </w:r>
    </w:p>
    <w:p>
      <w:pPr>
        <w:pStyle w:val="ListBullet"/>
        <w:spacing w:after="40"/>
      </w:pPr>
      <w:r>
        <w:t>POST /api/contracts：承载“项目结算”相关的查询、提交、处理或结果获取能力。</w:t>
      </w:r>
    </w:p>
    <w:p>
      <w:pPr>
        <w:pStyle w:val="ListBullet"/>
        <w:spacing w:after="40"/>
      </w:pPr>
      <w:r>
        <w:t>PUT /api/contracts/{id}：承载“项目结算”相关的查询、提交、处理或结果获取能力。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4.15 场地结算</w:t>
      </w:r>
    </w:p>
    <w:p>
      <w:pPr>
        <w:spacing w:after="120"/>
      </w:pPr>
      <w:r>
        <w:t>目标能力 建设“场地结算”的标准化服务能力，满足支持场地的结算，可以按照关联的合同进行汇总展示，并进行消纳数据的结算的业务目标，并为后续审批、预警、统计、移动端和第三方联动提供统一接口支撑。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建设单位经办人、施工单位经办人、运输单位经办人、财务人员、审批人员、平台管理员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/api/contracts：承载“场地结算”相关的查询、提交、处理或结果获取能力。</w:t>
      </w:r>
    </w:p>
    <w:p>
      <w:pPr>
        <w:pStyle w:val="ListBullet"/>
        <w:spacing w:after="40"/>
      </w:pPr>
      <w:r>
        <w:t>POST /api/contracts：承载“场地结算”相关的查询、提交、处理或结果获取能力。</w:t>
      </w:r>
    </w:p>
    <w:p>
      <w:pPr>
        <w:pStyle w:val="ListBullet"/>
        <w:spacing w:after="40"/>
      </w:pPr>
      <w:r>
        <w:t>PUT /api/contracts/{id}：承载“场地结算”相关的查询、提交、处理或结果获取能力。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2"/>
      </w:pPr>
      <w:r>
        <w:t>5. 核心数据对象设计</w:t>
      </w:r>
    </w:p>
    <w:p>
      <w:pPr>
        <w:pStyle w:val="ListBullet"/>
        <w:spacing w:after="40"/>
      </w:pPr>
      <w:r>
        <w:t>合同主档 Contract</w:t>
      </w:r>
    </w:p>
    <w:p>
      <w:pPr>
        <w:pStyle w:val="ListBullet"/>
        <w:spacing w:after="40"/>
      </w:pPr>
      <w:r>
        <w:t>合同审批记录 ContractApproval</w:t>
      </w:r>
    </w:p>
    <w:p>
      <w:pPr>
        <w:pStyle w:val="ListBullet"/>
        <w:spacing w:after="40"/>
      </w:pPr>
      <w:r>
        <w:t>合同入账记录 ContractReceipt</w:t>
      </w:r>
    </w:p>
    <w:p>
      <w:pPr>
        <w:pStyle w:val="ListBullet"/>
        <w:spacing w:after="40"/>
      </w:pPr>
      <w:r>
        <w:t>合同变更单 ContractChange</w:t>
      </w:r>
    </w:p>
    <w:p>
      <w:pPr>
        <w:pStyle w:val="ListBullet"/>
        <w:spacing w:after="40"/>
      </w:pPr>
      <w:r>
        <w:t>合同延期单 ContractDelay</w:t>
      </w:r>
    </w:p>
    <w:p>
      <w:pPr>
        <w:pStyle w:val="ListBullet"/>
        <w:spacing w:after="40"/>
      </w:pPr>
      <w:r>
        <w:t>项目结算单 ProjectSettlement</w:t>
      </w:r>
    </w:p>
    <w:p>
      <w:pPr>
        <w:pStyle w:val="ListBullet"/>
        <w:spacing w:after="40"/>
      </w:pPr>
      <w:r>
        <w:t>场地结算单 SiteSettlement</w:t>
      </w:r>
    </w:p>
    <w:p>
      <w:pPr>
        <w:pStyle w:val="Heading2"/>
      </w:pPr>
      <w:r>
        <w:t>6. 业务接口设计</w:t>
      </w:r>
    </w:p>
    <w:p>
      <w:pPr>
        <w:pStyle w:val="ListBullet"/>
        <w:spacing w:after="40"/>
      </w:pPr>
      <w:r>
        <w:t>统一接口前缀建议采用 /api/contracts 或对应移动端、专项前缀，实现前后端接口分层清晰。</w:t>
      </w:r>
    </w:p>
    <w:p>
      <w:pPr>
        <w:pStyle w:val="ListBullet"/>
        <w:spacing w:after="40"/>
      </w:pPr>
      <w:r>
        <w:t>查询类接口支持分页、排序、条件过滤、字典翻译和状态聚合。</w:t>
      </w:r>
    </w:p>
    <w:p>
      <w:pPr>
        <w:pStyle w:val="ListBullet"/>
        <w:spacing w:after="40"/>
      </w:pPr>
      <w:r>
        <w:t>变更类接口支持幂等控制、状态校验、附件提交、审批提交流程和消息触发。</w:t>
      </w:r>
    </w:p>
    <w:p>
      <w:pPr>
        <w:pStyle w:val="Heading2"/>
      </w:pPr>
      <w:r>
        <w:t>7. 业务流程设计</w:t>
      </w:r>
    </w:p>
    <w:p>
      <w:pPr>
        <w:pStyle w:val="ListBullet"/>
        <w:spacing w:after="40"/>
      </w:pPr>
      <w:r>
        <w:t>业务流程统一遵循“发起/采集 -&gt; 校验 -&gt; 提交/处理 -&gt; 审批/同步 -&gt; 结果回写 -&gt; 留痕/通知”的流程骨架。</w:t>
      </w:r>
    </w:p>
    <w:p>
      <w:pPr>
        <w:pStyle w:val="ListBullet"/>
        <w:spacing w:after="40"/>
      </w:pPr>
      <w:r>
        <w:t>涉及统计、导出、同步、报表和预警生成的场景，采用异步任务和批处理机制降低接口阻塞风险。</w:t>
      </w:r>
    </w:p>
    <w:p>
      <w:pPr>
        <w:pStyle w:val="Heading2"/>
      </w:pPr>
      <w:r>
        <w:t>8. 权限与数据范围控制</w:t>
      </w:r>
    </w:p>
    <w:p>
      <w:pPr>
        <w:pStyle w:val="ListBullet"/>
        <w:spacing w:after="40"/>
      </w:pPr>
      <w:r>
        <w:t>统一接入组织、用户、角色和数据范围控制体系，按单位、项目、场地、车辆、合同等维度裁剪数据可见范围。</w:t>
      </w:r>
    </w:p>
    <w:p>
      <w:pPr>
        <w:pStyle w:val="ListBullet"/>
        <w:spacing w:after="40"/>
      </w:pPr>
      <w:r>
        <w:t>移动端、第三方接口和后台接口均需绑定独立的身份凭据和访问授权。</w:t>
      </w:r>
    </w:p>
    <w:p>
      <w:pPr>
        <w:pStyle w:val="Heading2"/>
      </w:pPr>
      <w:r>
        <w:t>9. 异常处理与补偿机制</w:t>
      </w:r>
    </w:p>
    <w:p>
      <w:pPr>
        <w:pStyle w:val="ListBullet"/>
        <w:spacing w:after="40"/>
      </w:pPr>
      <w:r>
        <w:t>关键接口统一返回错误码、错误信息、追踪编号和建议处理方式。</w:t>
      </w:r>
    </w:p>
    <w:p>
      <w:pPr>
        <w:pStyle w:val="ListBullet"/>
        <w:spacing w:after="40"/>
      </w:pPr>
      <w:r>
        <w:t>异步任务支持失败重试、批次追踪、人工补录、对账补偿和回滚控制。</w:t>
      </w:r>
    </w:p>
    <w:p>
      <w:pPr>
        <w:pStyle w:val="Heading2"/>
      </w:pPr>
      <w:r>
        <w:t>10. 日志审计与追溯要求</w:t>
      </w:r>
    </w:p>
    <w:p>
      <w:pPr>
        <w:pStyle w:val="ListBullet"/>
        <w:spacing w:after="40"/>
      </w:pPr>
      <w:r>
        <w:t>记录接口访问日志、业务操作日志、审批日志、同步日志、错误日志和消息推送回执。</w:t>
      </w:r>
    </w:p>
    <w:p>
      <w:pPr>
        <w:pStyle w:val="ListBullet"/>
        <w:spacing w:after="40"/>
      </w:pPr>
      <w:r>
        <w:t>关键业务对象支持按单号、主键、批次号、外部编码追溯全链路处理过程。</w:t>
      </w:r>
    </w:p>
    <w:p>
      <w:pPr>
        <w:pStyle w:val="Heading2"/>
      </w:pPr>
      <w:r>
        <w:t>11. 与第三方或其他模块协同方式</w:t>
      </w:r>
    </w:p>
    <w:p>
      <w:pPr>
        <w:pStyle w:val="ListBullet"/>
        <w:spacing w:after="40"/>
      </w:pPr>
      <w:r>
        <w:t>与组织权限体系协同实现统一身份和数据授权。</w:t>
      </w:r>
    </w:p>
    <w:p>
      <w:pPr>
        <w:pStyle w:val="ListBullet"/>
        <w:spacing w:after="40"/>
      </w:pPr>
      <w:r>
        <w:t>与审批配置、消息中心、日志中心协同实现流程驱动、消息触达和可审计治理。</w:t>
      </w:r>
    </w:p>
    <w:p>
      <w:pPr>
        <w:pStyle w:val="ListBullet"/>
        <w:spacing w:after="40"/>
      </w:pPr>
      <w:r>
        <w:t>与平台对接、小程序、统计分析、数据看板协同实现跨平台数据共享和能力复用。</w:t>
      </w:r>
    </w:p>
    <w:p>
      <w:pPr>
        <w:pStyle w:val="Heading2"/>
      </w:pPr>
      <w:r>
        <w:t>12. 性能与扩展性要求</w:t>
      </w:r>
    </w:p>
    <w:p>
      <w:pPr>
        <w:pStyle w:val="ListBullet"/>
        <w:spacing w:after="40"/>
      </w:pPr>
      <w:r>
        <w:t>列表和报表需支持分页、条件索引、聚合优化和异步导出。</w:t>
      </w:r>
    </w:p>
    <w:p>
      <w:pPr>
        <w:pStyle w:val="ListBullet"/>
        <w:spacing w:after="40"/>
      </w:pPr>
      <w:r>
        <w:t>地图、轨迹、视频、地磅、同步日志等大体量数据建议分表、归档或采用冷热分层策略。</w:t>
      </w:r>
    </w:p>
    <w:p>
      <w:pPr>
        <w:pStyle w:val="Heading2"/>
      </w:pPr>
      <w:r>
        <w:t>13. 本模块交付说明</w:t>
      </w:r>
    </w:p>
    <w:p>
      <w:pPr>
        <w:spacing w:after="120"/>
      </w:pPr>
      <w:r>
        <w:t>合同结算模块应作为独立可交付能力建设，既满足甲方当前招标要求，也为后续扩展第三方对接、移动端深化、规则引擎和经营分析能力保留扩展接口。</w:t>
      </w:r>
    </w:p>
    <w:p>
      <w:pPr>
        <w:sectPr>
          <w:pgSz w:w="12240" w:h="15840"/>
          <w:pgMar w:top="1440" w:right="1587" w:bottom="1440" w:left="1587" w:header="720" w:footer="720" w:gutter="0"/>
          <w:cols w:space="720"/>
          <w:docGrid w:linePitch="360"/>
        </w:sectPr>
      </w:pPr>
    </w:p>
    <w:p>
      <w:pPr>
        <w:pStyle w:val="Heading1"/>
      </w:pPr>
      <w:r>
        <w:t>单位管理技术方案</w:t>
      </w:r>
    </w:p>
    <w:p>
      <w:pPr>
        <w:pStyle w:val="Heading2"/>
      </w:pPr>
      <w:r>
        <w:t>1. 模块建设目标</w:t>
      </w:r>
    </w:p>
    <w:p>
      <w:pPr>
        <w:spacing w:after="120"/>
      </w:pPr>
      <w:r>
        <w:t>建立建设单位、施工单位、运输单位一体化主数据中心。</w:t>
      </w:r>
    </w:p>
    <w:p>
      <w:pPr>
        <w:pStyle w:val="Heading2"/>
      </w:pPr>
      <w:r>
        <w:t>2. 模块技术范围</w:t>
      </w:r>
    </w:p>
    <w:p>
      <w:pPr>
        <w:spacing w:after="120"/>
      </w:pPr>
      <w:r>
        <w:t>单位管理模块技术范围覆盖前端页面、后台接口、业务服务、数据模型、审批联动、消息通知、日志审计、导入导出、移动端或第三方对接等能力。</w:t>
      </w:r>
    </w:p>
    <w:p>
      <w:pPr>
        <w:pStyle w:val="Heading2"/>
      </w:pPr>
      <w:r>
        <w:t>3. 总体能力设计</w:t>
      </w:r>
    </w:p>
    <w:p>
      <w:pPr>
        <w:spacing w:after="120"/>
      </w:pPr>
      <w:r>
        <w:t>单位管理模块是项目、合同、车辆、人员等业务对象的组织基础，负责统一维护业务单位身份、资质属性、关联关系和统计口径。技术上采用统一前后端分层架构，前端负责界面编排与交互约束，后端负责业务校验、流程编排、数据存储、异步任务和接口开放。</w:t>
      </w:r>
    </w:p>
    <w:p>
      <w:pPr>
        <w:pStyle w:val="Heading2"/>
      </w:pPr>
      <w:r>
        <w:t>4. 功能点技术实现方案</w:t>
      </w:r>
    </w:p>
    <w:p>
      <w:pPr>
        <w:pStyle w:val="Heading3"/>
      </w:pPr>
      <w:r>
        <w:t>4.1 单位管理</w:t>
      </w:r>
    </w:p>
    <w:p>
      <w:pPr>
        <w:spacing w:after="120"/>
      </w:pPr>
      <w:r>
        <w:t>目标能力 建设“单位管理”的标准化服务能力，满足支持所有单位信息汇总展示功能，即系统可将建设单位、施工单位、运输单位均可以作为出土单位进行使用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平台管理员、单位管理员、业务主管、数据维护人员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/api/units：承载“单位管理”相关的查询、提交、处理或结果获取能力。</w:t>
      </w:r>
    </w:p>
    <w:p>
      <w:pPr>
        <w:pStyle w:val="ListBullet"/>
        <w:spacing w:after="40"/>
      </w:pPr>
      <w:r>
        <w:t>GET /api/units/{id}：承载“单位管理”相关的查询、提交、处理或结果获取能力。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4.2 建设单位</w:t>
      </w:r>
    </w:p>
    <w:p>
      <w:pPr>
        <w:spacing w:after="120"/>
      </w:pPr>
      <w:r>
        <w:t>目标能力 建设“建设单位”的标准化服务能力，满足支持对建设单位进行维护管理功能的业务目标，并为后续审批、预警、统计、移动端和第三方联动提供统一接口支撑。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平台管理员、单位管理员、业务主管、数据维护人员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/api/units：承载“建设单位”相关的查询、提交、处理或结果获取能力。</w:t>
      </w:r>
    </w:p>
    <w:p>
      <w:pPr>
        <w:pStyle w:val="ListBullet"/>
        <w:spacing w:after="40"/>
      </w:pPr>
      <w:r>
        <w:t>POST /api/units：承载“建设单位”相关的查询、提交、处理或结果获取能力。</w:t>
      </w:r>
    </w:p>
    <w:p>
      <w:pPr>
        <w:pStyle w:val="ListBullet"/>
        <w:spacing w:after="40"/>
      </w:pPr>
      <w:r>
        <w:t>PUT /api/units/{id}：承载“建设单位”相关的查询、提交、处理或结果获取能力。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4.3 施工单位</w:t>
      </w:r>
    </w:p>
    <w:p>
      <w:pPr>
        <w:spacing w:after="120"/>
      </w:pPr>
      <w:r>
        <w:t>目标能力 建设“施工单位”的标准化服务能力，满足支持对施工单位进行维护管理功能的业务目标，并为后续审批、预警、统计、移动端和第三方联动提供统一接口支撑。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平台管理员、单位管理员、业务主管、数据维护人员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/api/units：承载“施工单位”相关的查询、提交、处理或结果获取能力。</w:t>
      </w:r>
    </w:p>
    <w:p>
      <w:pPr>
        <w:pStyle w:val="ListBullet"/>
        <w:spacing w:after="40"/>
      </w:pPr>
      <w:r>
        <w:t>POST /api/units：承载“施工单位”相关的查询、提交、处理或结果获取能力。</w:t>
      </w:r>
    </w:p>
    <w:p>
      <w:pPr>
        <w:pStyle w:val="ListBullet"/>
        <w:spacing w:after="40"/>
      </w:pPr>
      <w:r>
        <w:t>PUT /api/units/{id}：承载“施工单位”相关的查询、提交、处理或结果获取能力。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4.4 运输单位</w:t>
      </w:r>
    </w:p>
    <w:p>
      <w:pPr>
        <w:spacing w:after="120"/>
      </w:pPr>
      <w:r>
        <w:t>目标能力 建设“运输单位”的标准化服务能力，满足支持对运输单位进行维护管理功能；同时支持对运输单位下的车辆进行管理功能的业务目标，并为后续审批、预警、统计、移动端和第三方联动提供统一接口支撑。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平台管理员、单位管理员、业务主管、数据维护人员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/api/units：承载“运输单位”相关的查询、提交、处理或结果获取能力。</w:t>
      </w:r>
    </w:p>
    <w:p>
      <w:pPr>
        <w:pStyle w:val="ListBullet"/>
        <w:spacing w:after="40"/>
      </w:pPr>
      <w:r>
        <w:t>POST /api/units：承载“运输单位”相关的查询、提交、处理或结果获取能力。</w:t>
      </w:r>
    </w:p>
    <w:p>
      <w:pPr>
        <w:pStyle w:val="ListBullet"/>
        <w:spacing w:after="40"/>
      </w:pPr>
      <w:r>
        <w:t>PUT /api/units/{id}：承载“运输单位”相关的查询、提交、处理或结果获取能力。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2"/>
      </w:pPr>
      <w:r>
        <w:t>5. 核心数据对象设计</w:t>
      </w:r>
    </w:p>
    <w:p>
      <w:pPr>
        <w:pStyle w:val="ListBullet"/>
        <w:spacing w:after="40"/>
      </w:pPr>
      <w:r>
        <w:t>单位主档 Unit</w:t>
      </w:r>
    </w:p>
    <w:p>
      <w:pPr>
        <w:pStyle w:val="ListBullet"/>
        <w:spacing w:after="40"/>
      </w:pPr>
      <w:r>
        <w:t>单位类型 UnitCategory</w:t>
      </w:r>
    </w:p>
    <w:p>
      <w:pPr>
        <w:pStyle w:val="ListBullet"/>
        <w:spacing w:after="40"/>
      </w:pPr>
      <w:r>
        <w:t>单位联系人 UnitContact</w:t>
      </w:r>
    </w:p>
    <w:p>
      <w:pPr>
        <w:pStyle w:val="ListBullet"/>
        <w:spacing w:after="40"/>
      </w:pPr>
      <w:r>
        <w:t>单位项目关联 UnitProjectRel</w:t>
      </w:r>
    </w:p>
    <w:p>
      <w:pPr>
        <w:pStyle w:val="ListBullet"/>
        <w:spacing w:after="40"/>
      </w:pPr>
      <w:r>
        <w:t>单位车辆关联 UnitVehicleRel</w:t>
      </w:r>
    </w:p>
    <w:p>
      <w:pPr>
        <w:pStyle w:val="Heading2"/>
      </w:pPr>
      <w:r>
        <w:t>6. 业务接口设计</w:t>
      </w:r>
    </w:p>
    <w:p>
      <w:pPr>
        <w:pStyle w:val="ListBullet"/>
        <w:spacing w:after="40"/>
      </w:pPr>
      <w:r>
        <w:t>统一接口前缀建议采用 /api/units 或对应移动端、专项前缀，实现前后端接口分层清晰。</w:t>
      </w:r>
    </w:p>
    <w:p>
      <w:pPr>
        <w:pStyle w:val="ListBullet"/>
        <w:spacing w:after="40"/>
      </w:pPr>
      <w:r>
        <w:t>查询类接口支持分页、排序、条件过滤、字典翻译和状态聚合。</w:t>
      </w:r>
    </w:p>
    <w:p>
      <w:pPr>
        <w:pStyle w:val="ListBullet"/>
        <w:spacing w:after="40"/>
      </w:pPr>
      <w:r>
        <w:t>变更类接口支持幂等控制、状态校验、附件提交、审批提交流程和消息触发。</w:t>
      </w:r>
    </w:p>
    <w:p>
      <w:pPr>
        <w:pStyle w:val="Heading2"/>
      </w:pPr>
      <w:r>
        <w:t>7. 业务流程设计</w:t>
      </w:r>
    </w:p>
    <w:p>
      <w:pPr>
        <w:pStyle w:val="ListBullet"/>
        <w:spacing w:after="40"/>
      </w:pPr>
      <w:r>
        <w:t>业务流程统一遵循“发起/采集 -&gt; 校验 -&gt; 提交/处理 -&gt; 审批/同步 -&gt; 结果回写 -&gt; 留痕/通知”的流程骨架。</w:t>
      </w:r>
    </w:p>
    <w:p>
      <w:pPr>
        <w:pStyle w:val="ListBullet"/>
        <w:spacing w:after="40"/>
      </w:pPr>
      <w:r>
        <w:t>涉及统计、导出、同步、报表和预警生成的场景，采用异步任务和批处理机制降低接口阻塞风险。</w:t>
      </w:r>
    </w:p>
    <w:p>
      <w:pPr>
        <w:pStyle w:val="Heading2"/>
      </w:pPr>
      <w:r>
        <w:t>8. 权限与数据范围控制</w:t>
      </w:r>
    </w:p>
    <w:p>
      <w:pPr>
        <w:pStyle w:val="ListBullet"/>
        <w:spacing w:after="40"/>
      </w:pPr>
      <w:r>
        <w:t>统一接入组织、用户、角色和数据范围控制体系，按单位、项目、场地、车辆、合同等维度裁剪数据可见范围。</w:t>
      </w:r>
    </w:p>
    <w:p>
      <w:pPr>
        <w:pStyle w:val="ListBullet"/>
        <w:spacing w:after="40"/>
      </w:pPr>
      <w:r>
        <w:t>移动端、第三方接口和后台接口均需绑定独立的身份凭据和访问授权。</w:t>
      </w:r>
    </w:p>
    <w:p>
      <w:pPr>
        <w:pStyle w:val="Heading2"/>
      </w:pPr>
      <w:r>
        <w:t>9. 异常处理与补偿机制</w:t>
      </w:r>
    </w:p>
    <w:p>
      <w:pPr>
        <w:pStyle w:val="ListBullet"/>
        <w:spacing w:after="40"/>
      </w:pPr>
      <w:r>
        <w:t>关键接口统一返回错误码、错误信息、追踪编号和建议处理方式。</w:t>
      </w:r>
    </w:p>
    <w:p>
      <w:pPr>
        <w:pStyle w:val="ListBullet"/>
        <w:spacing w:after="40"/>
      </w:pPr>
      <w:r>
        <w:t>异步任务支持失败重试、批次追踪、人工补录、对账补偿和回滚控制。</w:t>
      </w:r>
    </w:p>
    <w:p>
      <w:pPr>
        <w:pStyle w:val="Heading2"/>
      </w:pPr>
      <w:r>
        <w:t>10. 日志审计与追溯要求</w:t>
      </w:r>
    </w:p>
    <w:p>
      <w:pPr>
        <w:pStyle w:val="ListBullet"/>
        <w:spacing w:after="40"/>
      </w:pPr>
      <w:r>
        <w:t>记录接口访问日志、业务操作日志、审批日志、同步日志、错误日志和消息推送回执。</w:t>
      </w:r>
    </w:p>
    <w:p>
      <w:pPr>
        <w:pStyle w:val="ListBullet"/>
        <w:spacing w:after="40"/>
      </w:pPr>
      <w:r>
        <w:t>关键业务对象支持按单号、主键、批次号、外部编码追溯全链路处理过程。</w:t>
      </w:r>
    </w:p>
    <w:p>
      <w:pPr>
        <w:pStyle w:val="Heading2"/>
      </w:pPr>
      <w:r>
        <w:t>11. 与第三方或其他模块协同方式</w:t>
      </w:r>
    </w:p>
    <w:p>
      <w:pPr>
        <w:pStyle w:val="ListBullet"/>
        <w:spacing w:after="40"/>
      </w:pPr>
      <w:r>
        <w:t>与组织权限体系协同实现统一身份和数据授权。</w:t>
      </w:r>
    </w:p>
    <w:p>
      <w:pPr>
        <w:pStyle w:val="ListBullet"/>
        <w:spacing w:after="40"/>
      </w:pPr>
      <w:r>
        <w:t>与审批配置、消息中心、日志中心协同实现流程驱动、消息触达和可审计治理。</w:t>
      </w:r>
    </w:p>
    <w:p>
      <w:pPr>
        <w:pStyle w:val="ListBullet"/>
        <w:spacing w:after="40"/>
      </w:pPr>
      <w:r>
        <w:t>与平台对接、小程序、统计分析、数据看板协同实现跨平台数据共享和能力复用。</w:t>
      </w:r>
    </w:p>
    <w:p>
      <w:pPr>
        <w:pStyle w:val="Heading2"/>
      </w:pPr>
      <w:r>
        <w:t>12. 性能与扩展性要求</w:t>
      </w:r>
    </w:p>
    <w:p>
      <w:pPr>
        <w:pStyle w:val="ListBullet"/>
        <w:spacing w:after="40"/>
      </w:pPr>
      <w:r>
        <w:t>列表和报表需支持分页、条件索引、聚合优化和异步导出。</w:t>
      </w:r>
    </w:p>
    <w:p>
      <w:pPr>
        <w:pStyle w:val="ListBullet"/>
        <w:spacing w:after="40"/>
      </w:pPr>
      <w:r>
        <w:t>地图、轨迹、视频、地磅、同步日志等大体量数据建议分表、归档或采用冷热分层策略。</w:t>
      </w:r>
    </w:p>
    <w:p>
      <w:pPr>
        <w:pStyle w:val="Heading2"/>
      </w:pPr>
      <w:r>
        <w:t>13. 本模块交付说明</w:t>
      </w:r>
    </w:p>
    <w:p>
      <w:pPr>
        <w:spacing w:after="120"/>
      </w:pPr>
      <w:r>
        <w:t>单位管理模块应作为独立可交付能力建设，既满足甲方当前招标要求，也为后续扩展第三方对接、移动端深化、规则引擎和经营分析能力保留扩展接口。</w:t>
      </w:r>
    </w:p>
    <w:p>
      <w:pPr>
        <w:sectPr>
          <w:pgSz w:w="12240" w:h="15840"/>
          <w:pgMar w:top="1440" w:right="1587" w:bottom="1440" w:left="1587" w:header="720" w:footer="720" w:gutter="0"/>
          <w:cols w:space="720"/>
          <w:docGrid w:linePitch="360"/>
        </w:sectPr>
      </w:pPr>
    </w:p>
    <w:p>
      <w:pPr>
        <w:pStyle w:val="Heading1"/>
      </w:pPr>
      <w:r>
        <w:t>项目管理技术方案</w:t>
      </w:r>
    </w:p>
    <w:p>
      <w:pPr>
        <w:pStyle w:val="Heading2"/>
      </w:pPr>
      <w:r>
        <w:t>1. 模块建设目标</w:t>
      </w:r>
    </w:p>
    <w:p>
      <w:pPr>
        <w:spacing w:after="120"/>
      </w:pPr>
      <w:r>
        <w:t>建立从项目立项、消纳配置、处置证绑定、报表统计到项目结算的全流程管理能力。</w:t>
      </w:r>
    </w:p>
    <w:p>
      <w:pPr>
        <w:pStyle w:val="Heading2"/>
      </w:pPr>
      <w:r>
        <w:t>2. 模块技术范围</w:t>
      </w:r>
    </w:p>
    <w:p>
      <w:pPr>
        <w:spacing w:after="120"/>
      </w:pPr>
      <w:r>
        <w:t>项目管理模块技术范围覆盖前端页面、后台接口、业务服务、数据模型、审批联动、消息通知、日志审计、导入导出、移动端或第三方对接等能力。</w:t>
      </w:r>
    </w:p>
    <w:p>
      <w:pPr>
        <w:pStyle w:val="Heading2"/>
      </w:pPr>
      <w:r>
        <w:t>3. 总体能力设计</w:t>
      </w:r>
    </w:p>
    <w:p>
      <w:pPr>
        <w:spacing w:after="120"/>
      </w:pPr>
      <w:r>
        <w:t>项目管理是平台串联出土、运输、消纳、监管的核心业务枢纽，负责组织项目清单、场地关系、线路规则、打卡控制、处置证挂接和项目级经营分析。技术上采用统一前后端分层架构，前端负责界面编排与交互约束，后端负责业务校验、流程编排、数据存储、异步任务和接口开放。</w:t>
      </w:r>
    </w:p>
    <w:p>
      <w:pPr>
        <w:pStyle w:val="Heading2"/>
      </w:pPr>
      <w:r>
        <w:t>4. 功能点技术实现方案</w:t>
      </w:r>
    </w:p>
    <w:p>
      <w:pPr>
        <w:pStyle w:val="Heading3"/>
      </w:pPr>
      <w:r>
        <w:t>4.1 项目清单</w:t>
      </w:r>
    </w:p>
    <w:p>
      <w:pPr>
        <w:spacing w:after="120"/>
      </w:pPr>
      <w:r>
        <w:t>目标能力 建设“项目清单”的标准化服务能力，满足支持项目列表清单查看，可以通过多条件筛选合同清单数据的业务目标，并为后续审批、预警、统计、移动端和第三方联动提供统一接口支撑。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项目经理、建设单位经办人、施工单位经办人、运输单位经办人、执法人员、平台运营人员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/api/projects：承载“项目清单”相关的查询、提交、处理或结果获取能力。</w:t>
      </w:r>
    </w:p>
    <w:p>
      <w:pPr>
        <w:pStyle w:val="ListBullet"/>
        <w:spacing w:after="40"/>
      </w:pPr>
      <w:r>
        <w:t>GET /api/projects/{id}：承载“项目清单”相关的查询、提交、处理或结果获取能力。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4.2 交款数据</w:t>
      </w:r>
    </w:p>
    <w:p>
      <w:pPr>
        <w:spacing w:after="120"/>
      </w:pPr>
      <w:r>
        <w:t>目标能力 建设“交款数据”的标准化服务能力，满足支持项目的交款数据维护管理功能，可以按照场地以及场地下关联的合同进行汇总展示，并进行消纳数据的结算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项目经理、建设单位经办人、施工单位经办人、运输单位经办人、执法人员、平台运营人员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/api/projects：承载“交款数据”相关的查询、提交、处理或结果获取能力。</w:t>
      </w:r>
    </w:p>
    <w:p>
      <w:pPr>
        <w:pStyle w:val="ListBullet"/>
        <w:spacing w:after="40"/>
      </w:pPr>
      <w:r>
        <w:t>POST /api/projects：承载“交款数据”相关的查询、提交、处理或结果获取能力。</w:t>
      </w:r>
    </w:p>
    <w:p>
      <w:pPr>
        <w:pStyle w:val="ListBullet"/>
        <w:spacing w:after="40"/>
      </w:pPr>
      <w:r>
        <w:t>PUT /api/projects/{id}：承载“交款数据”相关的查询、提交、处理或结果获取能力。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4.3 合同清单</w:t>
      </w:r>
    </w:p>
    <w:p>
      <w:pPr>
        <w:spacing w:after="120"/>
      </w:pPr>
      <w:r>
        <w:t>目标能力 建设“合同清单”的标准化服务能力，满足项目场地清单展示，展示当前项目在不同消纳场地的消纳参数，场地的合同量、已消纳量和剩余量等信息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项目经理、建设单位经办人、施工单位经办人、运输单位经办人、执法人员、平台运营人员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/api/projects：承载“合同清单”相关的查询、提交、处理或结果获取能力。</w:t>
      </w:r>
    </w:p>
    <w:p>
      <w:pPr>
        <w:pStyle w:val="ListBullet"/>
        <w:spacing w:after="40"/>
      </w:pPr>
      <w:r>
        <w:t>GET /api/projects/{id}：承载“合同清单”相关的查询、提交、处理或结果获取能力。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4.4 场地清单</w:t>
      </w:r>
    </w:p>
    <w:p>
      <w:pPr>
        <w:spacing w:after="120"/>
      </w:pPr>
      <w:r>
        <w:t>目标能力 建设“场地清单”的标准化服务能力，满足根据项目的消纳场地进行展示项目在各个消纳场的工程量、已消纳量等数据的业务目标，并为后续审批、预警、统计、移动端和第三方联动提供统一接口支撑。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项目经理、建设单位经办人、施工单位经办人、运输单位经办人、执法人员、平台运营人员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/api/projects：承载“场地清单”相关的查询、提交、处理或结果获取能力。</w:t>
      </w:r>
    </w:p>
    <w:p>
      <w:pPr>
        <w:pStyle w:val="ListBullet"/>
        <w:spacing w:after="40"/>
      </w:pPr>
      <w:r>
        <w:t>GET /api/projects/{id}：承载“场地清单”相关的查询、提交、处理或结果获取能力。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4.5 处置证清单</w:t>
      </w:r>
    </w:p>
    <w:p>
      <w:pPr>
        <w:spacing w:after="120"/>
      </w:pPr>
      <w:r>
        <w:t>目标能力 建设“处置证清单”的标准化服务能力，满足支持处置证和合同关联关系的展示，车辆的消纳数据和处置证绑定的业务目标，并为后续审批、预警、统计、移动端和第三方联动提供统一接口支撑。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项目经理、建设单位经办人、施工单位经办人、运输单位经办人、执法人员、平台运营人员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/api/projects：承载“处置证清单”相关的查询、提交、处理或结果获取能力。</w:t>
      </w:r>
    </w:p>
    <w:p>
      <w:pPr>
        <w:pStyle w:val="ListBullet"/>
        <w:spacing w:after="40"/>
      </w:pPr>
      <w:r>
        <w:t>GET /api/projects/{id}：承载“处置证清单”相关的查询、提交、处理或结果获取能力。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4.6 项目日报</w:t>
      </w:r>
    </w:p>
    <w:p>
      <w:pPr>
        <w:spacing w:after="120"/>
      </w:pPr>
      <w:r>
        <w:t>目标能力 建设“项目日报”的标准化服务能力，满足增加项目自定义日月年消纳情况自动生成，并支持文本数据的导出的业务目标，并为后续审批、预警、统计、移动端和第三方联动提供统一接口支撑。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项目经理、建设单位经办人、施工单位经办人、运输单位经办人、执法人员、平台运营人员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/api/projects：承载“项目日报”相关的查询、提交、处理或结果获取能力。</w:t>
      </w:r>
    </w:p>
    <w:p>
      <w:pPr>
        <w:pStyle w:val="ListBullet"/>
        <w:spacing w:after="40"/>
      </w:pPr>
      <w:r>
        <w:t>POST /api/projects：承载“项目日报”相关的查询、提交、处理或结果获取能力。</w:t>
      </w:r>
    </w:p>
    <w:p>
      <w:pPr>
        <w:pStyle w:val="ListBullet"/>
        <w:spacing w:after="40"/>
      </w:pPr>
      <w:r>
        <w:t>PUT /api/projects/{id}：承载“项目日报”相关的查询、提交、处理或结果获取能力。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4.7 打卡配置</w:t>
      </w:r>
    </w:p>
    <w:p>
      <w:pPr>
        <w:spacing w:after="120"/>
      </w:pPr>
      <w:r>
        <w:t>目标能力 建设“打卡配置”的标准化服务能力，满足支持出土拍照打卡的账号配置与授权的业务目标，并为后续审批、预警、统计、移动端和第三方联动提供统一接口支撑。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项目经理、建设单位经办人、施工单位经办人、运输单位经办人、执法人员、平台运营人员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/api/projects：承载“打卡配置”相关的查询、提交、处理或结果获取能力。</w:t>
      </w:r>
    </w:p>
    <w:p>
      <w:pPr>
        <w:pStyle w:val="ListBullet"/>
        <w:spacing w:after="40"/>
      </w:pPr>
      <w:r>
        <w:t>POST /api/projects：承载“打卡配置”相关的查询、提交、处理或结果获取能力。</w:t>
      </w:r>
    </w:p>
    <w:p>
      <w:pPr>
        <w:pStyle w:val="ListBullet"/>
        <w:spacing w:after="40"/>
      </w:pPr>
      <w:r>
        <w:t>PUT /api/projects/{id}：承载“打卡配置”相关的查询、提交、处理或结果获取能力。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4.8 位置判断配置</w:t>
      </w:r>
    </w:p>
    <w:p>
      <w:pPr>
        <w:spacing w:after="120"/>
      </w:pPr>
      <w:r>
        <w:t>目标能力 建设“位置判断配置”的标准化服务能力，满足支持项目出土打卡是否需要判断车辆和人员位置的配置的业务目标，并为后续审批、预警、统计、移动端和第三方联动提供统一接口支撑。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项目经理、建设单位经办人、施工单位经办人、运输单位经办人、执法人员、平台运营人员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/api/projects：承载“位置判断配置”相关的查询、提交、处理或结果获取能力。</w:t>
      </w:r>
    </w:p>
    <w:p>
      <w:pPr>
        <w:pStyle w:val="ListBullet"/>
        <w:spacing w:after="40"/>
      </w:pPr>
      <w:r>
        <w:t>POST /api/projects：承载“位置判断配置”相关的查询、提交、处理或结果获取能力。</w:t>
      </w:r>
    </w:p>
    <w:p>
      <w:pPr>
        <w:pStyle w:val="ListBullet"/>
        <w:spacing w:after="40"/>
      </w:pPr>
      <w:r>
        <w:t>PUT /api/projects/{id}：承载“位置判断配置”相关的查询、提交、处理或结果获取能力。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4.9 出土预扣值</w:t>
      </w:r>
    </w:p>
    <w:p>
      <w:pPr>
        <w:spacing w:after="120"/>
      </w:pPr>
      <w:r>
        <w:t>目标能力 建设“出土预扣值”的标准化服务能力，满足支持项目出土预扣除方量配置功能，当项目低于此方量则不允许出土打卡的业务目标，并为后续审批、预警、统计、移动端和第三方联动提供统一接口支撑。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项目经理、建设单位经办人、施工单位经办人、运输单位经办人、执法人员、平台运营人员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/api/projects：承载“出土预扣值”相关的查询、提交、处理或结果获取能力。</w:t>
      </w:r>
    </w:p>
    <w:p>
      <w:pPr>
        <w:pStyle w:val="ListBullet"/>
        <w:spacing w:after="40"/>
      </w:pPr>
      <w:r>
        <w:t>POST /api/projects：承载“出土预扣值”相关的查询、提交、处理或结果获取能力。</w:t>
      </w:r>
    </w:p>
    <w:p>
      <w:pPr>
        <w:pStyle w:val="ListBullet"/>
        <w:spacing w:after="40"/>
      </w:pPr>
      <w:r>
        <w:t>PUT /api/projects/{id}：承载“出土预扣值”相关的查询、提交、处理或结果获取能力。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4.10 线路配置</w:t>
      </w:r>
    </w:p>
    <w:p>
      <w:pPr>
        <w:spacing w:after="120"/>
      </w:pPr>
      <w:r>
        <w:t>目标能力 建设“线路配置”的标准化服务能力，满足支持项目已配置线路在地图上的展示查看；同时支持项目多线路的配置的业务目标，并为后续审批、预警、统计、移动端和第三方联动提供统一接口支撑。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项目经理、建设单位经办人、施工单位经办人、运输单位经办人、执法人员、平台运营人员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/api/projects/map：承载“线路配置”相关的查询、提交、处理或结果获取能力。</w:t>
      </w:r>
    </w:p>
    <w:p>
      <w:pPr>
        <w:pStyle w:val="ListBullet"/>
        <w:spacing w:after="40"/>
      </w:pPr>
      <w:r>
        <w:t>GET /api/projects/track-history：承载“线路配置”相关的查询、提交、处理或结果获取能力。</w:t>
      </w:r>
    </w:p>
    <w:p>
      <w:pPr>
        <w:pStyle w:val="ListBullet"/>
        <w:spacing w:after="40"/>
      </w:pPr>
      <w:r>
        <w:t>POST /api/projects/fences：承载“线路配置”相关的查询、提交、处理或结果获取能力。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4.11 违法清单</w:t>
      </w:r>
    </w:p>
    <w:p>
      <w:pPr>
        <w:spacing w:after="120"/>
      </w:pPr>
      <w:r>
        <w:t>目标能力 建设“违法清单”的标准化服务能力，满足支持供执法人员查看和使用的违法车辆清单和详情的业务目标，并为后续审批、预警、统计、移动端和第三方联动提供统一接口支撑。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项目经理、建设单位经办人、施工单位经办人、运输单位经办人、执法人员、平台运营人员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/api/projects：承载“违法清单”相关的查询、提交、处理或结果获取能力。</w:t>
      </w:r>
    </w:p>
    <w:p>
      <w:pPr>
        <w:pStyle w:val="ListBullet"/>
        <w:spacing w:after="40"/>
      </w:pPr>
      <w:r>
        <w:t>GET /api/projects/{id}：承载“违法清单”相关的查询、提交、处理或结果获取能力。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4.12 报表统计</w:t>
      </w:r>
    </w:p>
    <w:p>
      <w:pPr>
        <w:spacing w:after="120"/>
      </w:pPr>
      <w:r>
        <w:t>目标能力 建设“报表统计”的标准化服务能力，满足支持违法数据按照所属车队、车辆车牌、处理中队进行分类统计的业务目标，并为后续审批、预警、统计、移动端和第三方联动提供统一接口支撑。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项目经理、建设单位经办人、施工单位经办人、运输单位经办人、执法人员、平台运营人员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/api/projects/summary：承载“报表统计”相关的查询、提交、处理或结果获取能力。</w:t>
      </w:r>
    </w:p>
    <w:p>
      <w:pPr>
        <w:pStyle w:val="ListBullet"/>
        <w:spacing w:after="40"/>
      </w:pPr>
      <w:r>
        <w:t>GET /api/projects/trend：承载“报表统计”相关的查询、提交、处理或结果获取能力。</w:t>
      </w:r>
    </w:p>
    <w:p>
      <w:pPr>
        <w:pStyle w:val="ListBullet"/>
        <w:spacing w:after="40"/>
      </w:pPr>
      <w:r>
        <w:t>POST /api/projects/export：承载“报表统计”相关的查询、提交、处理或结果获取能力。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4.13 违规配置</w:t>
      </w:r>
    </w:p>
    <w:p>
      <w:pPr>
        <w:spacing w:after="120"/>
      </w:pPr>
      <w:r>
        <w:t>目标能力 建设“违规配置”的标准化服务能力，满足支持对工程围栏和线路进行配置管理功能的业务目标，并为后续审批、预警、统计、移动端和第三方联动提供统一接口支撑。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项目经理、建设单位经办人、施工单位经办人、运输单位经办人、执法人员、平台运营人员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/api/projects：承载“违规配置”相关的查询、提交、处理或结果获取能力。</w:t>
      </w:r>
    </w:p>
    <w:p>
      <w:pPr>
        <w:pStyle w:val="ListBullet"/>
        <w:spacing w:after="40"/>
      </w:pPr>
      <w:r>
        <w:t>POST /api/projects：承载“违规配置”相关的查询、提交、处理或结果获取能力。</w:t>
      </w:r>
    </w:p>
    <w:p>
      <w:pPr>
        <w:pStyle w:val="ListBullet"/>
        <w:spacing w:after="40"/>
      </w:pPr>
      <w:r>
        <w:t>PUT /api/projects/{id}：承载“违规配置”相关的查询、提交、处理或结果获取能力。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2"/>
      </w:pPr>
      <w:r>
        <w:t>5. 核心数据对象设计</w:t>
      </w:r>
    </w:p>
    <w:p>
      <w:pPr>
        <w:pStyle w:val="ListBullet"/>
        <w:spacing w:after="40"/>
      </w:pPr>
      <w:r>
        <w:t>项目主档 Project</w:t>
      </w:r>
    </w:p>
    <w:p>
      <w:pPr>
        <w:pStyle w:val="ListBullet"/>
        <w:spacing w:after="40"/>
      </w:pPr>
      <w:r>
        <w:t>项目交款记录 ProjectPayment</w:t>
      </w:r>
    </w:p>
    <w:p>
      <w:pPr>
        <w:pStyle w:val="ListBullet"/>
        <w:spacing w:after="40"/>
      </w:pPr>
      <w:r>
        <w:t>项目配置 ProjectConfig</w:t>
      </w:r>
    </w:p>
    <w:p>
      <w:pPr>
        <w:pStyle w:val="ListBullet"/>
        <w:spacing w:after="40"/>
      </w:pPr>
      <w:r>
        <w:t>项目线路 ProjectRoute</w:t>
      </w:r>
    </w:p>
    <w:p>
      <w:pPr>
        <w:pStyle w:val="ListBullet"/>
        <w:spacing w:after="40"/>
      </w:pPr>
      <w:r>
        <w:t>项目日报 ProjectReport</w:t>
      </w:r>
    </w:p>
    <w:p>
      <w:pPr>
        <w:pStyle w:val="ListBullet"/>
        <w:spacing w:after="40"/>
      </w:pPr>
      <w:r>
        <w:t>项目违法统计 ProjectViolationStat</w:t>
      </w:r>
    </w:p>
    <w:p>
      <w:pPr>
        <w:pStyle w:val="ListBullet"/>
        <w:spacing w:after="40"/>
      </w:pPr>
      <w:r>
        <w:t>项目处置证绑定 ProjectPermitRel</w:t>
      </w:r>
    </w:p>
    <w:p>
      <w:pPr>
        <w:pStyle w:val="Heading2"/>
      </w:pPr>
      <w:r>
        <w:t>6. 业务接口设计</w:t>
      </w:r>
    </w:p>
    <w:p>
      <w:pPr>
        <w:pStyle w:val="ListBullet"/>
        <w:spacing w:after="40"/>
      </w:pPr>
      <w:r>
        <w:t>统一接口前缀建议采用 /api/projects 或对应移动端、专项前缀，实现前后端接口分层清晰。</w:t>
      </w:r>
    </w:p>
    <w:p>
      <w:pPr>
        <w:pStyle w:val="ListBullet"/>
        <w:spacing w:after="40"/>
      </w:pPr>
      <w:r>
        <w:t>查询类接口支持分页、排序、条件过滤、字典翻译和状态聚合。</w:t>
      </w:r>
    </w:p>
    <w:p>
      <w:pPr>
        <w:pStyle w:val="ListBullet"/>
        <w:spacing w:after="40"/>
      </w:pPr>
      <w:r>
        <w:t>变更类接口支持幂等控制、状态校验、附件提交、审批提交流程和消息触发。</w:t>
      </w:r>
    </w:p>
    <w:p>
      <w:pPr>
        <w:pStyle w:val="Heading2"/>
      </w:pPr>
      <w:r>
        <w:t>7. 业务流程设计</w:t>
      </w:r>
    </w:p>
    <w:p>
      <w:pPr>
        <w:pStyle w:val="ListBullet"/>
        <w:spacing w:after="40"/>
      </w:pPr>
      <w:r>
        <w:t>业务流程统一遵循“发起/采集 -&gt; 校验 -&gt; 提交/处理 -&gt; 审批/同步 -&gt; 结果回写 -&gt; 留痕/通知”的流程骨架。</w:t>
      </w:r>
    </w:p>
    <w:p>
      <w:pPr>
        <w:pStyle w:val="ListBullet"/>
        <w:spacing w:after="40"/>
      </w:pPr>
      <w:r>
        <w:t>涉及统计、导出、同步、报表和预警生成的场景，采用异步任务和批处理机制降低接口阻塞风险。</w:t>
      </w:r>
    </w:p>
    <w:p>
      <w:pPr>
        <w:pStyle w:val="Heading2"/>
      </w:pPr>
      <w:r>
        <w:t>8. 权限与数据范围控制</w:t>
      </w:r>
    </w:p>
    <w:p>
      <w:pPr>
        <w:pStyle w:val="ListBullet"/>
        <w:spacing w:after="40"/>
      </w:pPr>
      <w:r>
        <w:t>统一接入组织、用户、角色和数据范围控制体系，按单位、项目、场地、车辆、合同等维度裁剪数据可见范围。</w:t>
      </w:r>
    </w:p>
    <w:p>
      <w:pPr>
        <w:pStyle w:val="ListBullet"/>
        <w:spacing w:after="40"/>
      </w:pPr>
      <w:r>
        <w:t>移动端、第三方接口和后台接口均需绑定独立的身份凭据和访问授权。</w:t>
      </w:r>
    </w:p>
    <w:p>
      <w:pPr>
        <w:pStyle w:val="Heading2"/>
      </w:pPr>
      <w:r>
        <w:t>9. 异常处理与补偿机制</w:t>
      </w:r>
    </w:p>
    <w:p>
      <w:pPr>
        <w:pStyle w:val="ListBullet"/>
        <w:spacing w:after="40"/>
      </w:pPr>
      <w:r>
        <w:t>关键接口统一返回错误码、错误信息、追踪编号和建议处理方式。</w:t>
      </w:r>
    </w:p>
    <w:p>
      <w:pPr>
        <w:pStyle w:val="ListBullet"/>
        <w:spacing w:after="40"/>
      </w:pPr>
      <w:r>
        <w:t>异步任务支持失败重试、批次追踪、人工补录、对账补偿和回滚控制。</w:t>
      </w:r>
    </w:p>
    <w:p>
      <w:pPr>
        <w:pStyle w:val="Heading2"/>
      </w:pPr>
      <w:r>
        <w:t>10. 日志审计与追溯要求</w:t>
      </w:r>
    </w:p>
    <w:p>
      <w:pPr>
        <w:pStyle w:val="ListBullet"/>
        <w:spacing w:after="40"/>
      </w:pPr>
      <w:r>
        <w:t>记录接口访问日志、业务操作日志、审批日志、同步日志、错误日志和消息推送回执。</w:t>
      </w:r>
    </w:p>
    <w:p>
      <w:pPr>
        <w:pStyle w:val="ListBullet"/>
        <w:spacing w:after="40"/>
      </w:pPr>
      <w:r>
        <w:t>关键业务对象支持按单号、主键、批次号、外部编码追溯全链路处理过程。</w:t>
      </w:r>
    </w:p>
    <w:p>
      <w:pPr>
        <w:pStyle w:val="Heading2"/>
      </w:pPr>
      <w:r>
        <w:t>11. 与第三方或其他模块协同方式</w:t>
      </w:r>
    </w:p>
    <w:p>
      <w:pPr>
        <w:pStyle w:val="ListBullet"/>
        <w:spacing w:after="40"/>
      </w:pPr>
      <w:r>
        <w:t>与组织权限体系协同实现统一身份和数据授权。</w:t>
      </w:r>
    </w:p>
    <w:p>
      <w:pPr>
        <w:pStyle w:val="ListBullet"/>
        <w:spacing w:after="40"/>
      </w:pPr>
      <w:r>
        <w:t>与审批配置、消息中心、日志中心协同实现流程驱动、消息触达和可审计治理。</w:t>
      </w:r>
    </w:p>
    <w:p>
      <w:pPr>
        <w:pStyle w:val="ListBullet"/>
        <w:spacing w:after="40"/>
      </w:pPr>
      <w:r>
        <w:t>与平台对接、小程序、统计分析、数据看板协同实现跨平台数据共享和能力复用。</w:t>
      </w:r>
    </w:p>
    <w:p>
      <w:pPr>
        <w:pStyle w:val="Heading2"/>
      </w:pPr>
      <w:r>
        <w:t>12. 性能与扩展性要求</w:t>
      </w:r>
    </w:p>
    <w:p>
      <w:pPr>
        <w:pStyle w:val="ListBullet"/>
        <w:spacing w:after="40"/>
      </w:pPr>
      <w:r>
        <w:t>列表和报表需支持分页、条件索引、聚合优化和异步导出。</w:t>
      </w:r>
    </w:p>
    <w:p>
      <w:pPr>
        <w:pStyle w:val="ListBullet"/>
        <w:spacing w:after="40"/>
      </w:pPr>
      <w:r>
        <w:t>地图、轨迹、视频、地磅、同步日志等大体量数据建议分表、归档或采用冷热分层策略。</w:t>
      </w:r>
    </w:p>
    <w:p>
      <w:pPr>
        <w:pStyle w:val="Heading2"/>
      </w:pPr>
      <w:r>
        <w:t>13. 本模块交付说明</w:t>
      </w:r>
    </w:p>
    <w:p>
      <w:pPr>
        <w:spacing w:after="120"/>
      </w:pPr>
      <w:r>
        <w:t>项目管理模块应作为独立可交付能力建设，既满足甲方当前招标要求，也为后续扩展第三方对接、移动端深化、规则引擎和经营分析能力保留扩展接口。</w:t>
      </w:r>
    </w:p>
    <w:p>
      <w:pPr>
        <w:sectPr>
          <w:pgSz w:w="12240" w:h="15840"/>
          <w:pgMar w:top="1440" w:right="1587" w:bottom="1440" w:left="1587" w:header="720" w:footer="720" w:gutter="0"/>
          <w:cols w:space="720"/>
          <w:docGrid w:linePitch="360"/>
        </w:sectPr>
      </w:pPr>
    </w:p>
    <w:p>
      <w:pPr>
        <w:pStyle w:val="Heading1"/>
      </w:pPr>
      <w:r>
        <w:t>处置证技术方案</w:t>
      </w:r>
    </w:p>
    <w:p>
      <w:pPr>
        <w:pStyle w:val="Heading2"/>
      </w:pPr>
      <w:r>
        <w:t>1. 模块建设目标</w:t>
      </w:r>
    </w:p>
    <w:p>
      <w:pPr>
        <w:spacing w:after="120"/>
      </w:pPr>
      <w:r>
        <w:t>建立处置证同步、手工补录、关联校验和生命周期管理能力。</w:t>
      </w:r>
    </w:p>
    <w:p>
      <w:pPr>
        <w:pStyle w:val="Heading2"/>
      </w:pPr>
      <w:r>
        <w:t>2. 模块技术范围</w:t>
      </w:r>
    </w:p>
    <w:p>
      <w:pPr>
        <w:spacing w:after="120"/>
      </w:pPr>
      <w:r>
        <w:t>处置证模块技术范围覆盖前端页面、后台接口、业务服务、数据模型、审批联动、消息通知、日志审计、导入导出、移动端或第三方对接等能力。</w:t>
      </w:r>
    </w:p>
    <w:p>
      <w:pPr>
        <w:pStyle w:val="Heading2"/>
      </w:pPr>
      <w:r>
        <w:t>3. 总体能力设计</w:t>
      </w:r>
    </w:p>
    <w:p>
      <w:pPr>
        <w:spacing w:after="120"/>
      </w:pPr>
      <w:r>
        <w:t>处置证模块是渣土运输合规性的关键凭证模块，既要承接政务来源数据，也要支撑项目、合同、车辆、消纳数据的一致性校验。技术上采用统一前后端分层架构，前端负责界面编排与交互约束，后端负责业务校验、流程编排、数据存储、异步任务和接口开放。</w:t>
      </w:r>
    </w:p>
    <w:p>
      <w:pPr>
        <w:pStyle w:val="Heading2"/>
      </w:pPr>
      <w:r>
        <w:t>4. 功能点技术实现方案</w:t>
      </w:r>
    </w:p>
    <w:p>
      <w:pPr>
        <w:pStyle w:val="Heading3"/>
      </w:pPr>
      <w:r>
        <w:t>4.1 处置证同步</w:t>
      </w:r>
    </w:p>
    <w:p>
      <w:pPr>
        <w:spacing w:after="120"/>
      </w:pPr>
      <w:r>
        <w:t>目标能力 建设“处置证同步”的标准化服务能力，满足支持自动和手动同步政府服务网中的处置证对接功能的业务目标，并为后续审批、预警、统计、移动端和第三方联动提供统一接口支撑。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项目经办人、平台管理员、审批人员、执法人员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POST /api/disposal-permits/sync：承载“处置证同步”相关的查询、提交、处理或结果获取能力。</w:t>
      </w:r>
    </w:p>
    <w:p>
      <w:pPr>
        <w:pStyle w:val="ListBullet"/>
        <w:spacing w:after="40"/>
      </w:pPr>
      <w:r>
        <w:t>GET /api/disposal-permits/configs：承载“处置证同步”相关的查询、提交、处理或结果获取能力。</w:t>
      </w:r>
    </w:p>
    <w:p>
      <w:pPr>
        <w:pStyle w:val="ListBullet"/>
        <w:spacing w:after="40"/>
      </w:pPr>
      <w:r>
        <w:t>GET /api/disposal-permits/logs：承载“处置证同步”相关的查询、提交、处理或结果获取能力。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pStyle w:val="ListNumber"/>
        <w:spacing w:after="40"/>
      </w:pPr>
      <w:r>
        <w:t>对接类能力额外记录请求报文、响应报文、重试次数和异常分类，支持补偿处理。</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pStyle w:val="ListBullet"/>
        <w:spacing w:after="40"/>
      </w:pPr>
      <w:r>
        <w:t>第三方对接失败时按连接失败、鉴权失败、协议异常、数据异常、超时失败分类处理，并支持重试和人工补录。</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4.2 处置证新增</w:t>
      </w:r>
    </w:p>
    <w:p>
      <w:pPr>
        <w:spacing w:after="120"/>
      </w:pPr>
      <w:r>
        <w:t>目标能力 建设“处置证新增”的标准化服务能力，满足支持手动创建处置证功能，便于特殊情况下创建处置证，便于渣土运输流程正常流转。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项目经办人、平台管理员、审批人员、执法人员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/api/disposal-permits：承载“处置证新增”相关的查询、提交、处理或结果获取能力。</w:t>
      </w:r>
    </w:p>
    <w:p>
      <w:pPr>
        <w:pStyle w:val="ListBullet"/>
        <w:spacing w:after="40"/>
      </w:pPr>
      <w:r>
        <w:t>POST /api/disposal-permits：承载“处置证新增”相关的查询、提交、处理或结果获取能力。</w:t>
      </w:r>
    </w:p>
    <w:p>
      <w:pPr>
        <w:pStyle w:val="ListBullet"/>
        <w:spacing w:after="40"/>
      </w:pPr>
      <w:r>
        <w:t>PUT /api/disposal-permits/{id}：承载“处置证新增”相关的查询、提交、处理或结果获取能力。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4.3 处置证关联</w:t>
      </w:r>
    </w:p>
    <w:p>
      <w:pPr>
        <w:spacing w:after="120"/>
      </w:pPr>
      <w:r>
        <w:t>目标能力 建设“处置证关联”的标准化服务能力，满足支持处置证数据的详情查看，与对应合同数据的关联的业务目标，并为后续审批、预警、统计、移动端和第三方联动提供统一接口支撑。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项目经办人、平台管理员、审批人员、执法人员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/api/disposal-permits：承载“处置证关联”相关的查询、提交、处理或结果获取能力。</w:t>
      </w:r>
    </w:p>
    <w:p>
      <w:pPr>
        <w:pStyle w:val="ListBullet"/>
        <w:spacing w:after="40"/>
      </w:pPr>
      <w:r>
        <w:t>POST /api/disposal-permits：承载“处置证关联”相关的查询、提交、处理或结果获取能力。</w:t>
      </w:r>
    </w:p>
    <w:p>
      <w:pPr>
        <w:pStyle w:val="ListBullet"/>
        <w:spacing w:after="40"/>
      </w:pPr>
      <w:r>
        <w:t>PUT /api/disposal-permits/{id}：承载“处置证关联”相关的查询、提交、处理或结果获取能力。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2"/>
      </w:pPr>
      <w:r>
        <w:t>5. 核心数据对象设计</w:t>
      </w:r>
    </w:p>
    <w:p>
      <w:pPr>
        <w:pStyle w:val="ListBullet"/>
        <w:spacing w:after="40"/>
      </w:pPr>
      <w:r>
        <w:t>处置证主档 DisposalPermit</w:t>
      </w:r>
    </w:p>
    <w:p>
      <w:pPr>
        <w:pStyle w:val="ListBullet"/>
        <w:spacing w:after="40"/>
      </w:pPr>
      <w:r>
        <w:t>同步批次 PermitSyncBatch</w:t>
      </w:r>
    </w:p>
    <w:p>
      <w:pPr>
        <w:pStyle w:val="ListBullet"/>
        <w:spacing w:after="40"/>
      </w:pPr>
      <w:r>
        <w:t>证照关联 PermitBinding</w:t>
      </w:r>
    </w:p>
    <w:p>
      <w:pPr>
        <w:pStyle w:val="ListBullet"/>
        <w:spacing w:after="40"/>
      </w:pPr>
      <w:r>
        <w:t>同步日志 PermitSyncLog</w:t>
      </w:r>
    </w:p>
    <w:p>
      <w:pPr>
        <w:pStyle w:val="Heading2"/>
      </w:pPr>
      <w:r>
        <w:t>6. 业务接口设计</w:t>
      </w:r>
    </w:p>
    <w:p>
      <w:pPr>
        <w:pStyle w:val="ListBullet"/>
        <w:spacing w:after="40"/>
      </w:pPr>
      <w:r>
        <w:t>统一接口前缀建议采用 /api/disposal-permits 或对应移动端、专项前缀，实现前后端接口分层清晰。</w:t>
      </w:r>
    </w:p>
    <w:p>
      <w:pPr>
        <w:pStyle w:val="ListBullet"/>
        <w:spacing w:after="40"/>
      </w:pPr>
      <w:r>
        <w:t>查询类接口支持分页、排序、条件过滤、字典翻译和状态聚合。</w:t>
      </w:r>
    </w:p>
    <w:p>
      <w:pPr>
        <w:pStyle w:val="ListBullet"/>
        <w:spacing w:after="40"/>
      </w:pPr>
      <w:r>
        <w:t>变更类接口支持幂等控制、状态校验、附件提交、审批提交流程和消息触发。</w:t>
      </w:r>
    </w:p>
    <w:p>
      <w:pPr>
        <w:pStyle w:val="Heading2"/>
      </w:pPr>
      <w:r>
        <w:t>7. 业务流程设计</w:t>
      </w:r>
    </w:p>
    <w:p>
      <w:pPr>
        <w:pStyle w:val="ListBullet"/>
        <w:spacing w:after="40"/>
      </w:pPr>
      <w:r>
        <w:t>业务流程统一遵循“发起/采集 -&gt; 校验 -&gt; 提交/处理 -&gt; 审批/同步 -&gt; 结果回写 -&gt; 留痕/通知”的流程骨架。</w:t>
      </w:r>
    </w:p>
    <w:p>
      <w:pPr>
        <w:pStyle w:val="ListBullet"/>
        <w:spacing w:after="40"/>
      </w:pPr>
      <w:r>
        <w:t>涉及统计、导出、同步、报表和预警生成的场景，采用异步任务和批处理机制降低接口阻塞风险。</w:t>
      </w:r>
    </w:p>
    <w:p>
      <w:pPr>
        <w:pStyle w:val="Heading2"/>
      </w:pPr>
      <w:r>
        <w:t>8. 权限与数据范围控制</w:t>
      </w:r>
    </w:p>
    <w:p>
      <w:pPr>
        <w:pStyle w:val="ListBullet"/>
        <w:spacing w:after="40"/>
      </w:pPr>
      <w:r>
        <w:t>统一接入组织、用户、角色和数据范围控制体系，按单位、项目、场地、车辆、合同等维度裁剪数据可见范围。</w:t>
      </w:r>
    </w:p>
    <w:p>
      <w:pPr>
        <w:pStyle w:val="ListBullet"/>
        <w:spacing w:after="40"/>
      </w:pPr>
      <w:r>
        <w:t>移动端、第三方接口和后台接口均需绑定独立的身份凭据和访问授权。</w:t>
      </w:r>
    </w:p>
    <w:p>
      <w:pPr>
        <w:pStyle w:val="Heading2"/>
      </w:pPr>
      <w:r>
        <w:t>9. 异常处理与补偿机制</w:t>
      </w:r>
    </w:p>
    <w:p>
      <w:pPr>
        <w:pStyle w:val="ListBullet"/>
        <w:spacing w:after="40"/>
      </w:pPr>
      <w:r>
        <w:t>关键接口统一返回错误码、错误信息、追踪编号和建议处理方式。</w:t>
      </w:r>
    </w:p>
    <w:p>
      <w:pPr>
        <w:pStyle w:val="ListBullet"/>
        <w:spacing w:after="40"/>
      </w:pPr>
      <w:r>
        <w:t>异步任务支持失败重试、批次追踪、人工补录、对账补偿和回滚控制。</w:t>
      </w:r>
    </w:p>
    <w:p>
      <w:pPr>
        <w:pStyle w:val="Heading2"/>
      </w:pPr>
      <w:r>
        <w:t>10. 日志审计与追溯要求</w:t>
      </w:r>
    </w:p>
    <w:p>
      <w:pPr>
        <w:pStyle w:val="ListBullet"/>
        <w:spacing w:after="40"/>
      </w:pPr>
      <w:r>
        <w:t>记录接口访问日志、业务操作日志、审批日志、同步日志、错误日志和消息推送回执。</w:t>
      </w:r>
    </w:p>
    <w:p>
      <w:pPr>
        <w:pStyle w:val="ListBullet"/>
        <w:spacing w:after="40"/>
      </w:pPr>
      <w:r>
        <w:t>关键业务对象支持按单号、主键、批次号、外部编码追溯全链路处理过程。</w:t>
      </w:r>
    </w:p>
    <w:p>
      <w:pPr>
        <w:pStyle w:val="Heading2"/>
      </w:pPr>
      <w:r>
        <w:t>11. 与第三方或其他模块协同方式</w:t>
      </w:r>
    </w:p>
    <w:p>
      <w:pPr>
        <w:pStyle w:val="ListBullet"/>
        <w:spacing w:after="40"/>
      </w:pPr>
      <w:r>
        <w:t>与组织权限体系协同实现统一身份和数据授权。</w:t>
      </w:r>
    </w:p>
    <w:p>
      <w:pPr>
        <w:pStyle w:val="ListBullet"/>
        <w:spacing w:after="40"/>
      </w:pPr>
      <w:r>
        <w:t>与审批配置、消息中心、日志中心协同实现流程驱动、消息触达和可审计治理。</w:t>
      </w:r>
    </w:p>
    <w:p>
      <w:pPr>
        <w:pStyle w:val="ListBullet"/>
        <w:spacing w:after="40"/>
      </w:pPr>
      <w:r>
        <w:t>与平台对接、小程序、统计分析、数据看板协同实现跨平台数据共享和能力复用。</w:t>
      </w:r>
    </w:p>
    <w:p>
      <w:pPr>
        <w:pStyle w:val="Heading2"/>
      </w:pPr>
      <w:r>
        <w:t>12. 性能与扩展性要求</w:t>
      </w:r>
    </w:p>
    <w:p>
      <w:pPr>
        <w:pStyle w:val="ListBullet"/>
        <w:spacing w:after="40"/>
      </w:pPr>
      <w:r>
        <w:t>列表和报表需支持分页、条件索引、聚合优化和异步导出。</w:t>
      </w:r>
    </w:p>
    <w:p>
      <w:pPr>
        <w:pStyle w:val="ListBullet"/>
        <w:spacing w:after="40"/>
      </w:pPr>
      <w:r>
        <w:t>地图、轨迹、视频、地磅、同步日志等大体量数据建议分表、归档或采用冷热分层策略。</w:t>
      </w:r>
    </w:p>
    <w:p>
      <w:pPr>
        <w:pStyle w:val="Heading2"/>
      </w:pPr>
      <w:r>
        <w:t>13. 本模块交付说明</w:t>
      </w:r>
    </w:p>
    <w:p>
      <w:pPr>
        <w:spacing w:after="120"/>
      </w:pPr>
      <w:r>
        <w:t>处置证模块应作为独立可交付能力建设，既满足甲方当前招标要求，也为后续扩展第三方对接、移动端深化、规则引擎和经营分析能力保留扩展接口。</w:t>
      </w:r>
    </w:p>
    <w:p>
      <w:pPr>
        <w:sectPr>
          <w:pgSz w:w="12240" w:h="15840"/>
          <w:pgMar w:top="1440" w:right="1587" w:bottom="1440" w:left="1587" w:header="720" w:footer="720" w:gutter="0"/>
          <w:cols w:space="720"/>
          <w:docGrid w:linePitch="360"/>
        </w:sectPr>
      </w:pPr>
    </w:p>
    <w:p>
      <w:pPr>
        <w:pStyle w:val="Heading1"/>
      </w:pPr>
      <w:r>
        <w:t>消纳场地技术方案</w:t>
      </w:r>
    </w:p>
    <w:p>
      <w:pPr>
        <w:pStyle w:val="Heading2"/>
      </w:pPr>
      <w:r>
        <w:t>1. 模块建设目标</w:t>
      </w:r>
    </w:p>
    <w:p>
      <w:pPr>
        <w:spacing w:after="120"/>
      </w:pPr>
      <w:r>
        <w:t>建立覆盖场地建档、消纳运营、设备接入、资料管理、结算管理和安全管理的场地治理体系。</w:t>
      </w:r>
    </w:p>
    <w:p>
      <w:pPr>
        <w:pStyle w:val="Heading2"/>
      </w:pPr>
      <w:r>
        <w:t>2. 模块技术范围</w:t>
      </w:r>
    </w:p>
    <w:p>
      <w:pPr>
        <w:spacing w:after="120"/>
      </w:pPr>
      <w:r>
        <w:t>消纳场地模块技术范围覆盖前端页面、后台接口、业务服务、数据模型、审批联动、消息通知、日志审计、导入导出、移动端或第三方对接等能力。</w:t>
      </w:r>
    </w:p>
    <w:p>
      <w:pPr>
        <w:pStyle w:val="Heading2"/>
      </w:pPr>
      <w:r>
        <w:t>3. 总体能力设计</w:t>
      </w:r>
    </w:p>
    <w:p>
      <w:pPr>
        <w:spacing w:after="120"/>
      </w:pPr>
      <w:r>
        <w:t>消纳场地模块负责承载现场运营与平台结算两类能力，需要同时满足场地台账、容量监测、人工消纳、地磅协同、资料归档、安全台账和运营配置等需求。技术上采用统一前后端分层架构，前端负责界面编排与交互约束，后端负责业务校验、流程编排、数据存储、异步任务和接口开放。</w:t>
      </w:r>
    </w:p>
    <w:p>
      <w:pPr>
        <w:pStyle w:val="Heading2"/>
      </w:pPr>
      <w:r>
        <w:t>4. 功能点技术实现方案</w:t>
      </w:r>
    </w:p>
    <w:p>
      <w:pPr>
        <w:pStyle w:val="Heading3"/>
      </w:pPr>
      <w:r>
        <w:t>4.1 场地列表</w:t>
      </w:r>
    </w:p>
    <w:p>
      <w:pPr>
        <w:spacing w:after="120"/>
      </w:pPr>
      <w:r>
        <w:t>目标能力 建设“场地列表”的标准化服务能力，满足支持消纳场地列表展示，能直观展示场地的当前容量等数据的业务目标，并为后续审批、预警、统计、移动端和第三方联动提供统一接口支撑。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场地管理员、运营人员、财务人员、安全管理员、平台管理员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/api/sites：承载“场地列表”相关的查询、提交、处理或结果获取能力。</w:t>
      </w:r>
    </w:p>
    <w:p>
      <w:pPr>
        <w:pStyle w:val="ListBullet"/>
        <w:spacing w:after="40"/>
      </w:pPr>
      <w:r>
        <w:t>GET /api/sites/{id}：承载“场地列表”相关的查询、提交、处理或结果获取能力。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4.2 消纳清单</w:t>
      </w:r>
    </w:p>
    <w:p>
      <w:pPr>
        <w:spacing w:after="120"/>
      </w:pPr>
      <w:r>
        <w:t>目标能力 建设“消纳清单”的标准化服务能力，满足支持对消纳清单进行列表展示功能的业务目标，并为后续审批、预警、统计、移动端和第三方联动提供统一接口支撑。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场地管理员、运营人员、财务人员、安全管理员、平台管理员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/api/sites：承载“消纳清单”相关的查询、提交、处理或结果获取能力。</w:t>
      </w:r>
    </w:p>
    <w:p>
      <w:pPr>
        <w:pStyle w:val="ListBullet"/>
        <w:spacing w:after="40"/>
      </w:pPr>
      <w:r>
        <w:t>GET /api/sites/{id}：承载“消纳清单”相关的查询、提交、处理或结果获取能力。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4.3 场地资料</w:t>
      </w:r>
    </w:p>
    <w:p>
      <w:pPr>
        <w:spacing w:after="120"/>
      </w:pPr>
      <w:r>
        <w:t>目标能力 建设“场地资料”的标准化服务能力，满足支持场地建设、运营直至移交的全生命周期档案数据上传保存，上传文件固定格式需要格式校验。场地资料的展示支持场地的审批类型和阶段进行归类。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场地管理员、运营人员、财务人员、安全管理员、平台管理员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/api/sites：承载“场地资料”相关的查询、提交、处理或结果获取能力。</w:t>
      </w:r>
    </w:p>
    <w:p>
      <w:pPr>
        <w:pStyle w:val="ListBullet"/>
        <w:spacing w:after="40"/>
      </w:pPr>
      <w:r>
        <w:t>POST /api/sites：承载“场地资料”相关的查询、提交、处理或结果获取能力。</w:t>
      </w:r>
    </w:p>
    <w:p>
      <w:pPr>
        <w:pStyle w:val="ListBullet"/>
        <w:spacing w:after="40"/>
      </w:pPr>
      <w:r>
        <w:t>PUT /api/sites/{id}：承载“场地资料”相关的查询、提交、处理或结果获取能力。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4.4 基础信息</w:t>
      </w:r>
    </w:p>
    <w:p>
      <w:pPr>
        <w:spacing w:after="120"/>
      </w:pPr>
      <w:r>
        <w:t>目标能力 建设“基础信息”的标准化服务能力，满足支持国有场地、集体场地、工程场地和短驳场地基础信息查看的业务目标，并为后续审批、预警、统计、移动端和第三方联动提供统一接口支撑。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场地管理员、运营人员、财务人员、安全管理员、平台管理员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/api/sites：承载“基础信息”相关的查询、提交、处理或结果获取能力。</w:t>
      </w:r>
    </w:p>
    <w:p>
      <w:pPr>
        <w:pStyle w:val="ListBullet"/>
        <w:spacing w:after="40"/>
      </w:pPr>
      <w:r>
        <w:t>GET /api/sites/{id}：承载“基础信息”相关的查询、提交、处理或结果获取能力。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4.5 场地结算</w:t>
      </w:r>
    </w:p>
    <w:p>
      <w:pPr>
        <w:spacing w:after="120"/>
      </w:pPr>
      <w:r>
        <w:t>目标能力 建设“场地结算”的标准化服务能力，满足1.支持场地结算，可以按照国有场地、集体场地、工程场地和内拨场地分类进行结算；2.支持国有场地按月结算申请，集体场地按照消纳费比例和平台服务费结算，工程类场地按照单价结算，短驳场地按照平台服务费结算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场地管理员、运营人员、财务人员、安全管理员、平台管理员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/api/sites：承载“场地结算”相关的查询、提交、处理或结果获取能力。</w:t>
      </w:r>
    </w:p>
    <w:p>
      <w:pPr>
        <w:pStyle w:val="ListBullet"/>
        <w:spacing w:after="40"/>
      </w:pPr>
      <w:r>
        <w:t>POST /api/sites：承载“场地结算”相关的查询、提交、处理或结果获取能力。</w:t>
      </w:r>
    </w:p>
    <w:p>
      <w:pPr>
        <w:pStyle w:val="ListBullet"/>
        <w:spacing w:after="40"/>
      </w:pPr>
      <w:r>
        <w:t>PUT /api/sites/{id}：承载“场地结算”相关的查询、提交、处理或结果获取能力。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4.6 消纳报表</w:t>
      </w:r>
    </w:p>
    <w:p>
      <w:pPr>
        <w:spacing w:after="120"/>
      </w:pPr>
      <w:r>
        <w:t>目标能力 建设“消纳报表”的标准化服务能力，满足支持场地自定义日月年报表的自动生成和下载；报表查询支持自定义时间查询的业务目标，并为后续审批、预警、统计、移动端和第三方联动提供统一接口支撑。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场地管理员、运营人员、财务人员、安全管理员、平台管理员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/api/sites/summary：承载“消纳报表”相关的查询、提交、处理或结果获取能力。</w:t>
      </w:r>
    </w:p>
    <w:p>
      <w:pPr>
        <w:pStyle w:val="ListBullet"/>
        <w:spacing w:after="40"/>
      </w:pPr>
      <w:r>
        <w:t>GET /api/sites/trend：承载“消纳报表”相关的查询、提交、处理或结果获取能力。</w:t>
      </w:r>
    </w:p>
    <w:p>
      <w:pPr>
        <w:pStyle w:val="ListBullet"/>
        <w:spacing w:after="40"/>
      </w:pPr>
      <w:r>
        <w:t>POST /api/sites/export：承载“消纳报表”相关的查询、提交、处理或结果获取能力。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4.7 场地创建</w:t>
      </w:r>
    </w:p>
    <w:p>
      <w:pPr>
        <w:spacing w:after="120"/>
      </w:pPr>
      <w:r>
        <w:t>目标能力 建设“场地创建”的标准化服务能力，满足支持二级场地建设，实现场地地磅借用功能，过磅时可以选择不同的场地的业务目标，并为后续审批、预警、统计、移动端和第三方联动提供统一接口支撑。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场地管理员、运营人员、财务人员、安全管理员、平台管理员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/api/sites：承载“场地创建”相关的查询、提交、处理或结果获取能力。</w:t>
      </w:r>
    </w:p>
    <w:p>
      <w:pPr>
        <w:pStyle w:val="ListBullet"/>
        <w:spacing w:after="40"/>
      </w:pPr>
      <w:r>
        <w:t>POST /api/sites：承载“场地创建”相关的查询、提交、处理或结果获取能力。</w:t>
      </w:r>
    </w:p>
    <w:p>
      <w:pPr>
        <w:pStyle w:val="ListBullet"/>
        <w:spacing w:after="40"/>
      </w:pPr>
      <w:r>
        <w:t>PUT /api/sites/{id}：承载“场地创建”相关的查询、提交、处理或结果获取能力。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4.8 场地测绘</w:t>
      </w:r>
    </w:p>
    <w:p>
      <w:pPr>
        <w:spacing w:after="120"/>
      </w:pPr>
      <w:r>
        <w:t>目标能力 建设“场地测绘”的标准化服务能力，满足支持没有地磅的消纳场地通过测绘的方式进行场地结算的业务目标，并为后续审批、预警、统计、移动端和第三方联动提供统一接口支撑。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场地管理员、运营人员、财务人员、安全管理员、平台管理员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/api/sites：承载“场地测绘”相关的查询、提交、处理或结果获取能力。</w:t>
      </w:r>
    </w:p>
    <w:p>
      <w:pPr>
        <w:pStyle w:val="ListBullet"/>
        <w:spacing w:after="40"/>
      </w:pPr>
      <w:r>
        <w:t>POST /api/sites：承载“场地测绘”相关的查询、提交、处理或结果获取能力。</w:t>
      </w:r>
    </w:p>
    <w:p>
      <w:pPr>
        <w:pStyle w:val="ListBullet"/>
        <w:spacing w:after="40"/>
      </w:pPr>
      <w:r>
        <w:t>PUT /api/sites/{id}：承载“场地测绘”相关的查询、提交、处理或结果获取能力。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4.9 设备配置</w:t>
      </w:r>
    </w:p>
    <w:p>
      <w:pPr>
        <w:spacing w:after="120"/>
      </w:pPr>
      <w:r>
        <w:t>目标能力 建设“设备配置”的标准化服务能力，满足支持对视频监控设备进行配置管理功能，包括视频、抓拍机、地磅等设备的业务目标，并为后续审批、预警、统计、移动端和第三方联动提供统一接口支撑。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场地管理员、运营人员、财务人员、安全管理员、平台管理员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/api/sites：承载“设备配置”相关的查询、提交、处理或结果获取能力。</w:t>
      </w:r>
    </w:p>
    <w:p>
      <w:pPr>
        <w:pStyle w:val="ListBullet"/>
        <w:spacing w:after="40"/>
      </w:pPr>
      <w:r>
        <w:t>POST /api/sites：承载“设备配置”相关的查询、提交、处理或结果获取能力。</w:t>
      </w:r>
    </w:p>
    <w:p>
      <w:pPr>
        <w:pStyle w:val="ListBullet"/>
        <w:spacing w:after="40"/>
      </w:pPr>
      <w:r>
        <w:t>PUT /api/sites/{id}：承载“设备配置”相关的查询、提交、处理或结果获取能力。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4.10 坝体数据对接</w:t>
      </w:r>
    </w:p>
    <w:p>
      <w:pPr>
        <w:spacing w:after="120"/>
      </w:pPr>
      <w:r>
        <w:t>目标能力 建设“坝体数据对接”的标准化服务能力，满足预留支持对坝体检测设备进行对接功能，可时刻获取当前坝体的安全情况的业务目标，并为后续审批、预警、统计、移动端和第三方联动提供统一接口支撑。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场地管理员、运营人员、财务人员、安全管理员、平台管理员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POST /api/sites/sync：承载“坝体数据对接”相关的查询、提交、处理或结果获取能力。</w:t>
      </w:r>
    </w:p>
    <w:p>
      <w:pPr>
        <w:pStyle w:val="ListBullet"/>
        <w:spacing w:after="40"/>
      </w:pPr>
      <w:r>
        <w:t>GET /api/sites/configs：承载“坝体数据对接”相关的查询、提交、处理或结果获取能力。</w:t>
      </w:r>
    </w:p>
    <w:p>
      <w:pPr>
        <w:pStyle w:val="ListBullet"/>
        <w:spacing w:after="40"/>
      </w:pPr>
      <w:r>
        <w:t>GET /api/sites/logs：承载“坝体数据对接”相关的查询、提交、处理或结果获取能力。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pStyle w:val="ListNumber"/>
        <w:spacing w:after="40"/>
      </w:pPr>
      <w:r>
        <w:t>对接类能力额外记录请求报文、响应报文、重试次数和异常分类，支持补偿处理。</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pStyle w:val="ListBullet"/>
        <w:spacing w:after="40"/>
      </w:pPr>
      <w:r>
        <w:t>第三方对接失败时按连接失败、鉴权失败、协议异常、数据异常、超时失败分类处理，并支持重试和人工补录。</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4.11 运营配置</w:t>
      </w:r>
    </w:p>
    <w:p>
      <w:pPr>
        <w:spacing w:after="120"/>
      </w:pPr>
      <w:r>
        <w:t>目标能力 建设“运营配置”的标准化服务能力，满足支持对排号配置、人工消纳、范围检测、消纳时长等配置功能的业务目标，并为后续审批、预警、统计、移动端和第三方联动提供统一接口支撑。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场地管理员、运营人员、财务人员、安全管理员、平台管理员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/api/sites：承载“运营配置”相关的查询、提交、处理或结果获取能力。</w:t>
      </w:r>
    </w:p>
    <w:p>
      <w:pPr>
        <w:pStyle w:val="ListBullet"/>
        <w:spacing w:after="40"/>
      </w:pPr>
      <w:r>
        <w:t>POST /api/sites：承载“运营配置”相关的查询、提交、处理或结果获取能力。</w:t>
      </w:r>
    </w:p>
    <w:p>
      <w:pPr>
        <w:pStyle w:val="ListBullet"/>
        <w:spacing w:after="40"/>
      </w:pPr>
      <w:r>
        <w:t>PUT /api/sites/{id}：承载“运营配置”相关的查询、提交、处理或结果获取能力。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4.12 人员配置</w:t>
      </w:r>
    </w:p>
    <w:p>
      <w:pPr>
        <w:spacing w:after="120"/>
      </w:pPr>
      <w:r>
        <w:t>目标能力 建设“人员配置”的标准化服务能力，满足支持对消纳场地的账号信息进行配置管理功能的业务目标，并为后续审批、预警、统计、移动端和第三方联动提供统一接口支撑。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场地管理员、运营人员、财务人员、安全管理员、平台管理员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/api/sites：承载“人员配置”相关的查询、提交、处理或结果获取能力。</w:t>
      </w:r>
    </w:p>
    <w:p>
      <w:pPr>
        <w:pStyle w:val="ListBullet"/>
        <w:spacing w:after="40"/>
      </w:pPr>
      <w:r>
        <w:t>POST /api/sites：承载“人员配置”相关的查询、提交、处理或结果获取能力。</w:t>
      </w:r>
    </w:p>
    <w:p>
      <w:pPr>
        <w:pStyle w:val="ListBullet"/>
        <w:spacing w:after="40"/>
      </w:pPr>
      <w:r>
        <w:t>PUT /api/sites/{id}：承载“人员配置”相关的查询、提交、处理或结果获取能力。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4.13 消纳场地安全管理</w:t>
      </w:r>
    </w:p>
    <w:p>
      <w:pPr>
        <w:spacing w:after="120"/>
      </w:pPr>
      <w:r>
        <w:t>目标能力 建设“消纳场地安全管理”的标准化服务能力，满足各消纳场所的日常生产安全台账，例如消防设施，应急设施等的业务目标，并为后续审批、预警、统计、移动端和第三方联动提供统一接口支撑。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场地管理员、运营人员、财务人员、安全管理员、平台管理员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/api/sites：承载“消纳场地安全管理”相关的查询、提交、处理或结果获取能力。</w:t>
      </w:r>
    </w:p>
    <w:p>
      <w:pPr>
        <w:pStyle w:val="ListBullet"/>
        <w:spacing w:after="40"/>
      </w:pPr>
      <w:r>
        <w:t>GET /api/sites/{id}：承载“消纳场地安全管理”相关的查询、提交、处理或结果获取能力。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2"/>
      </w:pPr>
      <w:r>
        <w:t>5. 核心数据对象设计</w:t>
      </w:r>
    </w:p>
    <w:p>
      <w:pPr>
        <w:pStyle w:val="ListBullet"/>
        <w:spacing w:after="40"/>
      </w:pPr>
      <w:r>
        <w:t>场地主档 Site</w:t>
      </w:r>
    </w:p>
    <w:p>
      <w:pPr>
        <w:pStyle w:val="ListBullet"/>
        <w:spacing w:after="40"/>
      </w:pPr>
      <w:r>
        <w:t>场地资料 SiteDocument</w:t>
      </w:r>
    </w:p>
    <w:p>
      <w:pPr>
        <w:pStyle w:val="ListBullet"/>
        <w:spacing w:after="40"/>
      </w:pPr>
      <w:r>
        <w:t>场地设备 SiteDevice</w:t>
      </w:r>
    </w:p>
    <w:p>
      <w:pPr>
        <w:pStyle w:val="ListBullet"/>
        <w:spacing w:after="40"/>
      </w:pPr>
      <w:r>
        <w:t>场地运营配置 SiteOperationConfig</w:t>
      </w:r>
    </w:p>
    <w:p>
      <w:pPr>
        <w:pStyle w:val="ListBullet"/>
        <w:spacing w:after="40"/>
      </w:pPr>
      <w:r>
        <w:t>场地人员配置 SitePersonnelConfig</w:t>
      </w:r>
    </w:p>
    <w:p>
      <w:pPr>
        <w:pStyle w:val="ListBullet"/>
        <w:spacing w:after="40"/>
      </w:pPr>
      <w:r>
        <w:t>场地测绘记录 SiteSurveyRecord</w:t>
      </w:r>
    </w:p>
    <w:p>
      <w:pPr>
        <w:pStyle w:val="ListBullet"/>
        <w:spacing w:after="40"/>
      </w:pPr>
      <w:r>
        <w:t>场地结算单 SiteSettlement</w:t>
      </w:r>
    </w:p>
    <w:p>
      <w:pPr>
        <w:pStyle w:val="Heading2"/>
      </w:pPr>
      <w:r>
        <w:t>6. 业务接口设计</w:t>
      </w:r>
    </w:p>
    <w:p>
      <w:pPr>
        <w:pStyle w:val="ListBullet"/>
        <w:spacing w:after="40"/>
      </w:pPr>
      <w:r>
        <w:t>统一接口前缀建议采用 /api/sites 或对应移动端、专项前缀，实现前后端接口分层清晰。</w:t>
      </w:r>
    </w:p>
    <w:p>
      <w:pPr>
        <w:pStyle w:val="ListBullet"/>
        <w:spacing w:after="40"/>
      </w:pPr>
      <w:r>
        <w:t>查询类接口支持分页、排序、条件过滤、字典翻译和状态聚合。</w:t>
      </w:r>
    </w:p>
    <w:p>
      <w:pPr>
        <w:pStyle w:val="ListBullet"/>
        <w:spacing w:after="40"/>
      </w:pPr>
      <w:r>
        <w:t>变更类接口支持幂等控制、状态校验、附件提交、审批提交流程和消息触发。</w:t>
      </w:r>
    </w:p>
    <w:p>
      <w:pPr>
        <w:pStyle w:val="Heading2"/>
      </w:pPr>
      <w:r>
        <w:t>7. 业务流程设计</w:t>
      </w:r>
    </w:p>
    <w:p>
      <w:pPr>
        <w:pStyle w:val="ListBullet"/>
        <w:spacing w:after="40"/>
      </w:pPr>
      <w:r>
        <w:t>业务流程统一遵循“发起/采集 -&gt; 校验 -&gt; 提交/处理 -&gt; 审批/同步 -&gt; 结果回写 -&gt; 留痕/通知”的流程骨架。</w:t>
      </w:r>
    </w:p>
    <w:p>
      <w:pPr>
        <w:pStyle w:val="ListBullet"/>
        <w:spacing w:after="40"/>
      </w:pPr>
      <w:r>
        <w:t>涉及统计、导出、同步、报表和预警生成的场景，采用异步任务和批处理机制降低接口阻塞风险。</w:t>
      </w:r>
    </w:p>
    <w:p>
      <w:pPr>
        <w:pStyle w:val="Heading2"/>
      </w:pPr>
      <w:r>
        <w:t>8. 权限与数据范围控制</w:t>
      </w:r>
    </w:p>
    <w:p>
      <w:pPr>
        <w:pStyle w:val="ListBullet"/>
        <w:spacing w:after="40"/>
      </w:pPr>
      <w:r>
        <w:t>统一接入组织、用户、角色和数据范围控制体系，按单位、项目、场地、车辆、合同等维度裁剪数据可见范围。</w:t>
      </w:r>
    </w:p>
    <w:p>
      <w:pPr>
        <w:pStyle w:val="ListBullet"/>
        <w:spacing w:after="40"/>
      </w:pPr>
      <w:r>
        <w:t>移动端、第三方接口和后台接口均需绑定独立的身份凭据和访问授权。</w:t>
      </w:r>
    </w:p>
    <w:p>
      <w:pPr>
        <w:pStyle w:val="Heading2"/>
      </w:pPr>
      <w:r>
        <w:t>9. 异常处理与补偿机制</w:t>
      </w:r>
    </w:p>
    <w:p>
      <w:pPr>
        <w:pStyle w:val="ListBullet"/>
        <w:spacing w:after="40"/>
      </w:pPr>
      <w:r>
        <w:t>关键接口统一返回错误码、错误信息、追踪编号和建议处理方式。</w:t>
      </w:r>
    </w:p>
    <w:p>
      <w:pPr>
        <w:pStyle w:val="ListBullet"/>
        <w:spacing w:after="40"/>
      </w:pPr>
      <w:r>
        <w:t>异步任务支持失败重试、批次追踪、人工补录、对账补偿和回滚控制。</w:t>
      </w:r>
    </w:p>
    <w:p>
      <w:pPr>
        <w:pStyle w:val="Heading2"/>
      </w:pPr>
      <w:r>
        <w:t>10. 日志审计与追溯要求</w:t>
      </w:r>
    </w:p>
    <w:p>
      <w:pPr>
        <w:pStyle w:val="ListBullet"/>
        <w:spacing w:after="40"/>
      </w:pPr>
      <w:r>
        <w:t>记录接口访问日志、业务操作日志、审批日志、同步日志、错误日志和消息推送回执。</w:t>
      </w:r>
    </w:p>
    <w:p>
      <w:pPr>
        <w:pStyle w:val="ListBullet"/>
        <w:spacing w:after="40"/>
      </w:pPr>
      <w:r>
        <w:t>关键业务对象支持按单号、主键、批次号、外部编码追溯全链路处理过程。</w:t>
      </w:r>
    </w:p>
    <w:p>
      <w:pPr>
        <w:pStyle w:val="Heading2"/>
      </w:pPr>
      <w:r>
        <w:t>11. 与第三方或其他模块协同方式</w:t>
      </w:r>
    </w:p>
    <w:p>
      <w:pPr>
        <w:pStyle w:val="ListBullet"/>
        <w:spacing w:after="40"/>
      </w:pPr>
      <w:r>
        <w:t>与组织权限体系协同实现统一身份和数据授权。</w:t>
      </w:r>
    </w:p>
    <w:p>
      <w:pPr>
        <w:pStyle w:val="ListBullet"/>
        <w:spacing w:after="40"/>
      </w:pPr>
      <w:r>
        <w:t>与审批配置、消息中心、日志中心协同实现流程驱动、消息触达和可审计治理。</w:t>
      </w:r>
    </w:p>
    <w:p>
      <w:pPr>
        <w:pStyle w:val="ListBullet"/>
        <w:spacing w:after="40"/>
      </w:pPr>
      <w:r>
        <w:t>与平台对接、小程序、统计分析、数据看板协同实现跨平台数据共享和能力复用。</w:t>
      </w:r>
    </w:p>
    <w:p>
      <w:pPr>
        <w:pStyle w:val="Heading2"/>
      </w:pPr>
      <w:r>
        <w:t>12. 性能与扩展性要求</w:t>
      </w:r>
    </w:p>
    <w:p>
      <w:pPr>
        <w:pStyle w:val="ListBullet"/>
        <w:spacing w:after="40"/>
      </w:pPr>
      <w:r>
        <w:t>列表和报表需支持分页、条件索引、聚合优化和异步导出。</w:t>
      </w:r>
    </w:p>
    <w:p>
      <w:pPr>
        <w:pStyle w:val="ListBullet"/>
        <w:spacing w:after="40"/>
      </w:pPr>
      <w:r>
        <w:t>地图、轨迹、视频、地磅、同步日志等大体量数据建议分表、归档或采用冷热分层策略。</w:t>
      </w:r>
    </w:p>
    <w:p>
      <w:pPr>
        <w:pStyle w:val="Heading2"/>
      </w:pPr>
      <w:r>
        <w:t>13. 本模块交付说明</w:t>
      </w:r>
    </w:p>
    <w:p>
      <w:pPr>
        <w:spacing w:after="120"/>
      </w:pPr>
      <w:r>
        <w:t>消纳场地模块应作为独立可交付能力建设，既满足甲方当前招标要求，也为后续扩展第三方对接、移动端深化、规则引擎和经营分析能力保留扩展接口。</w:t>
      </w:r>
    </w:p>
    <w:p>
      <w:pPr>
        <w:sectPr>
          <w:pgSz w:w="12240" w:h="15840"/>
          <w:pgMar w:top="1440" w:right="1587" w:bottom="1440" w:left="1587" w:header="720" w:footer="720" w:gutter="0"/>
          <w:cols w:space="720"/>
          <w:docGrid w:linePitch="360"/>
        </w:sectPr>
      </w:pPr>
    </w:p>
    <w:p>
      <w:pPr>
        <w:pStyle w:val="Heading1"/>
      </w:pPr>
      <w:r>
        <w:t>违规车辆清单技术方案</w:t>
      </w:r>
    </w:p>
    <w:p>
      <w:pPr>
        <w:pStyle w:val="Heading2"/>
      </w:pPr>
      <w:r>
        <w:t>1. 模块建设目标</w:t>
      </w:r>
    </w:p>
    <w:p>
      <w:pPr>
        <w:spacing w:after="120"/>
      </w:pPr>
      <w:r>
        <w:t>形成违规车辆禁用、解禁和台账追踪的闭环监管能力。</w:t>
      </w:r>
    </w:p>
    <w:p>
      <w:pPr>
        <w:pStyle w:val="Heading2"/>
      </w:pPr>
      <w:r>
        <w:t>2. 模块技术范围</w:t>
      </w:r>
    </w:p>
    <w:p>
      <w:pPr>
        <w:spacing w:after="120"/>
      </w:pPr>
      <w:r>
        <w:t>违规车辆清单模块技术范围覆盖前端页面、后台接口、业务服务、数据模型、审批联动、消息通知、日志审计、导入导出、移动端或第三方对接等能力。</w:t>
      </w:r>
    </w:p>
    <w:p>
      <w:pPr>
        <w:pStyle w:val="Heading2"/>
      </w:pPr>
      <w:r>
        <w:t>3. 总体能力设计</w:t>
      </w:r>
    </w:p>
    <w:p>
      <w:pPr>
        <w:spacing w:after="120"/>
      </w:pPr>
      <w:r>
        <w:t>违规车辆清单模块直接服务执法和运营风控，需要建立车辆异常进入、违规运输、禁入场地等监管处置能力。技术上采用统一前后端分层架构，前端负责界面编排与交互约束，后端负责业务校验、流程编排、数据存储、异步任务和接口开放。</w:t>
      </w:r>
    </w:p>
    <w:p>
      <w:pPr>
        <w:pStyle w:val="Heading2"/>
      </w:pPr>
      <w:r>
        <w:t>4. 功能点技术实现方案</w:t>
      </w:r>
    </w:p>
    <w:p>
      <w:pPr>
        <w:pStyle w:val="Heading3"/>
      </w:pPr>
      <w:r>
        <w:t>4.1 车辆禁用清单</w:t>
      </w:r>
    </w:p>
    <w:p>
      <w:pPr>
        <w:spacing w:after="120"/>
      </w:pPr>
      <w:r>
        <w:t>目标能力 建设“车辆禁用清单”的标准化服务能力，满足支持违规车辆的管理，实现车辆禁用数据的查询的业务目标，并为后续审批、预警、统计、移动端和第三方联动提供统一接口支撑。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执法人员、场地管理员、监管人员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/api/disabled-vehicles：承载“车辆禁用清单”相关的查询、提交、处理或结果获取能力。</w:t>
      </w:r>
    </w:p>
    <w:p>
      <w:pPr>
        <w:pStyle w:val="ListBullet"/>
        <w:spacing w:after="40"/>
      </w:pPr>
      <w:r>
        <w:t>GET /api/disabled-vehicles/{id}：承载“车辆禁用清单”相关的查询、提交、处理或结果获取能力。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4.2 车辆禁用/解禁</w:t>
      </w:r>
    </w:p>
    <w:p>
      <w:pPr>
        <w:spacing w:after="120"/>
      </w:pPr>
      <w:r>
        <w:t>目标能力 建设“车辆禁用/解禁”的标准化服务能力，满足支持单个车辆的禁止消纳运营以及禁用时限的配置；支持禁用车辆的提前解禁的操作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执法人员、场地管理员、监管人员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/api/disabled-vehicles：承载“车辆禁用/解禁”相关的查询、提交、处理或结果获取能力。</w:t>
      </w:r>
    </w:p>
    <w:p>
      <w:pPr>
        <w:pStyle w:val="ListBullet"/>
        <w:spacing w:after="40"/>
      </w:pPr>
      <w:r>
        <w:t>POST /api/disabled-vehicles：承载“车辆禁用/解禁”相关的查询、提交、处理或结果获取能力。</w:t>
      </w:r>
    </w:p>
    <w:p>
      <w:pPr>
        <w:pStyle w:val="ListBullet"/>
        <w:spacing w:after="40"/>
      </w:pPr>
      <w:r>
        <w:t>PUT /api/disabled-vehicles/{id}：承载“车辆禁用/解禁”相关的查询、提交、处理或结果获取能力。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2"/>
      </w:pPr>
      <w:r>
        <w:t>5. 核心数据对象设计</w:t>
      </w:r>
    </w:p>
    <w:p>
      <w:pPr>
        <w:pStyle w:val="ListBullet"/>
        <w:spacing w:after="40"/>
      </w:pPr>
      <w:r>
        <w:t>违规车辆记录 ViolationVehicle</w:t>
      </w:r>
    </w:p>
    <w:p>
      <w:pPr>
        <w:pStyle w:val="ListBullet"/>
        <w:spacing w:after="40"/>
      </w:pPr>
      <w:r>
        <w:t>车辆禁用记录 VehicleBanRecord</w:t>
      </w:r>
    </w:p>
    <w:p>
      <w:pPr>
        <w:pStyle w:val="ListBullet"/>
        <w:spacing w:after="40"/>
      </w:pPr>
      <w:r>
        <w:t>车辆解禁记录 VehicleUnbanRecord</w:t>
      </w:r>
    </w:p>
    <w:p>
      <w:pPr>
        <w:pStyle w:val="Heading2"/>
      </w:pPr>
      <w:r>
        <w:t>6. 业务接口设计</w:t>
      </w:r>
    </w:p>
    <w:p>
      <w:pPr>
        <w:pStyle w:val="ListBullet"/>
        <w:spacing w:after="40"/>
      </w:pPr>
      <w:r>
        <w:t>统一接口前缀建议采用 /api/disabled-vehicles 或对应移动端、专项前缀，实现前后端接口分层清晰。</w:t>
      </w:r>
    </w:p>
    <w:p>
      <w:pPr>
        <w:pStyle w:val="ListBullet"/>
        <w:spacing w:after="40"/>
      </w:pPr>
      <w:r>
        <w:t>查询类接口支持分页、排序、条件过滤、字典翻译和状态聚合。</w:t>
      </w:r>
    </w:p>
    <w:p>
      <w:pPr>
        <w:pStyle w:val="ListBullet"/>
        <w:spacing w:after="40"/>
      </w:pPr>
      <w:r>
        <w:t>变更类接口支持幂等控制、状态校验、附件提交、审批提交流程和消息触发。</w:t>
      </w:r>
    </w:p>
    <w:p>
      <w:pPr>
        <w:pStyle w:val="Heading2"/>
      </w:pPr>
      <w:r>
        <w:t>7. 业务流程设计</w:t>
      </w:r>
    </w:p>
    <w:p>
      <w:pPr>
        <w:pStyle w:val="ListBullet"/>
        <w:spacing w:after="40"/>
      </w:pPr>
      <w:r>
        <w:t>业务流程统一遵循“发起/采集 -&gt; 校验 -&gt; 提交/处理 -&gt; 审批/同步 -&gt; 结果回写 -&gt; 留痕/通知”的流程骨架。</w:t>
      </w:r>
    </w:p>
    <w:p>
      <w:pPr>
        <w:pStyle w:val="ListBullet"/>
        <w:spacing w:after="40"/>
      </w:pPr>
      <w:r>
        <w:t>涉及统计、导出、同步、报表和预警生成的场景，采用异步任务和批处理机制降低接口阻塞风险。</w:t>
      </w:r>
    </w:p>
    <w:p>
      <w:pPr>
        <w:pStyle w:val="Heading2"/>
      </w:pPr>
      <w:r>
        <w:t>8. 权限与数据范围控制</w:t>
      </w:r>
    </w:p>
    <w:p>
      <w:pPr>
        <w:pStyle w:val="ListBullet"/>
        <w:spacing w:after="40"/>
      </w:pPr>
      <w:r>
        <w:t>统一接入组织、用户、角色和数据范围控制体系，按单位、项目、场地、车辆、合同等维度裁剪数据可见范围。</w:t>
      </w:r>
    </w:p>
    <w:p>
      <w:pPr>
        <w:pStyle w:val="ListBullet"/>
        <w:spacing w:after="40"/>
      </w:pPr>
      <w:r>
        <w:t>移动端、第三方接口和后台接口均需绑定独立的身份凭据和访问授权。</w:t>
      </w:r>
    </w:p>
    <w:p>
      <w:pPr>
        <w:pStyle w:val="Heading2"/>
      </w:pPr>
      <w:r>
        <w:t>9. 异常处理与补偿机制</w:t>
      </w:r>
    </w:p>
    <w:p>
      <w:pPr>
        <w:pStyle w:val="ListBullet"/>
        <w:spacing w:after="40"/>
      </w:pPr>
      <w:r>
        <w:t>关键接口统一返回错误码、错误信息、追踪编号和建议处理方式。</w:t>
      </w:r>
    </w:p>
    <w:p>
      <w:pPr>
        <w:pStyle w:val="ListBullet"/>
        <w:spacing w:after="40"/>
      </w:pPr>
      <w:r>
        <w:t>异步任务支持失败重试、批次追踪、人工补录、对账补偿和回滚控制。</w:t>
      </w:r>
    </w:p>
    <w:p>
      <w:pPr>
        <w:pStyle w:val="Heading2"/>
      </w:pPr>
      <w:r>
        <w:t>10. 日志审计与追溯要求</w:t>
      </w:r>
    </w:p>
    <w:p>
      <w:pPr>
        <w:pStyle w:val="ListBullet"/>
        <w:spacing w:after="40"/>
      </w:pPr>
      <w:r>
        <w:t>记录接口访问日志、业务操作日志、审批日志、同步日志、错误日志和消息推送回执。</w:t>
      </w:r>
    </w:p>
    <w:p>
      <w:pPr>
        <w:pStyle w:val="ListBullet"/>
        <w:spacing w:after="40"/>
      </w:pPr>
      <w:r>
        <w:t>关键业务对象支持按单号、主键、批次号、外部编码追溯全链路处理过程。</w:t>
      </w:r>
    </w:p>
    <w:p>
      <w:pPr>
        <w:pStyle w:val="Heading2"/>
      </w:pPr>
      <w:r>
        <w:t>11. 与第三方或其他模块协同方式</w:t>
      </w:r>
    </w:p>
    <w:p>
      <w:pPr>
        <w:pStyle w:val="ListBullet"/>
        <w:spacing w:after="40"/>
      </w:pPr>
      <w:r>
        <w:t>与组织权限体系协同实现统一身份和数据授权。</w:t>
      </w:r>
    </w:p>
    <w:p>
      <w:pPr>
        <w:pStyle w:val="ListBullet"/>
        <w:spacing w:after="40"/>
      </w:pPr>
      <w:r>
        <w:t>与审批配置、消息中心、日志中心协同实现流程驱动、消息触达和可审计治理。</w:t>
      </w:r>
    </w:p>
    <w:p>
      <w:pPr>
        <w:pStyle w:val="ListBullet"/>
        <w:spacing w:after="40"/>
      </w:pPr>
      <w:r>
        <w:t>与平台对接、小程序、统计分析、数据看板协同实现跨平台数据共享和能力复用。</w:t>
      </w:r>
    </w:p>
    <w:p>
      <w:pPr>
        <w:pStyle w:val="Heading2"/>
      </w:pPr>
      <w:r>
        <w:t>12. 性能与扩展性要求</w:t>
      </w:r>
    </w:p>
    <w:p>
      <w:pPr>
        <w:pStyle w:val="ListBullet"/>
        <w:spacing w:after="40"/>
      </w:pPr>
      <w:r>
        <w:t>列表和报表需支持分页、条件索引、聚合优化和异步导出。</w:t>
      </w:r>
    </w:p>
    <w:p>
      <w:pPr>
        <w:pStyle w:val="ListBullet"/>
        <w:spacing w:after="40"/>
      </w:pPr>
      <w:r>
        <w:t>地图、轨迹、视频、地磅、同步日志等大体量数据建议分表、归档或采用冷热分层策略。</w:t>
      </w:r>
    </w:p>
    <w:p>
      <w:pPr>
        <w:pStyle w:val="Heading2"/>
      </w:pPr>
      <w:r>
        <w:t>13. 本模块交付说明</w:t>
      </w:r>
    </w:p>
    <w:p>
      <w:pPr>
        <w:spacing w:after="120"/>
      </w:pPr>
      <w:r>
        <w:t>违规车辆清单模块应作为独立可交付能力建设，既满足甲方当前招标要求，也为后续扩展第三方对接、移动端深化、规则引擎和经营分析能力保留扩展接口。</w:t>
      </w:r>
    </w:p>
    <w:p>
      <w:pPr>
        <w:sectPr>
          <w:pgSz w:w="12240" w:h="15840"/>
          <w:pgMar w:top="1440" w:right="1587" w:bottom="1440" w:left="1587" w:header="720" w:footer="720" w:gutter="0"/>
          <w:cols w:space="720"/>
          <w:docGrid w:linePitch="360"/>
        </w:sectPr>
      </w:pPr>
    </w:p>
    <w:p>
      <w:pPr>
        <w:pStyle w:val="Heading1"/>
      </w:pPr>
      <w:r>
        <w:t>事件管理技术方案</w:t>
      </w:r>
    </w:p>
    <w:p>
      <w:pPr>
        <w:pStyle w:val="Heading2"/>
      </w:pPr>
      <w:r>
        <w:t>1. 模块建设目标</w:t>
      </w:r>
    </w:p>
    <w:p>
      <w:pPr>
        <w:spacing w:after="120"/>
      </w:pPr>
      <w:r>
        <w:t>建立事件上报、审核、处理、归档的协同闭环。</w:t>
      </w:r>
    </w:p>
    <w:p>
      <w:pPr>
        <w:pStyle w:val="Heading2"/>
      </w:pPr>
      <w:r>
        <w:t>2. 模块技术范围</w:t>
      </w:r>
    </w:p>
    <w:p>
      <w:pPr>
        <w:spacing w:after="120"/>
      </w:pPr>
      <w:r>
        <w:t>事件管理模块技术范围覆盖前端页面、后台接口、业务服务、数据模型、审批联动、消息通知、日志审计、导入导出、移动端或第三方对接等能力。</w:t>
      </w:r>
    </w:p>
    <w:p>
      <w:pPr>
        <w:pStyle w:val="Heading2"/>
      </w:pPr>
      <w:r>
        <w:t>3. 总体能力设计</w:t>
      </w:r>
    </w:p>
    <w:p>
      <w:pPr>
        <w:spacing w:after="120"/>
      </w:pPr>
      <w:r>
        <w:t>事件管理模块承担异常事项和人工工单的统一受理中心作用，面向延期申报、场地事件、举报和反馈等场景提供统一工单化治理能力。技术上采用统一前后端分层架构，前端负责界面编排与交互约束，后端负责业务校验、流程编排、数据存储、异步任务和接口开放。</w:t>
      </w:r>
    </w:p>
    <w:p>
      <w:pPr>
        <w:pStyle w:val="Heading2"/>
      </w:pPr>
      <w:r>
        <w:t>4. 功能点技术实现方案</w:t>
      </w:r>
    </w:p>
    <w:p>
      <w:pPr>
        <w:pStyle w:val="Heading3"/>
      </w:pPr>
      <w:r>
        <w:t>4.1 人工事件</w:t>
      </w:r>
    </w:p>
    <w:p>
      <w:pPr>
        <w:spacing w:after="120"/>
      </w:pPr>
      <w:r>
        <w:t>目标能力 建设“人工事件”的标准化服务能力，满足展示申请事件清单列表，并且支持多条件的组合筛选列表结果，事件包含延期申报、场地事件、违规举报等类型展示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事件上报人、审核人员、处置人员、平台管理员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/api/manual-events：承载“人工事件”相关的查询、提交、处理或结果获取能力。</w:t>
      </w:r>
    </w:p>
    <w:p>
      <w:pPr>
        <w:pStyle w:val="ListBullet"/>
        <w:spacing w:after="40"/>
      </w:pPr>
      <w:r>
        <w:t>POST /api/manual-events：承载“人工事件”相关的查询、提交、处理或结果获取能力。</w:t>
      </w:r>
    </w:p>
    <w:p>
      <w:pPr>
        <w:pStyle w:val="ListBullet"/>
        <w:spacing w:after="40"/>
      </w:pPr>
      <w:r>
        <w:t>PUT /api/manual-events/{id}：承载“人工事件”相关的查询、提交、处理或结果获取能力。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4.2 事件审核</w:t>
      </w:r>
    </w:p>
    <w:p>
      <w:pPr>
        <w:spacing w:after="120"/>
      </w:pPr>
      <w:r>
        <w:t>目标能力 建设“事件审核”的标准化服务能力，满足支持上报事件的审核审批功能，支持权限人员进行通过和退回操作的业务目标，并为后续审批、预警、统计、移动端和第三方联动提供统一接口支撑。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事件上报人、审核人员、处置人员、平台管理员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POST /api/manual-events/{id}/submit：承载“事件审核”相关的查询、提交、处理或结果获取能力。</w:t>
      </w:r>
    </w:p>
    <w:p>
      <w:pPr>
        <w:pStyle w:val="ListBullet"/>
        <w:spacing w:after="40"/>
      </w:pPr>
      <w:r>
        <w:t>POST /api/manual-events/{id}/approve：承载“事件审核”相关的查询、提交、处理或结果获取能力。</w:t>
      </w:r>
    </w:p>
    <w:p>
      <w:pPr>
        <w:pStyle w:val="ListBullet"/>
        <w:spacing w:after="40"/>
      </w:pPr>
      <w:r>
        <w:t>POST /api/manual-events/{id}/reject：承载“事件审核”相关的查询、提交、处理或结果获取能力。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2"/>
      </w:pPr>
      <w:r>
        <w:t>5. 核心数据对象设计</w:t>
      </w:r>
    </w:p>
    <w:p>
      <w:pPr>
        <w:pStyle w:val="ListBullet"/>
        <w:spacing w:after="40"/>
      </w:pPr>
      <w:r>
        <w:t>事件主单 ManualEvent</w:t>
      </w:r>
    </w:p>
    <w:p>
      <w:pPr>
        <w:pStyle w:val="ListBullet"/>
        <w:spacing w:after="40"/>
      </w:pPr>
      <w:r>
        <w:t>事件审核记录 EventApproval</w:t>
      </w:r>
    </w:p>
    <w:p>
      <w:pPr>
        <w:pStyle w:val="ListBullet"/>
        <w:spacing w:after="40"/>
      </w:pPr>
      <w:r>
        <w:t>事件附件 EventAttachment</w:t>
      </w:r>
    </w:p>
    <w:p>
      <w:pPr>
        <w:pStyle w:val="ListBullet"/>
        <w:spacing w:after="40"/>
      </w:pPr>
      <w:r>
        <w:t>事件处置记录 EventAction</w:t>
      </w:r>
    </w:p>
    <w:p>
      <w:pPr>
        <w:pStyle w:val="Heading2"/>
      </w:pPr>
      <w:r>
        <w:t>6. 业务接口设计</w:t>
      </w:r>
    </w:p>
    <w:p>
      <w:pPr>
        <w:pStyle w:val="ListBullet"/>
        <w:spacing w:after="40"/>
      </w:pPr>
      <w:r>
        <w:t>统一接口前缀建议采用 /api/manual-events 或对应移动端、专项前缀，实现前后端接口分层清晰。</w:t>
      </w:r>
    </w:p>
    <w:p>
      <w:pPr>
        <w:pStyle w:val="ListBullet"/>
        <w:spacing w:after="40"/>
      </w:pPr>
      <w:r>
        <w:t>查询类接口支持分页、排序、条件过滤、字典翻译和状态聚合。</w:t>
      </w:r>
    </w:p>
    <w:p>
      <w:pPr>
        <w:pStyle w:val="ListBullet"/>
        <w:spacing w:after="40"/>
      </w:pPr>
      <w:r>
        <w:t>变更类接口支持幂等控制、状态校验、附件提交、审批提交流程和消息触发。</w:t>
      </w:r>
    </w:p>
    <w:p>
      <w:pPr>
        <w:pStyle w:val="Heading2"/>
      </w:pPr>
      <w:r>
        <w:t>7. 业务流程设计</w:t>
      </w:r>
    </w:p>
    <w:p>
      <w:pPr>
        <w:pStyle w:val="ListBullet"/>
        <w:spacing w:after="40"/>
      </w:pPr>
      <w:r>
        <w:t>业务流程统一遵循“发起/采集 -&gt; 校验 -&gt; 提交/处理 -&gt; 审批/同步 -&gt; 结果回写 -&gt; 留痕/通知”的流程骨架。</w:t>
      </w:r>
    </w:p>
    <w:p>
      <w:pPr>
        <w:pStyle w:val="ListBullet"/>
        <w:spacing w:after="40"/>
      </w:pPr>
      <w:r>
        <w:t>涉及统计、导出、同步、报表和预警生成的场景，采用异步任务和批处理机制降低接口阻塞风险。</w:t>
      </w:r>
    </w:p>
    <w:p>
      <w:pPr>
        <w:pStyle w:val="Heading2"/>
      </w:pPr>
      <w:r>
        <w:t>8. 权限与数据范围控制</w:t>
      </w:r>
    </w:p>
    <w:p>
      <w:pPr>
        <w:pStyle w:val="ListBullet"/>
        <w:spacing w:after="40"/>
      </w:pPr>
      <w:r>
        <w:t>统一接入组织、用户、角色和数据范围控制体系，按单位、项目、场地、车辆、合同等维度裁剪数据可见范围。</w:t>
      </w:r>
    </w:p>
    <w:p>
      <w:pPr>
        <w:pStyle w:val="ListBullet"/>
        <w:spacing w:after="40"/>
      </w:pPr>
      <w:r>
        <w:t>移动端、第三方接口和后台接口均需绑定独立的身份凭据和访问授权。</w:t>
      </w:r>
    </w:p>
    <w:p>
      <w:pPr>
        <w:pStyle w:val="Heading2"/>
      </w:pPr>
      <w:r>
        <w:t>9. 异常处理与补偿机制</w:t>
      </w:r>
    </w:p>
    <w:p>
      <w:pPr>
        <w:pStyle w:val="ListBullet"/>
        <w:spacing w:after="40"/>
      </w:pPr>
      <w:r>
        <w:t>关键接口统一返回错误码、错误信息、追踪编号和建议处理方式。</w:t>
      </w:r>
    </w:p>
    <w:p>
      <w:pPr>
        <w:pStyle w:val="ListBullet"/>
        <w:spacing w:after="40"/>
      </w:pPr>
      <w:r>
        <w:t>异步任务支持失败重试、批次追踪、人工补录、对账补偿和回滚控制。</w:t>
      </w:r>
    </w:p>
    <w:p>
      <w:pPr>
        <w:pStyle w:val="Heading2"/>
      </w:pPr>
      <w:r>
        <w:t>10. 日志审计与追溯要求</w:t>
      </w:r>
    </w:p>
    <w:p>
      <w:pPr>
        <w:pStyle w:val="ListBullet"/>
        <w:spacing w:after="40"/>
      </w:pPr>
      <w:r>
        <w:t>记录接口访问日志、业务操作日志、审批日志、同步日志、错误日志和消息推送回执。</w:t>
      </w:r>
    </w:p>
    <w:p>
      <w:pPr>
        <w:pStyle w:val="ListBullet"/>
        <w:spacing w:after="40"/>
      </w:pPr>
      <w:r>
        <w:t>关键业务对象支持按单号、主键、批次号、外部编码追溯全链路处理过程。</w:t>
      </w:r>
    </w:p>
    <w:p>
      <w:pPr>
        <w:pStyle w:val="Heading2"/>
      </w:pPr>
      <w:r>
        <w:t>11. 与第三方或其他模块协同方式</w:t>
      </w:r>
    </w:p>
    <w:p>
      <w:pPr>
        <w:pStyle w:val="ListBullet"/>
        <w:spacing w:after="40"/>
      </w:pPr>
      <w:r>
        <w:t>与组织权限体系协同实现统一身份和数据授权。</w:t>
      </w:r>
    </w:p>
    <w:p>
      <w:pPr>
        <w:pStyle w:val="ListBullet"/>
        <w:spacing w:after="40"/>
      </w:pPr>
      <w:r>
        <w:t>与审批配置、消息中心、日志中心协同实现流程驱动、消息触达和可审计治理。</w:t>
      </w:r>
    </w:p>
    <w:p>
      <w:pPr>
        <w:pStyle w:val="ListBullet"/>
        <w:spacing w:after="40"/>
      </w:pPr>
      <w:r>
        <w:t>与平台对接、小程序、统计分析、数据看板协同实现跨平台数据共享和能力复用。</w:t>
      </w:r>
    </w:p>
    <w:p>
      <w:pPr>
        <w:pStyle w:val="Heading2"/>
      </w:pPr>
      <w:r>
        <w:t>12. 性能与扩展性要求</w:t>
      </w:r>
    </w:p>
    <w:p>
      <w:pPr>
        <w:pStyle w:val="ListBullet"/>
        <w:spacing w:after="40"/>
      </w:pPr>
      <w:r>
        <w:t>列表和报表需支持分页、条件索引、聚合优化和异步导出。</w:t>
      </w:r>
    </w:p>
    <w:p>
      <w:pPr>
        <w:pStyle w:val="ListBullet"/>
        <w:spacing w:after="40"/>
      </w:pPr>
      <w:r>
        <w:t>地图、轨迹、视频、地磅、同步日志等大体量数据建议分表、归档或采用冷热分层策略。</w:t>
      </w:r>
    </w:p>
    <w:p>
      <w:pPr>
        <w:pStyle w:val="Heading2"/>
      </w:pPr>
      <w:r>
        <w:t>13. 本模块交付说明</w:t>
      </w:r>
    </w:p>
    <w:p>
      <w:pPr>
        <w:spacing w:after="120"/>
      </w:pPr>
      <w:r>
        <w:t>事件管理模块应作为独立可交付能力建设，既满足甲方当前招标要求，也为后续扩展第三方对接、移动端深化、规则引擎和经营分析能力保留扩展接口。</w:t>
      </w:r>
    </w:p>
    <w:p>
      <w:pPr>
        <w:sectPr>
          <w:pgSz w:w="12240" w:h="15840"/>
          <w:pgMar w:top="1440" w:right="1587" w:bottom="1440" w:left="1587" w:header="720" w:footer="720" w:gutter="0"/>
          <w:cols w:space="720"/>
          <w:docGrid w:linePitch="360"/>
        </w:sectPr>
      </w:pPr>
    </w:p>
    <w:p>
      <w:pPr>
        <w:pStyle w:val="Heading1"/>
      </w:pPr>
      <w:r>
        <w:t>系统预警技术方案</w:t>
      </w:r>
    </w:p>
    <w:p>
      <w:pPr>
        <w:pStyle w:val="Heading2"/>
      </w:pPr>
      <w:r>
        <w:t>1. 模块建设目标</w:t>
      </w:r>
    </w:p>
    <w:p>
      <w:pPr>
        <w:spacing w:after="120"/>
      </w:pPr>
      <w:r>
        <w:t>建立围绕场地、项目、人员、车辆、合同的多维预警能力。</w:t>
      </w:r>
    </w:p>
    <w:p>
      <w:pPr>
        <w:pStyle w:val="Heading2"/>
      </w:pPr>
      <w:r>
        <w:t>2. 模块技术范围</w:t>
      </w:r>
    </w:p>
    <w:p>
      <w:pPr>
        <w:spacing w:after="120"/>
      </w:pPr>
      <w:r>
        <w:t>系统预警模块技术范围覆盖前端页面、后台接口、业务服务、数据模型、审批联动、消息通知、日志审计、导入导出、移动端或第三方对接等能力。</w:t>
      </w:r>
    </w:p>
    <w:p>
      <w:pPr>
        <w:pStyle w:val="Heading2"/>
      </w:pPr>
      <w:r>
        <w:t>3. 总体能力设计</w:t>
      </w:r>
    </w:p>
    <w:p>
      <w:pPr>
        <w:spacing w:after="120"/>
      </w:pPr>
      <w:r>
        <w:t>系统预警模块是平台监管中枢，依托业务台账、定位轨迹、证照状态、合同状态和规则配置实现风险发现、消息触达和处置闭环。技术上采用统一前后端分层架构，前端负责界面编排与交互约束，后端负责业务校验、流程编排、数据存储、异步任务和接口开放。</w:t>
      </w:r>
    </w:p>
    <w:p>
      <w:pPr>
        <w:pStyle w:val="Heading2"/>
      </w:pPr>
      <w:r>
        <w:t>4. 功能点技术实现方案</w:t>
      </w:r>
    </w:p>
    <w:p>
      <w:pPr>
        <w:pStyle w:val="Heading3"/>
      </w:pPr>
      <w:r>
        <w:t>4.1 场地预警</w:t>
      </w:r>
    </w:p>
    <w:p>
      <w:pPr>
        <w:spacing w:after="120"/>
      </w:pPr>
      <w:r>
        <w:t>目标能力 建设“场地预警”的标准化服务能力，满足林地占用情况的分析和预警；实现场地容量的判断和预警；实现场地凭证有效期的判断和预警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监管人员、场地管理员、项目经理、车队管理员、平台运营人员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/api/alerts：承载“场地预警”相关的查询、提交、处理或结果获取能力。</w:t>
      </w:r>
    </w:p>
    <w:p>
      <w:pPr>
        <w:pStyle w:val="ListBullet"/>
        <w:spacing w:after="40"/>
      </w:pPr>
      <w:r>
        <w:t>POST /api/alerts：承载“场地预警”相关的查询、提交、处理或结果获取能力。</w:t>
      </w:r>
    </w:p>
    <w:p>
      <w:pPr>
        <w:pStyle w:val="ListBullet"/>
        <w:spacing w:after="40"/>
      </w:pPr>
      <w:r>
        <w:t>PUT /api/alerts/{id}：承载“场地预警”相关的查询、提交、处理或结果获取能力。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4.2 项目预警</w:t>
      </w:r>
    </w:p>
    <w:p>
      <w:pPr>
        <w:spacing w:after="120"/>
      </w:pPr>
      <w:r>
        <w:t>目标能力 建设“项目预警”的标准化服务能力，满足项目消纳量进度的预警；实现项目关联处置证有效期的预警的业务目标，并为后续审批、预警、统计、移动端和第三方联动提供统一接口支撑。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监管人员、场地管理员、项目经理、车队管理员、平台运营人员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/api/alerts：承载“项目预警”相关的查询、提交、处理或结果获取能力。</w:t>
      </w:r>
    </w:p>
    <w:p>
      <w:pPr>
        <w:pStyle w:val="ListBullet"/>
        <w:spacing w:after="40"/>
      </w:pPr>
      <w:r>
        <w:t>POST /api/alerts：承载“项目预警”相关的查询、提交、处理或结果获取能力。</w:t>
      </w:r>
    </w:p>
    <w:p>
      <w:pPr>
        <w:pStyle w:val="ListBullet"/>
        <w:spacing w:after="40"/>
      </w:pPr>
      <w:r>
        <w:t>PUT /api/alerts/{id}：承载“项目预警”相关的查询、提交、处理或结果获取能力。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4.3 人员预警</w:t>
      </w:r>
    </w:p>
    <w:p>
      <w:pPr>
        <w:spacing w:after="120"/>
      </w:pPr>
      <w:r>
        <w:t>目标能力 建设“人员预警”的标准化服务能力，满足主要针对自招司机的安全驾驶预警，如存在习惯性违章、准驾年龄到期等的业务目标，并为后续审批、预警、统计、移动端和第三方联动提供统一接口支撑。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监管人员、场地管理员、项目经理、车队管理员、平台运营人员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/api/alerts：承载“人员预警”相关的查询、提交、处理或结果获取能力。</w:t>
      </w:r>
    </w:p>
    <w:p>
      <w:pPr>
        <w:pStyle w:val="ListBullet"/>
        <w:spacing w:after="40"/>
      </w:pPr>
      <w:r>
        <w:t>POST /api/alerts：承载“人员预警”相关的查询、提交、处理或结果获取能力。</w:t>
      </w:r>
    </w:p>
    <w:p>
      <w:pPr>
        <w:pStyle w:val="ListBullet"/>
        <w:spacing w:after="40"/>
      </w:pPr>
      <w:r>
        <w:t>PUT /api/alerts/{id}：承载“人员预警”相关的查询、提交、处理或结果获取能力。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4.4 车辆预警</w:t>
      </w:r>
    </w:p>
    <w:p>
      <w:pPr>
        <w:spacing w:after="120"/>
      </w:pPr>
      <w:r>
        <w:t>目标能力 建设“车辆预警”的标准化服务能力，满足进入场地时抓拍分析的非法闯禁消纳的预警；实现进入场地时抓拍分析未出土打卡进场消纳的预警；实现进入场地时抓拍分析的证件超时消纳异常情况的预警；通过车载GPS比对，实现车辆未按照规定线路进行消纳的车辆违规运输行为的预警；通过GPS分析非平台车辆的进入平台配置区域的预警功能；车辆年审、保险、保养等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监管人员、场地管理员、项目经理、车队管理员、平台运营人员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/api/alerts：承载“车辆预警”相关的查询、提交、处理或结果获取能力。</w:t>
      </w:r>
    </w:p>
    <w:p>
      <w:pPr>
        <w:pStyle w:val="ListBullet"/>
        <w:spacing w:after="40"/>
      </w:pPr>
      <w:r>
        <w:t>POST /api/alerts：承载“车辆预警”相关的查询、提交、处理或结果获取能力。</w:t>
      </w:r>
    </w:p>
    <w:p>
      <w:pPr>
        <w:pStyle w:val="ListBullet"/>
        <w:spacing w:after="40"/>
      </w:pPr>
      <w:r>
        <w:t>PUT /api/alerts/{id}：承载“车辆预警”相关的查询、提交、处理或结果获取能力。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4.5 合同预警</w:t>
      </w:r>
    </w:p>
    <w:p>
      <w:pPr>
        <w:spacing w:after="120"/>
      </w:pPr>
      <w:r>
        <w:t>目标能力 建设“合同预警”的标准化服务能力，满足支持各类合同时间预警如：合作车辆（队）合同剩余期限，应付款时间提醒；渣土消纳合同剩余期限，应付款时间提醒；其他租赁合同剩余期限（如网络运营商，系统运维合同等）。实现项目剩余金额的预警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监管人员、场地管理员、项目经理、车队管理员、平台运营人员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/api/alerts：承载“合同预警”相关的查询、提交、处理或结果获取能力。</w:t>
      </w:r>
    </w:p>
    <w:p>
      <w:pPr>
        <w:pStyle w:val="ListBullet"/>
        <w:spacing w:after="40"/>
      </w:pPr>
      <w:r>
        <w:t>POST /api/alerts：承载“合同预警”相关的查询、提交、处理或结果获取能力。</w:t>
      </w:r>
    </w:p>
    <w:p>
      <w:pPr>
        <w:pStyle w:val="ListBullet"/>
        <w:spacing w:after="40"/>
      </w:pPr>
      <w:r>
        <w:t>PUT /api/alerts/{id}：承载“合同预警”相关的查询、提交、处理或结果获取能力。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2"/>
      </w:pPr>
      <w:r>
        <w:t>5. 核心数据对象设计</w:t>
      </w:r>
    </w:p>
    <w:p>
      <w:pPr>
        <w:pStyle w:val="ListBullet"/>
        <w:spacing w:after="40"/>
      </w:pPr>
      <w:r>
        <w:t>预警记录 AlertRecord</w:t>
      </w:r>
    </w:p>
    <w:p>
      <w:pPr>
        <w:pStyle w:val="ListBullet"/>
        <w:spacing w:after="40"/>
      </w:pPr>
      <w:r>
        <w:t>预警对象 AlertSubject</w:t>
      </w:r>
    </w:p>
    <w:p>
      <w:pPr>
        <w:pStyle w:val="ListBullet"/>
        <w:spacing w:after="40"/>
      </w:pPr>
      <w:r>
        <w:t>预警处置记录 AlertHandling</w:t>
      </w:r>
    </w:p>
    <w:p>
      <w:pPr>
        <w:pStyle w:val="ListBullet"/>
        <w:spacing w:after="40"/>
      </w:pPr>
      <w:r>
        <w:t>预警等级 AlertLevel</w:t>
      </w:r>
    </w:p>
    <w:p>
      <w:pPr>
        <w:pStyle w:val="Heading2"/>
      </w:pPr>
      <w:r>
        <w:t>6. 业务接口设计</w:t>
      </w:r>
    </w:p>
    <w:p>
      <w:pPr>
        <w:pStyle w:val="ListBullet"/>
        <w:spacing w:after="40"/>
      </w:pPr>
      <w:r>
        <w:t>统一接口前缀建议采用 /api/alerts 或对应移动端、专项前缀，实现前后端接口分层清晰。</w:t>
      </w:r>
    </w:p>
    <w:p>
      <w:pPr>
        <w:pStyle w:val="ListBullet"/>
        <w:spacing w:after="40"/>
      </w:pPr>
      <w:r>
        <w:t>查询类接口支持分页、排序、条件过滤、字典翻译和状态聚合。</w:t>
      </w:r>
    </w:p>
    <w:p>
      <w:pPr>
        <w:pStyle w:val="ListBullet"/>
        <w:spacing w:after="40"/>
      </w:pPr>
      <w:r>
        <w:t>变更类接口支持幂等控制、状态校验、附件提交、审批提交流程和消息触发。</w:t>
      </w:r>
    </w:p>
    <w:p>
      <w:pPr>
        <w:pStyle w:val="Heading2"/>
      </w:pPr>
      <w:r>
        <w:t>7. 业务流程设计</w:t>
      </w:r>
    </w:p>
    <w:p>
      <w:pPr>
        <w:pStyle w:val="ListBullet"/>
        <w:spacing w:after="40"/>
      </w:pPr>
      <w:r>
        <w:t>业务流程统一遵循“发起/采集 -&gt; 校验 -&gt; 提交/处理 -&gt; 审批/同步 -&gt; 结果回写 -&gt; 留痕/通知”的流程骨架。</w:t>
      </w:r>
    </w:p>
    <w:p>
      <w:pPr>
        <w:pStyle w:val="ListBullet"/>
        <w:spacing w:after="40"/>
      </w:pPr>
      <w:r>
        <w:t>涉及统计、导出、同步、报表和预警生成的场景，采用异步任务和批处理机制降低接口阻塞风险。</w:t>
      </w:r>
    </w:p>
    <w:p>
      <w:pPr>
        <w:pStyle w:val="Heading2"/>
      </w:pPr>
      <w:r>
        <w:t>8. 权限与数据范围控制</w:t>
      </w:r>
    </w:p>
    <w:p>
      <w:pPr>
        <w:pStyle w:val="ListBullet"/>
        <w:spacing w:after="40"/>
      </w:pPr>
      <w:r>
        <w:t>统一接入组织、用户、角色和数据范围控制体系，按单位、项目、场地、车辆、合同等维度裁剪数据可见范围。</w:t>
      </w:r>
    </w:p>
    <w:p>
      <w:pPr>
        <w:pStyle w:val="ListBullet"/>
        <w:spacing w:after="40"/>
      </w:pPr>
      <w:r>
        <w:t>移动端、第三方接口和后台接口均需绑定独立的身份凭据和访问授权。</w:t>
      </w:r>
    </w:p>
    <w:p>
      <w:pPr>
        <w:pStyle w:val="Heading2"/>
      </w:pPr>
      <w:r>
        <w:t>9. 异常处理与补偿机制</w:t>
      </w:r>
    </w:p>
    <w:p>
      <w:pPr>
        <w:pStyle w:val="ListBullet"/>
        <w:spacing w:after="40"/>
      </w:pPr>
      <w:r>
        <w:t>关键接口统一返回错误码、错误信息、追踪编号和建议处理方式。</w:t>
      </w:r>
    </w:p>
    <w:p>
      <w:pPr>
        <w:pStyle w:val="ListBullet"/>
        <w:spacing w:after="40"/>
      </w:pPr>
      <w:r>
        <w:t>异步任务支持失败重试、批次追踪、人工补录、对账补偿和回滚控制。</w:t>
      </w:r>
    </w:p>
    <w:p>
      <w:pPr>
        <w:pStyle w:val="Heading2"/>
      </w:pPr>
      <w:r>
        <w:t>10. 日志审计与追溯要求</w:t>
      </w:r>
    </w:p>
    <w:p>
      <w:pPr>
        <w:pStyle w:val="ListBullet"/>
        <w:spacing w:after="40"/>
      </w:pPr>
      <w:r>
        <w:t>记录接口访问日志、业务操作日志、审批日志、同步日志、错误日志和消息推送回执。</w:t>
      </w:r>
    </w:p>
    <w:p>
      <w:pPr>
        <w:pStyle w:val="ListBullet"/>
        <w:spacing w:after="40"/>
      </w:pPr>
      <w:r>
        <w:t>关键业务对象支持按单号、主键、批次号、外部编码追溯全链路处理过程。</w:t>
      </w:r>
    </w:p>
    <w:p>
      <w:pPr>
        <w:pStyle w:val="Heading2"/>
      </w:pPr>
      <w:r>
        <w:t>11. 与第三方或其他模块协同方式</w:t>
      </w:r>
    </w:p>
    <w:p>
      <w:pPr>
        <w:pStyle w:val="ListBullet"/>
        <w:spacing w:after="40"/>
      </w:pPr>
      <w:r>
        <w:t>与组织权限体系协同实现统一身份和数据授权。</w:t>
      </w:r>
    </w:p>
    <w:p>
      <w:pPr>
        <w:pStyle w:val="ListBullet"/>
        <w:spacing w:after="40"/>
      </w:pPr>
      <w:r>
        <w:t>与审批配置、消息中心、日志中心协同实现流程驱动、消息触达和可审计治理。</w:t>
      </w:r>
    </w:p>
    <w:p>
      <w:pPr>
        <w:pStyle w:val="ListBullet"/>
        <w:spacing w:after="40"/>
      </w:pPr>
      <w:r>
        <w:t>与平台对接、小程序、统计分析、数据看板协同实现跨平台数据共享和能力复用。</w:t>
      </w:r>
    </w:p>
    <w:p>
      <w:pPr>
        <w:pStyle w:val="Heading2"/>
      </w:pPr>
      <w:r>
        <w:t>12. 性能与扩展性要求</w:t>
      </w:r>
    </w:p>
    <w:p>
      <w:pPr>
        <w:pStyle w:val="ListBullet"/>
        <w:spacing w:after="40"/>
      </w:pPr>
      <w:r>
        <w:t>列表和报表需支持分页、条件索引、聚合优化和异步导出。</w:t>
      </w:r>
    </w:p>
    <w:p>
      <w:pPr>
        <w:pStyle w:val="ListBullet"/>
        <w:spacing w:after="40"/>
      </w:pPr>
      <w:r>
        <w:t>地图、轨迹、视频、地磅、同步日志等大体量数据建议分表、归档或采用冷热分层策略。</w:t>
      </w:r>
    </w:p>
    <w:p>
      <w:pPr>
        <w:pStyle w:val="Heading2"/>
      </w:pPr>
      <w:r>
        <w:t>13. 本模块交付说明</w:t>
      </w:r>
    </w:p>
    <w:p>
      <w:pPr>
        <w:spacing w:after="120"/>
      </w:pPr>
      <w:r>
        <w:t>系统预警模块应作为独立可交付能力建设，既满足甲方当前招标要求，也为后续扩展第三方对接、移动端深化、规则引擎和经营分析能力保留扩展接口。</w:t>
      </w:r>
    </w:p>
    <w:p>
      <w:pPr>
        <w:sectPr>
          <w:pgSz w:w="12240" w:h="15840"/>
          <w:pgMar w:top="1440" w:right="1587" w:bottom="1440" w:left="1587" w:header="720" w:footer="720" w:gutter="0"/>
          <w:cols w:space="720"/>
          <w:docGrid w:linePitch="360"/>
        </w:sectPr>
      </w:pPr>
    </w:p>
    <w:p>
      <w:pPr>
        <w:pStyle w:val="Heading1"/>
      </w:pPr>
      <w:r>
        <w:t>预警配置技术方案</w:t>
      </w:r>
    </w:p>
    <w:p>
      <w:pPr>
        <w:pStyle w:val="Heading2"/>
      </w:pPr>
      <w:r>
        <w:t>1. 模块建设目标</w:t>
      </w:r>
    </w:p>
    <w:p>
      <w:pPr>
        <w:spacing w:after="120"/>
      </w:pPr>
      <w:r>
        <w:t>构建预警规则、围栏和推送策略的可配置化平台。</w:t>
      </w:r>
    </w:p>
    <w:p>
      <w:pPr>
        <w:pStyle w:val="Heading2"/>
      </w:pPr>
      <w:r>
        <w:t>2. 模块技术范围</w:t>
      </w:r>
    </w:p>
    <w:p>
      <w:pPr>
        <w:spacing w:after="120"/>
      </w:pPr>
      <w:r>
        <w:t>预警配置模块技术范围覆盖前端页面、后台接口、业务服务、数据模型、审批联动、消息通知、日志审计、导入导出、移动端或第三方对接等能力。</w:t>
      </w:r>
    </w:p>
    <w:p>
      <w:pPr>
        <w:pStyle w:val="Heading2"/>
      </w:pPr>
      <w:r>
        <w:t>3. 总体能力设计</w:t>
      </w:r>
    </w:p>
    <w:p>
      <w:pPr>
        <w:spacing w:after="120"/>
      </w:pPr>
      <w:r>
        <w:t>预警配置模块为系统预警提供策略底座，负责指标阈值、电子围栏、触发时间窗、推送对象和升级规则等配置能力。技术上采用统一前后端分层架构，前端负责界面编排与交互约束，后端负责业务校验、流程编排、数据存储、异步任务和接口开放。</w:t>
      </w:r>
    </w:p>
    <w:p>
      <w:pPr>
        <w:pStyle w:val="Heading2"/>
      </w:pPr>
      <w:r>
        <w:t>4. 功能点技术实现方案</w:t>
      </w:r>
    </w:p>
    <w:p>
      <w:pPr>
        <w:pStyle w:val="Heading3"/>
      </w:pPr>
      <w:r>
        <w:t>4.1 阈值配置</w:t>
      </w:r>
    </w:p>
    <w:p>
      <w:pPr>
        <w:spacing w:after="120"/>
      </w:pPr>
      <w:r>
        <w:t>目标能力 建设“阈值配置”的标准化服务能力，满足支持场地预警、项目预警和车辆预警，人员预警的触发阈值配置的业务目标，并为后续审批、预警、统计、移动端和第三方联动提供统一接口支撑。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平台管理员、规则管理员、监管配置人员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/api/alert-configs：承载“阈值配置”相关的查询、提交、处理或结果获取能力。</w:t>
      </w:r>
    </w:p>
    <w:p>
      <w:pPr>
        <w:pStyle w:val="ListBullet"/>
        <w:spacing w:after="40"/>
      </w:pPr>
      <w:r>
        <w:t>POST /api/alert-configs：承载“阈值配置”相关的查询、提交、处理或结果获取能力。</w:t>
      </w:r>
    </w:p>
    <w:p>
      <w:pPr>
        <w:pStyle w:val="ListBullet"/>
        <w:spacing w:after="40"/>
      </w:pPr>
      <w:r>
        <w:t>PUT /api/alert-configs/{id}：承载“阈值配置”相关的查询、提交、处理或结果获取能力。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4.2 预警围栏</w:t>
      </w:r>
    </w:p>
    <w:p>
      <w:pPr>
        <w:spacing w:after="120"/>
      </w:pPr>
      <w:r>
        <w:t>目标能力 建设“预警围栏”的标准化服务能力，满足1.增加电子围栏配置功能，支持在地图上进行电子围栏的创建、编辑、删除；2.支持电子围栏预警时间的配置，可以自动开启和关闭预警功能，开启后车辆进入就产生预警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平台管理员、规则管理员、监管配置人员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/api/alert-configs/map：承载“预警围栏”相关的查询、提交、处理或结果获取能力。</w:t>
      </w:r>
    </w:p>
    <w:p>
      <w:pPr>
        <w:pStyle w:val="ListBullet"/>
        <w:spacing w:after="40"/>
      </w:pPr>
      <w:r>
        <w:t>GET /api/alert-configs/track-history：承载“预警围栏”相关的查询、提交、处理或结果获取能力。</w:t>
      </w:r>
    </w:p>
    <w:p>
      <w:pPr>
        <w:pStyle w:val="ListBullet"/>
        <w:spacing w:after="40"/>
      </w:pPr>
      <w:r>
        <w:t>POST /api/alert-configs/fences：承载“预警围栏”相关的查询、提交、处理或结果获取能力。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4.3 推送配置</w:t>
      </w:r>
    </w:p>
    <w:p>
      <w:pPr>
        <w:spacing w:after="120"/>
      </w:pPr>
      <w:r>
        <w:t>目标能力 建设“推送配置”的标准化服务能力，满足支持场地预警、项目预警和车辆预警、合同预警的等级分级配置、推送时间以及推送对象的配置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平台管理员、规则管理员、监管配置人员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/api/alert-configs：承载“推送配置”相关的查询、提交、处理或结果获取能力。</w:t>
      </w:r>
    </w:p>
    <w:p>
      <w:pPr>
        <w:pStyle w:val="ListBullet"/>
        <w:spacing w:after="40"/>
      </w:pPr>
      <w:r>
        <w:t>POST /api/alert-configs：承载“推送配置”相关的查询、提交、处理或结果获取能力。</w:t>
      </w:r>
    </w:p>
    <w:p>
      <w:pPr>
        <w:pStyle w:val="ListBullet"/>
        <w:spacing w:after="40"/>
      </w:pPr>
      <w:r>
        <w:t>PUT /api/alert-configs/{id}：承载“推送配置”相关的查询、提交、处理或结果获取能力。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2"/>
      </w:pPr>
      <w:r>
        <w:t>5. 核心数据对象设计</w:t>
      </w:r>
    </w:p>
    <w:p>
      <w:pPr>
        <w:pStyle w:val="ListBullet"/>
        <w:spacing w:after="40"/>
      </w:pPr>
      <w:r>
        <w:t>预警规则 AlertRule</w:t>
      </w:r>
    </w:p>
    <w:p>
      <w:pPr>
        <w:pStyle w:val="ListBullet"/>
        <w:spacing w:after="40"/>
      </w:pPr>
      <w:r>
        <w:t>预警围栏 AlertFence</w:t>
      </w:r>
    </w:p>
    <w:p>
      <w:pPr>
        <w:pStyle w:val="ListBullet"/>
        <w:spacing w:after="40"/>
      </w:pPr>
      <w:r>
        <w:t>推送规则 AlertPushRule</w:t>
      </w:r>
    </w:p>
    <w:p>
      <w:pPr>
        <w:pStyle w:val="Heading2"/>
      </w:pPr>
      <w:r>
        <w:t>6. 业务接口设计</w:t>
      </w:r>
    </w:p>
    <w:p>
      <w:pPr>
        <w:pStyle w:val="ListBullet"/>
        <w:spacing w:after="40"/>
      </w:pPr>
      <w:r>
        <w:t>统一接口前缀建议采用 /api/alert-configs 或对应移动端、专项前缀，实现前后端接口分层清晰。</w:t>
      </w:r>
    </w:p>
    <w:p>
      <w:pPr>
        <w:pStyle w:val="ListBullet"/>
        <w:spacing w:after="40"/>
      </w:pPr>
      <w:r>
        <w:t>查询类接口支持分页、排序、条件过滤、字典翻译和状态聚合。</w:t>
      </w:r>
    </w:p>
    <w:p>
      <w:pPr>
        <w:pStyle w:val="ListBullet"/>
        <w:spacing w:after="40"/>
      </w:pPr>
      <w:r>
        <w:t>变更类接口支持幂等控制、状态校验、附件提交、审批提交流程和消息触发。</w:t>
      </w:r>
    </w:p>
    <w:p>
      <w:pPr>
        <w:pStyle w:val="Heading2"/>
      </w:pPr>
      <w:r>
        <w:t>7. 业务流程设计</w:t>
      </w:r>
    </w:p>
    <w:p>
      <w:pPr>
        <w:pStyle w:val="ListBullet"/>
        <w:spacing w:after="40"/>
      </w:pPr>
      <w:r>
        <w:t>业务流程统一遵循“发起/采集 -&gt; 校验 -&gt; 提交/处理 -&gt; 审批/同步 -&gt; 结果回写 -&gt; 留痕/通知”的流程骨架。</w:t>
      </w:r>
    </w:p>
    <w:p>
      <w:pPr>
        <w:pStyle w:val="ListBullet"/>
        <w:spacing w:after="40"/>
      </w:pPr>
      <w:r>
        <w:t>涉及统计、导出、同步、报表和预警生成的场景，采用异步任务和批处理机制降低接口阻塞风险。</w:t>
      </w:r>
    </w:p>
    <w:p>
      <w:pPr>
        <w:pStyle w:val="Heading2"/>
      </w:pPr>
      <w:r>
        <w:t>8. 权限与数据范围控制</w:t>
      </w:r>
    </w:p>
    <w:p>
      <w:pPr>
        <w:pStyle w:val="ListBullet"/>
        <w:spacing w:after="40"/>
      </w:pPr>
      <w:r>
        <w:t>统一接入组织、用户、角色和数据范围控制体系，按单位、项目、场地、车辆、合同等维度裁剪数据可见范围。</w:t>
      </w:r>
    </w:p>
    <w:p>
      <w:pPr>
        <w:pStyle w:val="ListBullet"/>
        <w:spacing w:after="40"/>
      </w:pPr>
      <w:r>
        <w:t>移动端、第三方接口和后台接口均需绑定独立的身份凭据和访问授权。</w:t>
      </w:r>
    </w:p>
    <w:p>
      <w:pPr>
        <w:pStyle w:val="Heading2"/>
      </w:pPr>
      <w:r>
        <w:t>9. 异常处理与补偿机制</w:t>
      </w:r>
    </w:p>
    <w:p>
      <w:pPr>
        <w:pStyle w:val="ListBullet"/>
        <w:spacing w:after="40"/>
      </w:pPr>
      <w:r>
        <w:t>关键接口统一返回错误码、错误信息、追踪编号和建议处理方式。</w:t>
      </w:r>
    </w:p>
    <w:p>
      <w:pPr>
        <w:pStyle w:val="ListBullet"/>
        <w:spacing w:after="40"/>
      </w:pPr>
      <w:r>
        <w:t>异步任务支持失败重试、批次追踪、人工补录、对账补偿和回滚控制。</w:t>
      </w:r>
    </w:p>
    <w:p>
      <w:pPr>
        <w:pStyle w:val="Heading2"/>
      </w:pPr>
      <w:r>
        <w:t>10. 日志审计与追溯要求</w:t>
      </w:r>
    </w:p>
    <w:p>
      <w:pPr>
        <w:pStyle w:val="ListBullet"/>
        <w:spacing w:after="40"/>
      </w:pPr>
      <w:r>
        <w:t>记录接口访问日志、业务操作日志、审批日志、同步日志、错误日志和消息推送回执。</w:t>
      </w:r>
    </w:p>
    <w:p>
      <w:pPr>
        <w:pStyle w:val="ListBullet"/>
        <w:spacing w:after="40"/>
      </w:pPr>
      <w:r>
        <w:t>关键业务对象支持按单号、主键、批次号、外部编码追溯全链路处理过程。</w:t>
      </w:r>
    </w:p>
    <w:p>
      <w:pPr>
        <w:pStyle w:val="Heading2"/>
      </w:pPr>
      <w:r>
        <w:t>11. 与第三方或其他模块协同方式</w:t>
      </w:r>
    </w:p>
    <w:p>
      <w:pPr>
        <w:pStyle w:val="ListBullet"/>
        <w:spacing w:after="40"/>
      </w:pPr>
      <w:r>
        <w:t>与组织权限体系协同实现统一身份和数据授权。</w:t>
      </w:r>
    </w:p>
    <w:p>
      <w:pPr>
        <w:pStyle w:val="ListBullet"/>
        <w:spacing w:after="40"/>
      </w:pPr>
      <w:r>
        <w:t>与审批配置、消息中心、日志中心协同实现流程驱动、消息触达和可审计治理。</w:t>
      </w:r>
    </w:p>
    <w:p>
      <w:pPr>
        <w:pStyle w:val="ListBullet"/>
        <w:spacing w:after="40"/>
      </w:pPr>
      <w:r>
        <w:t>与平台对接、小程序、统计分析、数据看板协同实现跨平台数据共享和能力复用。</w:t>
      </w:r>
    </w:p>
    <w:p>
      <w:pPr>
        <w:pStyle w:val="Heading2"/>
      </w:pPr>
      <w:r>
        <w:t>12. 性能与扩展性要求</w:t>
      </w:r>
    </w:p>
    <w:p>
      <w:pPr>
        <w:pStyle w:val="ListBullet"/>
        <w:spacing w:after="40"/>
      </w:pPr>
      <w:r>
        <w:t>列表和报表需支持分页、条件索引、聚合优化和异步导出。</w:t>
      </w:r>
    </w:p>
    <w:p>
      <w:pPr>
        <w:pStyle w:val="ListBullet"/>
        <w:spacing w:after="40"/>
      </w:pPr>
      <w:r>
        <w:t>地图、轨迹、视频、地磅、同步日志等大体量数据建议分表、归档或采用冷热分层策略。</w:t>
      </w:r>
    </w:p>
    <w:p>
      <w:pPr>
        <w:pStyle w:val="Heading2"/>
      </w:pPr>
      <w:r>
        <w:t>13. 本模块交付说明</w:t>
      </w:r>
    </w:p>
    <w:p>
      <w:pPr>
        <w:spacing w:after="120"/>
      </w:pPr>
      <w:r>
        <w:t>预警配置模块应作为独立可交付能力建设，既满足甲方当前招标要求，也为后续扩展第三方对接、移动端深化、规则引擎和经营分析能力保留扩展接口。</w:t>
      </w:r>
    </w:p>
    <w:p>
      <w:pPr>
        <w:sectPr>
          <w:pgSz w:w="12240" w:h="15840"/>
          <w:pgMar w:top="1440" w:right="1587" w:bottom="1440" w:left="1587" w:header="720" w:footer="720" w:gutter="0"/>
          <w:cols w:space="720"/>
          <w:docGrid w:linePitch="360"/>
        </w:sectPr>
      </w:pPr>
    </w:p>
    <w:p>
      <w:pPr>
        <w:pStyle w:val="Heading1"/>
      </w:pPr>
      <w:r>
        <w:t>违规车辆研判模型技术方案</w:t>
      </w:r>
    </w:p>
    <w:p>
      <w:pPr>
        <w:pStyle w:val="Heading2"/>
      </w:pPr>
      <w:r>
        <w:t>1. 模块建设目标</w:t>
      </w:r>
    </w:p>
    <w:p>
      <w:pPr>
        <w:spacing w:after="120"/>
      </w:pPr>
      <w:r>
        <w:t>建立基于风险因子的违规车辆研判模型与处置链路。</w:t>
      </w:r>
    </w:p>
    <w:p>
      <w:pPr>
        <w:pStyle w:val="Heading2"/>
      </w:pPr>
      <w:r>
        <w:t>2. 模块技术范围</w:t>
      </w:r>
    </w:p>
    <w:p>
      <w:pPr>
        <w:spacing w:after="120"/>
      </w:pPr>
      <w:r>
        <w:t>违规车辆研判模型模块技术范围覆盖前端页面、后台接口、业务服务、数据模型、审批联动、消息通知、日志审计、导入导出、移动端或第三方对接等能力。</w:t>
      </w:r>
    </w:p>
    <w:p>
      <w:pPr>
        <w:pStyle w:val="Heading2"/>
      </w:pPr>
      <w:r>
        <w:t>3. 总体能力设计</w:t>
      </w:r>
    </w:p>
    <w:p>
      <w:pPr>
        <w:spacing w:after="120"/>
      </w:pPr>
      <w:r>
        <w:t>违规车辆研判模型模块面向高风险运输行为提供规则化和模型化识别能力，为执法、运营、风控提供统一的风险评分与处置支撑。技术上采用统一前后端分层架构，前端负责界面编排与交互约束，后端负责业务校验、流程编排、数据存储、异步任务和接口开放。</w:t>
      </w:r>
    </w:p>
    <w:p>
      <w:pPr>
        <w:pStyle w:val="Heading2"/>
      </w:pPr>
      <w:r>
        <w:t>4. 功能点技术实现方案</w:t>
      </w:r>
    </w:p>
    <w:p>
      <w:pPr>
        <w:pStyle w:val="Heading3"/>
      </w:pPr>
      <w:r>
        <w:t>4.1 模型配置</w:t>
      </w:r>
    </w:p>
    <w:p>
      <w:pPr>
        <w:spacing w:after="120"/>
      </w:pPr>
      <w:r>
        <w:t>目标能力 建设“模型配置”的标准化服务能力，满足建立违规消纳渣土判断模型，实现车辆违规消纳的风险值判断。的业务目标，并为后续审批、预警、统计、移动端和第三方联动提供统一接口支撑。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监管人员、研判规则管理员、处置人员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/api/violation-models：承载“模型配置”相关的查询、提交、处理或结果获取能力。</w:t>
      </w:r>
    </w:p>
    <w:p>
      <w:pPr>
        <w:pStyle w:val="ListBullet"/>
        <w:spacing w:after="40"/>
      </w:pPr>
      <w:r>
        <w:t>POST /api/violation-models：承载“模型配置”相关的查询、提交、处理或结果获取能力。</w:t>
      </w:r>
    </w:p>
    <w:p>
      <w:pPr>
        <w:pStyle w:val="ListBullet"/>
        <w:spacing w:after="40"/>
      </w:pPr>
      <w:r>
        <w:t>PUT /api/violation-models/{id}：承载“模型配置”相关的查询、提交、处理或结果获取能力。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4.2 研判车辆处置</w:t>
      </w:r>
    </w:p>
    <w:p>
      <w:pPr>
        <w:spacing w:after="120"/>
      </w:pPr>
      <w:r>
        <w:t>目标能力 建设“研判车辆处置”的标准化服务能力，满足支持研判数据的结果进行处理与关闭，支持处理结果与关闭原因的上报和填写的业务目标，并为后续审批、预警、统计、移动端和第三方联动提供统一接口支撑。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监管人员、研判规则管理员、处置人员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/api/violation-models：承载“研判车辆处置”相关的查询、提交、处理或结果获取能力。</w:t>
      </w:r>
    </w:p>
    <w:p>
      <w:pPr>
        <w:pStyle w:val="ListBullet"/>
        <w:spacing w:after="40"/>
      </w:pPr>
      <w:r>
        <w:t>POST /api/violation-models：承载“研判车辆处置”相关的查询、提交、处理或结果获取能力。</w:t>
      </w:r>
    </w:p>
    <w:p>
      <w:pPr>
        <w:pStyle w:val="ListBullet"/>
        <w:spacing w:after="40"/>
      </w:pPr>
      <w:r>
        <w:t>PUT /api/violation-models/{id}：承载“研判车辆处置”相关的查询、提交、处理或结果获取能力。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2"/>
      </w:pPr>
      <w:r>
        <w:t>5. 核心数据对象设计</w:t>
      </w:r>
    </w:p>
    <w:p>
      <w:pPr>
        <w:pStyle w:val="ListBullet"/>
        <w:spacing w:after="40"/>
      </w:pPr>
      <w:r>
        <w:t>研判模型 ViolationModel</w:t>
      </w:r>
    </w:p>
    <w:p>
      <w:pPr>
        <w:pStyle w:val="ListBullet"/>
        <w:spacing w:after="40"/>
      </w:pPr>
      <w:r>
        <w:t>风险因子 RiskFactor</w:t>
      </w:r>
    </w:p>
    <w:p>
      <w:pPr>
        <w:pStyle w:val="ListBullet"/>
        <w:spacing w:after="40"/>
      </w:pPr>
      <w:r>
        <w:t>研判结果 ViolationAssessment</w:t>
      </w:r>
    </w:p>
    <w:p>
      <w:pPr>
        <w:pStyle w:val="ListBullet"/>
        <w:spacing w:after="40"/>
      </w:pPr>
      <w:r>
        <w:t>处置记录 DisposalAction</w:t>
      </w:r>
    </w:p>
    <w:p>
      <w:pPr>
        <w:pStyle w:val="Heading2"/>
      </w:pPr>
      <w:r>
        <w:t>6. 业务接口设计</w:t>
      </w:r>
    </w:p>
    <w:p>
      <w:pPr>
        <w:pStyle w:val="ListBullet"/>
        <w:spacing w:after="40"/>
      </w:pPr>
      <w:r>
        <w:t>统一接口前缀建议采用 /api/violation-models 或对应移动端、专项前缀，实现前后端接口分层清晰。</w:t>
      </w:r>
    </w:p>
    <w:p>
      <w:pPr>
        <w:pStyle w:val="ListBullet"/>
        <w:spacing w:after="40"/>
      </w:pPr>
      <w:r>
        <w:t>查询类接口支持分页、排序、条件过滤、字典翻译和状态聚合。</w:t>
      </w:r>
    </w:p>
    <w:p>
      <w:pPr>
        <w:pStyle w:val="ListBullet"/>
        <w:spacing w:after="40"/>
      </w:pPr>
      <w:r>
        <w:t>变更类接口支持幂等控制、状态校验、附件提交、审批提交流程和消息触发。</w:t>
      </w:r>
    </w:p>
    <w:p>
      <w:pPr>
        <w:pStyle w:val="Heading2"/>
      </w:pPr>
      <w:r>
        <w:t>7. 业务流程设计</w:t>
      </w:r>
    </w:p>
    <w:p>
      <w:pPr>
        <w:pStyle w:val="ListBullet"/>
        <w:spacing w:after="40"/>
      </w:pPr>
      <w:r>
        <w:t>业务流程统一遵循“发起/采集 -&gt; 校验 -&gt; 提交/处理 -&gt; 审批/同步 -&gt; 结果回写 -&gt; 留痕/通知”的流程骨架。</w:t>
      </w:r>
    </w:p>
    <w:p>
      <w:pPr>
        <w:pStyle w:val="ListBullet"/>
        <w:spacing w:after="40"/>
      </w:pPr>
      <w:r>
        <w:t>涉及统计、导出、同步、报表和预警生成的场景，采用异步任务和批处理机制降低接口阻塞风险。</w:t>
      </w:r>
    </w:p>
    <w:p>
      <w:pPr>
        <w:pStyle w:val="Heading2"/>
      </w:pPr>
      <w:r>
        <w:t>8. 权限与数据范围控制</w:t>
      </w:r>
    </w:p>
    <w:p>
      <w:pPr>
        <w:pStyle w:val="ListBullet"/>
        <w:spacing w:after="40"/>
      </w:pPr>
      <w:r>
        <w:t>统一接入组织、用户、角色和数据范围控制体系，按单位、项目、场地、车辆、合同等维度裁剪数据可见范围。</w:t>
      </w:r>
    </w:p>
    <w:p>
      <w:pPr>
        <w:pStyle w:val="ListBullet"/>
        <w:spacing w:after="40"/>
      </w:pPr>
      <w:r>
        <w:t>移动端、第三方接口和后台接口均需绑定独立的身份凭据和访问授权。</w:t>
      </w:r>
    </w:p>
    <w:p>
      <w:pPr>
        <w:pStyle w:val="Heading2"/>
      </w:pPr>
      <w:r>
        <w:t>9. 异常处理与补偿机制</w:t>
      </w:r>
    </w:p>
    <w:p>
      <w:pPr>
        <w:pStyle w:val="ListBullet"/>
        <w:spacing w:after="40"/>
      </w:pPr>
      <w:r>
        <w:t>关键接口统一返回错误码、错误信息、追踪编号和建议处理方式。</w:t>
      </w:r>
    </w:p>
    <w:p>
      <w:pPr>
        <w:pStyle w:val="ListBullet"/>
        <w:spacing w:after="40"/>
      </w:pPr>
      <w:r>
        <w:t>异步任务支持失败重试、批次追踪、人工补录、对账补偿和回滚控制。</w:t>
      </w:r>
    </w:p>
    <w:p>
      <w:pPr>
        <w:pStyle w:val="Heading2"/>
      </w:pPr>
      <w:r>
        <w:t>10. 日志审计与追溯要求</w:t>
      </w:r>
    </w:p>
    <w:p>
      <w:pPr>
        <w:pStyle w:val="ListBullet"/>
        <w:spacing w:after="40"/>
      </w:pPr>
      <w:r>
        <w:t>记录接口访问日志、业务操作日志、审批日志、同步日志、错误日志和消息推送回执。</w:t>
      </w:r>
    </w:p>
    <w:p>
      <w:pPr>
        <w:pStyle w:val="ListBullet"/>
        <w:spacing w:after="40"/>
      </w:pPr>
      <w:r>
        <w:t>关键业务对象支持按单号、主键、批次号、外部编码追溯全链路处理过程。</w:t>
      </w:r>
    </w:p>
    <w:p>
      <w:pPr>
        <w:pStyle w:val="Heading2"/>
      </w:pPr>
      <w:r>
        <w:t>11. 与第三方或其他模块协同方式</w:t>
      </w:r>
    </w:p>
    <w:p>
      <w:pPr>
        <w:pStyle w:val="ListBullet"/>
        <w:spacing w:after="40"/>
      </w:pPr>
      <w:r>
        <w:t>与组织权限体系协同实现统一身份和数据授权。</w:t>
      </w:r>
    </w:p>
    <w:p>
      <w:pPr>
        <w:pStyle w:val="ListBullet"/>
        <w:spacing w:after="40"/>
      </w:pPr>
      <w:r>
        <w:t>与审批配置、消息中心、日志中心协同实现流程驱动、消息触达和可审计治理。</w:t>
      </w:r>
    </w:p>
    <w:p>
      <w:pPr>
        <w:pStyle w:val="ListBullet"/>
        <w:spacing w:after="40"/>
      </w:pPr>
      <w:r>
        <w:t>与平台对接、小程序、统计分析、数据看板协同实现跨平台数据共享和能力复用。</w:t>
      </w:r>
    </w:p>
    <w:p>
      <w:pPr>
        <w:pStyle w:val="Heading2"/>
      </w:pPr>
      <w:r>
        <w:t>12. 性能与扩展性要求</w:t>
      </w:r>
    </w:p>
    <w:p>
      <w:pPr>
        <w:pStyle w:val="ListBullet"/>
        <w:spacing w:after="40"/>
      </w:pPr>
      <w:r>
        <w:t>列表和报表需支持分页、条件索引、聚合优化和异步导出。</w:t>
      </w:r>
    </w:p>
    <w:p>
      <w:pPr>
        <w:pStyle w:val="ListBullet"/>
        <w:spacing w:after="40"/>
      </w:pPr>
      <w:r>
        <w:t>地图、轨迹、视频、地磅、同步日志等大体量数据建议分表、归档或采用冷热分层策略。</w:t>
      </w:r>
    </w:p>
    <w:p>
      <w:pPr>
        <w:pStyle w:val="Heading2"/>
      </w:pPr>
      <w:r>
        <w:t>13. 本模块交付说明</w:t>
      </w:r>
    </w:p>
    <w:p>
      <w:pPr>
        <w:spacing w:after="120"/>
      </w:pPr>
      <w:r>
        <w:t>违规车辆研判模型模块应作为独立可交付能力建设，既满足甲方当前招标要求，也为后续扩展第三方对接、移动端深化、规则引擎和经营分析能力保留扩展接口。</w:t>
      </w:r>
    </w:p>
    <w:p>
      <w:pPr>
        <w:sectPr>
          <w:pgSz w:w="12240" w:h="15840"/>
          <w:pgMar w:top="1440" w:right="1587" w:bottom="1440" w:left="1587" w:header="720" w:footer="720" w:gutter="0"/>
          <w:cols w:space="720"/>
          <w:docGrid w:linePitch="360"/>
        </w:sectPr>
      </w:pPr>
    </w:p>
    <w:p>
      <w:pPr>
        <w:pStyle w:val="Heading1"/>
      </w:pPr>
      <w:r>
        <w:t>信息查询技术方案</w:t>
      </w:r>
    </w:p>
    <w:p>
      <w:pPr>
        <w:pStyle w:val="Heading2"/>
      </w:pPr>
      <w:r>
        <w:t>1. 模块建设目标</w:t>
      </w:r>
    </w:p>
    <w:p>
      <w:pPr>
        <w:spacing w:after="120"/>
      </w:pPr>
      <w:r>
        <w:t>提供统一的打卡、车辆、地图、消纳数据查询服务。</w:t>
      </w:r>
    </w:p>
    <w:p>
      <w:pPr>
        <w:pStyle w:val="Heading2"/>
      </w:pPr>
      <w:r>
        <w:t>2. 模块技术范围</w:t>
      </w:r>
    </w:p>
    <w:p>
      <w:pPr>
        <w:spacing w:after="120"/>
      </w:pPr>
      <w:r>
        <w:t>信息查询模块技术范围覆盖前端页面、后台接口、业务服务、数据模型、审批联动、消息通知、日志审计、导入导出、移动端或第三方对接等能力。</w:t>
      </w:r>
    </w:p>
    <w:p>
      <w:pPr>
        <w:pStyle w:val="Heading2"/>
      </w:pPr>
      <w:r>
        <w:t>3. 总体能力设计</w:t>
      </w:r>
    </w:p>
    <w:p>
      <w:pPr>
        <w:spacing w:after="120"/>
      </w:pPr>
      <w:r>
        <w:t>信息查询模块承担业务查询门户职责，用于为不同角色提供跨模块的明细检索、地图定位、异常处理和数据追溯能力。技术上采用统一前后端分层架构，前端负责界面编排与交互约束，后端负责业务校验、流程编排、数据存储、异步任务和接口开放。</w:t>
      </w:r>
    </w:p>
    <w:p>
      <w:pPr>
        <w:pStyle w:val="Heading2"/>
      </w:pPr>
      <w:r>
        <w:t>4. 功能点技术实现方案</w:t>
      </w:r>
    </w:p>
    <w:p>
      <w:pPr>
        <w:pStyle w:val="Heading3"/>
      </w:pPr>
      <w:r>
        <w:t>4.1 打卡数据</w:t>
      </w:r>
    </w:p>
    <w:p>
      <w:pPr>
        <w:spacing w:after="120"/>
      </w:pPr>
      <w:r>
        <w:t>目标能力 建设“打卡数据”的标准化服务能力，满足1.新增项目打卡列表数据展示，支持多条件组合查询；2.支持在线处理异常打卡数据，可以进行【作废】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业务人员、监管人员、运营人员、客服人员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/api/queries：承载“打卡数据”相关的查询、提交、处理或结果获取能力。</w:t>
      </w:r>
    </w:p>
    <w:p>
      <w:pPr>
        <w:pStyle w:val="ListBullet"/>
        <w:spacing w:after="40"/>
      </w:pPr>
      <w:r>
        <w:t>POST /api/queries：承载“打卡数据”相关的查询、提交、处理或结果获取能力。</w:t>
      </w:r>
    </w:p>
    <w:p>
      <w:pPr>
        <w:pStyle w:val="ListBullet"/>
        <w:spacing w:after="40"/>
      </w:pPr>
      <w:r>
        <w:t>PUT /api/queries/{id}：承载“打卡数据”相关的查询、提交、处理或结果获取能力。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4.2 车辆信息</w:t>
      </w:r>
    </w:p>
    <w:p>
      <w:pPr>
        <w:spacing w:after="120"/>
      </w:pPr>
      <w:r>
        <w:t>目标能力 建设“车辆信息”的标准化服务能力，满足1.支持车辆信息列表展示，条件组合查询；2.支持车辆的新增导入、以及数据的导出的业务目标，并为后续审批、预警、统计、移动端和第三方联动提供统一接口支撑。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业务人员、监管人员、运营人员、客服人员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/api/queries：承载“车辆信息”相关的查询、提交、处理或结果获取能力。</w:t>
      </w:r>
    </w:p>
    <w:p>
      <w:pPr>
        <w:pStyle w:val="ListBullet"/>
        <w:spacing w:after="40"/>
      </w:pPr>
      <w:r>
        <w:t>GET /api/queries/{id}：承载“车辆信息”相关的查询、提交、处理或结果获取能力。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4.3 车辆地图</w:t>
      </w:r>
    </w:p>
    <w:p>
      <w:pPr>
        <w:spacing w:after="120"/>
      </w:pPr>
      <w:r>
        <w:t>目标能力 建设“车辆地图”的标准化服务能力，满足支持车辆地图实时位置的展示，车辆历史轨迹查询的业务目标，并为后续审批、预警、统计、移动端和第三方联动提供统一接口支撑。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业务人员、监管人员、运营人员、客服人员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/api/queries/map：承载“车辆地图”相关的查询、提交、处理或结果获取能力。</w:t>
      </w:r>
    </w:p>
    <w:p>
      <w:pPr>
        <w:pStyle w:val="ListBullet"/>
        <w:spacing w:after="40"/>
      </w:pPr>
      <w:r>
        <w:t>GET /api/queries/track-history：承载“车辆地图”相关的查询、提交、处理或结果获取能力。</w:t>
      </w:r>
    </w:p>
    <w:p>
      <w:pPr>
        <w:pStyle w:val="ListBullet"/>
        <w:spacing w:after="40"/>
      </w:pPr>
      <w:r>
        <w:t>POST /api/queries/fences：承载“车辆地图”相关的查询、提交、处理或结果获取能力。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4.4 消纳信息</w:t>
      </w:r>
    </w:p>
    <w:p>
      <w:pPr>
        <w:spacing w:after="120"/>
      </w:pPr>
      <w:r>
        <w:t>目标能力 建设“消纳信息”的标准化服务能力，满足支持全平台消纳数据查询展示的业务目标，并为后续审批、预警、统计、移动端和第三方联动提供统一接口支撑。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业务人员、监管人员、运营人员、客服人员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/api/queries：承载“消纳信息”相关的查询、提交、处理或结果获取能力。</w:t>
      </w:r>
    </w:p>
    <w:p>
      <w:pPr>
        <w:pStyle w:val="ListBullet"/>
        <w:spacing w:after="40"/>
      </w:pPr>
      <w:r>
        <w:t>GET /api/queries/{id}：承载“消纳信息”相关的查询、提交、处理或结果获取能力。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2"/>
      </w:pPr>
      <w:r>
        <w:t>5. 核心数据对象设计</w:t>
      </w:r>
    </w:p>
    <w:p>
      <w:pPr>
        <w:pStyle w:val="ListBullet"/>
        <w:spacing w:after="40"/>
      </w:pPr>
      <w:r>
        <w:t>打卡记录 CheckinRecord</w:t>
      </w:r>
    </w:p>
    <w:p>
      <w:pPr>
        <w:pStyle w:val="ListBullet"/>
        <w:spacing w:after="40"/>
      </w:pPr>
      <w:r>
        <w:t>车辆档案 VehicleProfile</w:t>
      </w:r>
    </w:p>
    <w:p>
      <w:pPr>
        <w:pStyle w:val="ListBullet"/>
        <w:spacing w:after="40"/>
      </w:pPr>
      <w:r>
        <w:t>轨迹点 TrackPoint</w:t>
      </w:r>
    </w:p>
    <w:p>
      <w:pPr>
        <w:pStyle w:val="ListBullet"/>
        <w:spacing w:after="40"/>
      </w:pPr>
      <w:r>
        <w:t>消纳记录 DisposalRecord</w:t>
      </w:r>
    </w:p>
    <w:p>
      <w:pPr>
        <w:pStyle w:val="Heading2"/>
      </w:pPr>
      <w:r>
        <w:t>6. 业务接口设计</w:t>
      </w:r>
    </w:p>
    <w:p>
      <w:pPr>
        <w:pStyle w:val="ListBullet"/>
        <w:spacing w:after="40"/>
      </w:pPr>
      <w:r>
        <w:t>统一接口前缀建议采用 /api/queries 或对应移动端、专项前缀，实现前后端接口分层清晰。</w:t>
      </w:r>
    </w:p>
    <w:p>
      <w:pPr>
        <w:pStyle w:val="ListBullet"/>
        <w:spacing w:after="40"/>
      </w:pPr>
      <w:r>
        <w:t>查询类接口支持分页、排序、条件过滤、字典翻译和状态聚合。</w:t>
      </w:r>
    </w:p>
    <w:p>
      <w:pPr>
        <w:pStyle w:val="ListBullet"/>
        <w:spacing w:after="40"/>
      </w:pPr>
      <w:r>
        <w:t>变更类接口支持幂等控制、状态校验、附件提交、审批提交流程和消息触发。</w:t>
      </w:r>
    </w:p>
    <w:p>
      <w:pPr>
        <w:pStyle w:val="Heading2"/>
      </w:pPr>
      <w:r>
        <w:t>7. 业务流程设计</w:t>
      </w:r>
    </w:p>
    <w:p>
      <w:pPr>
        <w:pStyle w:val="ListBullet"/>
        <w:spacing w:after="40"/>
      </w:pPr>
      <w:r>
        <w:t>业务流程统一遵循“发起/采集 -&gt; 校验 -&gt; 提交/处理 -&gt; 审批/同步 -&gt; 结果回写 -&gt; 留痕/通知”的流程骨架。</w:t>
      </w:r>
    </w:p>
    <w:p>
      <w:pPr>
        <w:pStyle w:val="ListBullet"/>
        <w:spacing w:after="40"/>
      </w:pPr>
      <w:r>
        <w:t>涉及统计、导出、同步、报表和预警生成的场景，采用异步任务和批处理机制降低接口阻塞风险。</w:t>
      </w:r>
    </w:p>
    <w:p>
      <w:pPr>
        <w:pStyle w:val="Heading2"/>
      </w:pPr>
      <w:r>
        <w:t>8. 权限与数据范围控制</w:t>
      </w:r>
    </w:p>
    <w:p>
      <w:pPr>
        <w:pStyle w:val="ListBullet"/>
        <w:spacing w:after="40"/>
      </w:pPr>
      <w:r>
        <w:t>统一接入组织、用户、角色和数据范围控制体系，按单位、项目、场地、车辆、合同等维度裁剪数据可见范围。</w:t>
      </w:r>
    </w:p>
    <w:p>
      <w:pPr>
        <w:pStyle w:val="ListBullet"/>
        <w:spacing w:after="40"/>
      </w:pPr>
      <w:r>
        <w:t>移动端、第三方接口和后台接口均需绑定独立的身份凭据和访问授权。</w:t>
      </w:r>
    </w:p>
    <w:p>
      <w:pPr>
        <w:pStyle w:val="Heading2"/>
      </w:pPr>
      <w:r>
        <w:t>9. 异常处理与补偿机制</w:t>
      </w:r>
    </w:p>
    <w:p>
      <w:pPr>
        <w:pStyle w:val="ListBullet"/>
        <w:spacing w:after="40"/>
      </w:pPr>
      <w:r>
        <w:t>关键接口统一返回错误码、错误信息、追踪编号和建议处理方式。</w:t>
      </w:r>
    </w:p>
    <w:p>
      <w:pPr>
        <w:pStyle w:val="ListBullet"/>
        <w:spacing w:after="40"/>
      </w:pPr>
      <w:r>
        <w:t>异步任务支持失败重试、批次追踪、人工补录、对账补偿和回滚控制。</w:t>
      </w:r>
    </w:p>
    <w:p>
      <w:pPr>
        <w:pStyle w:val="Heading2"/>
      </w:pPr>
      <w:r>
        <w:t>10. 日志审计与追溯要求</w:t>
      </w:r>
    </w:p>
    <w:p>
      <w:pPr>
        <w:pStyle w:val="ListBullet"/>
        <w:spacing w:after="40"/>
      </w:pPr>
      <w:r>
        <w:t>记录接口访问日志、业务操作日志、审批日志、同步日志、错误日志和消息推送回执。</w:t>
      </w:r>
    </w:p>
    <w:p>
      <w:pPr>
        <w:pStyle w:val="ListBullet"/>
        <w:spacing w:after="40"/>
      </w:pPr>
      <w:r>
        <w:t>关键业务对象支持按单号、主键、批次号、外部编码追溯全链路处理过程。</w:t>
      </w:r>
    </w:p>
    <w:p>
      <w:pPr>
        <w:pStyle w:val="Heading2"/>
      </w:pPr>
      <w:r>
        <w:t>11. 与第三方或其他模块协同方式</w:t>
      </w:r>
    </w:p>
    <w:p>
      <w:pPr>
        <w:pStyle w:val="ListBullet"/>
        <w:spacing w:after="40"/>
      </w:pPr>
      <w:r>
        <w:t>与组织权限体系协同实现统一身份和数据授权。</w:t>
      </w:r>
    </w:p>
    <w:p>
      <w:pPr>
        <w:pStyle w:val="ListBullet"/>
        <w:spacing w:after="40"/>
      </w:pPr>
      <w:r>
        <w:t>与审批配置、消息中心、日志中心协同实现流程驱动、消息触达和可审计治理。</w:t>
      </w:r>
    </w:p>
    <w:p>
      <w:pPr>
        <w:pStyle w:val="ListBullet"/>
        <w:spacing w:after="40"/>
      </w:pPr>
      <w:r>
        <w:t>与平台对接、小程序、统计分析、数据看板协同实现跨平台数据共享和能力复用。</w:t>
      </w:r>
    </w:p>
    <w:p>
      <w:pPr>
        <w:pStyle w:val="Heading2"/>
      </w:pPr>
      <w:r>
        <w:t>12. 性能与扩展性要求</w:t>
      </w:r>
    </w:p>
    <w:p>
      <w:pPr>
        <w:pStyle w:val="ListBullet"/>
        <w:spacing w:after="40"/>
      </w:pPr>
      <w:r>
        <w:t>列表和报表需支持分页、条件索引、聚合优化和异步导出。</w:t>
      </w:r>
    </w:p>
    <w:p>
      <w:pPr>
        <w:pStyle w:val="ListBullet"/>
        <w:spacing w:after="40"/>
      </w:pPr>
      <w:r>
        <w:t>地图、轨迹、视频、地磅、同步日志等大体量数据建议分表、归档或采用冷热分层策略。</w:t>
      </w:r>
    </w:p>
    <w:p>
      <w:pPr>
        <w:pStyle w:val="Heading2"/>
      </w:pPr>
      <w:r>
        <w:t>13. 本模块交付说明</w:t>
      </w:r>
    </w:p>
    <w:p>
      <w:pPr>
        <w:spacing w:after="120"/>
      </w:pPr>
      <w:r>
        <w:t>信息查询模块应作为独立可交付能力建设，既满足甲方当前招标要求，也为后续扩展第三方对接、移动端深化、规则引擎和经营分析能力保留扩展接口。</w:t>
      </w:r>
    </w:p>
    <w:p>
      <w:pPr>
        <w:sectPr>
          <w:pgSz w:w="12240" w:h="15840"/>
          <w:pgMar w:top="1440" w:right="1587" w:bottom="1440" w:left="1587" w:header="720" w:footer="720" w:gutter="0"/>
          <w:cols w:space="720"/>
          <w:docGrid w:linePitch="360"/>
        </w:sectPr>
      </w:pPr>
    </w:p>
    <w:p>
      <w:pPr>
        <w:pStyle w:val="Heading1"/>
      </w:pPr>
      <w:r>
        <w:t>组织管理技术方案</w:t>
      </w:r>
    </w:p>
    <w:p>
      <w:pPr>
        <w:pStyle w:val="Heading2"/>
      </w:pPr>
      <w:r>
        <w:t>1. 模块建设目标</w:t>
      </w:r>
    </w:p>
    <w:p>
      <w:pPr>
        <w:spacing w:after="120"/>
      </w:pPr>
      <w:r>
        <w:t>建立组织架构和组织类型的统一管理能力。</w:t>
      </w:r>
    </w:p>
    <w:p>
      <w:pPr>
        <w:pStyle w:val="Heading2"/>
      </w:pPr>
      <w:r>
        <w:t>2. 模块技术范围</w:t>
      </w:r>
    </w:p>
    <w:p>
      <w:pPr>
        <w:spacing w:after="120"/>
      </w:pPr>
      <w:r>
        <w:t>组织管理模块技术范围覆盖前端页面、后台接口、业务服务、数据模型、审批联动、消息通知、日志审计、导入导出、移动端或第三方对接等能力。</w:t>
      </w:r>
    </w:p>
    <w:p>
      <w:pPr>
        <w:pStyle w:val="Heading2"/>
      </w:pPr>
      <w:r>
        <w:t>3. 总体能力设计</w:t>
      </w:r>
    </w:p>
    <w:p>
      <w:pPr>
        <w:spacing w:after="120"/>
      </w:pPr>
      <w:r>
        <w:t>组织管理模块提供用户体系的组织基础数据，是后续人员、角色、权限、数据范围控制的前置主数据模块。技术上采用统一前后端分层架构，前端负责界面编排与交互约束，后端负责业务校验、流程编排、数据存储、异步任务和接口开放。</w:t>
      </w:r>
    </w:p>
    <w:p>
      <w:pPr>
        <w:pStyle w:val="Heading2"/>
      </w:pPr>
      <w:r>
        <w:t>4. 功能点技术实现方案</w:t>
      </w:r>
    </w:p>
    <w:p>
      <w:pPr>
        <w:pStyle w:val="Heading3"/>
      </w:pPr>
      <w:r>
        <w:t>4.1 组织列表</w:t>
      </w:r>
    </w:p>
    <w:p>
      <w:pPr>
        <w:spacing w:after="120"/>
      </w:pPr>
      <w:r>
        <w:t>目标能力 建设“组织列表”的标准化服务能力，满足支持组织列表的展示、搜索查询、编辑更新、新增以及删除的功能的业务目标，并为后续审批、预警、统计、移动端和第三方联动提供统一接口支撑。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系统管理员、租户管理员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/api/orgs：承载“组织列表”相关的查询、提交、处理或结果获取能力。</w:t>
      </w:r>
    </w:p>
    <w:p>
      <w:pPr>
        <w:pStyle w:val="ListBullet"/>
        <w:spacing w:after="40"/>
      </w:pPr>
      <w:r>
        <w:t>GET /api/orgs/{id}：承载“组织列表”相关的查询、提交、处理或结果获取能力。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4.2 组织类型</w:t>
      </w:r>
    </w:p>
    <w:p>
      <w:pPr>
        <w:spacing w:after="120"/>
      </w:pPr>
      <w:r>
        <w:t>目标能力 建设“组织类型”的标准化服务能力，满足支持执法组织、公司单位组织的和类型的独立管理的业务目标，并为后续审批、预警、统计、移动端和第三方联动提供统一接口支撑。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系统管理员、租户管理员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/api/orgs：承载“组织类型”相关的查询、提交、处理或结果获取能力。</w:t>
      </w:r>
    </w:p>
    <w:p>
      <w:pPr>
        <w:pStyle w:val="ListBullet"/>
        <w:spacing w:after="40"/>
      </w:pPr>
      <w:r>
        <w:t>POST /api/orgs：承载“组织类型”相关的查询、提交、处理或结果获取能力。</w:t>
      </w:r>
    </w:p>
    <w:p>
      <w:pPr>
        <w:pStyle w:val="ListBullet"/>
        <w:spacing w:after="40"/>
      </w:pPr>
      <w:r>
        <w:t>PUT /api/orgs/{id}：承载“组织类型”相关的查询、提交、处理或结果获取能力。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2"/>
      </w:pPr>
      <w:r>
        <w:t>5. 核心数据对象设计</w:t>
      </w:r>
    </w:p>
    <w:p>
      <w:pPr>
        <w:pStyle w:val="ListBullet"/>
        <w:spacing w:after="40"/>
      </w:pPr>
      <w:r>
        <w:t>组织主档 Org</w:t>
      </w:r>
    </w:p>
    <w:p>
      <w:pPr>
        <w:pStyle w:val="ListBullet"/>
        <w:spacing w:after="40"/>
      </w:pPr>
      <w:r>
        <w:t>组织类型 OrgType</w:t>
      </w:r>
    </w:p>
    <w:p>
      <w:pPr>
        <w:pStyle w:val="ListBullet"/>
        <w:spacing w:after="40"/>
      </w:pPr>
      <w:r>
        <w:t>组织层级关系 OrgTreeRel</w:t>
      </w:r>
    </w:p>
    <w:p>
      <w:pPr>
        <w:pStyle w:val="Heading2"/>
      </w:pPr>
      <w:r>
        <w:t>6. 业务接口设计</w:t>
      </w:r>
    </w:p>
    <w:p>
      <w:pPr>
        <w:pStyle w:val="ListBullet"/>
        <w:spacing w:after="40"/>
      </w:pPr>
      <w:r>
        <w:t>统一接口前缀建议采用 /api/orgs 或对应移动端、专项前缀，实现前后端接口分层清晰。</w:t>
      </w:r>
    </w:p>
    <w:p>
      <w:pPr>
        <w:pStyle w:val="ListBullet"/>
        <w:spacing w:after="40"/>
      </w:pPr>
      <w:r>
        <w:t>查询类接口支持分页、排序、条件过滤、字典翻译和状态聚合。</w:t>
      </w:r>
    </w:p>
    <w:p>
      <w:pPr>
        <w:pStyle w:val="ListBullet"/>
        <w:spacing w:after="40"/>
      </w:pPr>
      <w:r>
        <w:t>变更类接口支持幂等控制、状态校验、附件提交、审批提交流程和消息触发。</w:t>
      </w:r>
    </w:p>
    <w:p>
      <w:pPr>
        <w:pStyle w:val="Heading2"/>
      </w:pPr>
      <w:r>
        <w:t>7. 业务流程设计</w:t>
      </w:r>
    </w:p>
    <w:p>
      <w:pPr>
        <w:pStyle w:val="ListBullet"/>
        <w:spacing w:after="40"/>
      </w:pPr>
      <w:r>
        <w:t>业务流程统一遵循“发起/采集 -&gt; 校验 -&gt; 提交/处理 -&gt; 审批/同步 -&gt; 结果回写 -&gt; 留痕/通知”的流程骨架。</w:t>
      </w:r>
    </w:p>
    <w:p>
      <w:pPr>
        <w:pStyle w:val="ListBullet"/>
        <w:spacing w:after="40"/>
      </w:pPr>
      <w:r>
        <w:t>涉及统计、导出、同步、报表和预警生成的场景，采用异步任务和批处理机制降低接口阻塞风险。</w:t>
      </w:r>
    </w:p>
    <w:p>
      <w:pPr>
        <w:pStyle w:val="Heading2"/>
      </w:pPr>
      <w:r>
        <w:t>8. 权限与数据范围控制</w:t>
      </w:r>
    </w:p>
    <w:p>
      <w:pPr>
        <w:pStyle w:val="ListBullet"/>
        <w:spacing w:after="40"/>
      </w:pPr>
      <w:r>
        <w:t>统一接入组织、用户、角色和数据范围控制体系，按单位、项目、场地、车辆、合同等维度裁剪数据可见范围。</w:t>
      </w:r>
    </w:p>
    <w:p>
      <w:pPr>
        <w:pStyle w:val="ListBullet"/>
        <w:spacing w:after="40"/>
      </w:pPr>
      <w:r>
        <w:t>移动端、第三方接口和后台接口均需绑定独立的身份凭据和访问授权。</w:t>
      </w:r>
    </w:p>
    <w:p>
      <w:pPr>
        <w:pStyle w:val="Heading2"/>
      </w:pPr>
      <w:r>
        <w:t>9. 异常处理与补偿机制</w:t>
      </w:r>
    </w:p>
    <w:p>
      <w:pPr>
        <w:pStyle w:val="ListBullet"/>
        <w:spacing w:after="40"/>
      </w:pPr>
      <w:r>
        <w:t>关键接口统一返回错误码、错误信息、追踪编号和建议处理方式。</w:t>
      </w:r>
    </w:p>
    <w:p>
      <w:pPr>
        <w:pStyle w:val="ListBullet"/>
        <w:spacing w:after="40"/>
      </w:pPr>
      <w:r>
        <w:t>异步任务支持失败重试、批次追踪、人工补录、对账补偿和回滚控制。</w:t>
      </w:r>
    </w:p>
    <w:p>
      <w:pPr>
        <w:pStyle w:val="Heading2"/>
      </w:pPr>
      <w:r>
        <w:t>10. 日志审计与追溯要求</w:t>
      </w:r>
    </w:p>
    <w:p>
      <w:pPr>
        <w:pStyle w:val="ListBullet"/>
        <w:spacing w:after="40"/>
      </w:pPr>
      <w:r>
        <w:t>记录接口访问日志、业务操作日志、审批日志、同步日志、错误日志和消息推送回执。</w:t>
      </w:r>
    </w:p>
    <w:p>
      <w:pPr>
        <w:pStyle w:val="ListBullet"/>
        <w:spacing w:after="40"/>
      </w:pPr>
      <w:r>
        <w:t>关键业务对象支持按单号、主键、批次号、外部编码追溯全链路处理过程。</w:t>
      </w:r>
    </w:p>
    <w:p>
      <w:pPr>
        <w:pStyle w:val="Heading2"/>
      </w:pPr>
      <w:r>
        <w:t>11. 与第三方或其他模块协同方式</w:t>
      </w:r>
    </w:p>
    <w:p>
      <w:pPr>
        <w:pStyle w:val="ListBullet"/>
        <w:spacing w:after="40"/>
      </w:pPr>
      <w:r>
        <w:t>与组织权限体系协同实现统一身份和数据授权。</w:t>
      </w:r>
    </w:p>
    <w:p>
      <w:pPr>
        <w:pStyle w:val="ListBullet"/>
        <w:spacing w:after="40"/>
      </w:pPr>
      <w:r>
        <w:t>与审批配置、消息中心、日志中心协同实现流程驱动、消息触达和可审计治理。</w:t>
      </w:r>
    </w:p>
    <w:p>
      <w:pPr>
        <w:pStyle w:val="ListBullet"/>
        <w:spacing w:after="40"/>
      </w:pPr>
      <w:r>
        <w:t>与平台对接、小程序、统计分析、数据看板协同实现跨平台数据共享和能力复用。</w:t>
      </w:r>
    </w:p>
    <w:p>
      <w:pPr>
        <w:pStyle w:val="Heading2"/>
      </w:pPr>
      <w:r>
        <w:t>12. 性能与扩展性要求</w:t>
      </w:r>
    </w:p>
    <w:p>
      <w:pPr>
        <w:pStyle w:val="ListBullet"/>
        <w:spacing w:after="40"/>
      </w:pPr>
      <w:r>
        <w:t>列表和报表需支持分页、条件索引、聚合优化和异步导出。</w:t>
      </w:r>
    </w:p>
    <w:p>
      <w:pPr>
        <w:pStyle w:val="ListBullet"/>
        <w:spacing w:after="40"/>
      </w:pPr>
      <w:r>
        <w:t>地图、轨迹、视频、地磅、同步日志等大体量数据建议分表、归档或采用冷热分层策略。</w:t>
      </w:r>
    </w:p>
    <w:p>
      <w:pPr>
        <w:pStyle w:val="Heading2"/>
      </w:pPr>
      <w:r>
        <w:t>13. 本模块交付说明</w:t>
      </w:r>
    </w:p>
    <w:p>
      <w:pPr>
        <w:spacing w:after="120"/>
      </w:pPr>
      <w:r>
        <w:t>组织管理模块应作为独立可交付能力建设，既满足甲方当前招标要求，也为后续扩展第三方对接、移动端深化、规则引擎和经营分析能力保留扩展接口。</w:t>
      </w:r>
    </w:p>
    <w:p>
      <w:pPr>
        <w:sectPr>
          <w:pgSz w:w="12240" w:h="15840"/>
          <w:pgMar w:top="1440" w:right="1587" w:bottom="1440" w:left="1587" w:header="720" w:footer="720" w:gutter="0"/>
          <w:cols w:space="720"/>
          <w:docGrid w:linePitch="360"/>
        </w:sectPr>
      </w:pPr>
    </w:p>
    <w:p>
      <w:pPr>
        <w:pStyle w:val="Heading1"/>
      </w:pPr>
      <w:r>
        <w:t>组织人员管理技术方案</w:t>
      </w:r>
    </w:p>
    <w:p>
      <w:pPr>
        <w:pStyle w:val="Heading2"/>
      </w:pPr>
      <w:r>
        <w:t>1. 模块建设目标</w:t>
      </w:r>
    </w:p>
    <w:p>
      <w:pPr>
        <w:spacing w:after="120"/>
      </w:pPr>
      <w:r>
        <w:t>建立人员档案、账号权限和组织归属的统一管理能力。</w:t>
      </w:r>
    </w:p>
    <w:p>
      <w:pPr>
        <w:pStyle w:val="Heading2"/>
      </w:pPr>
      <w:r>
        <w:t>2. 模块技术范围</w:t>
      </w:r>
    </w:p>
    <w:p>
      <w:pPr>
        <w:spacing w:after="120"/>
      </w:pPr>
      <w:r>
        <w:t>组织人员管理模块技术范围覆盖前端页面、后台接口、业务服务、数据模型、审批联动、消息通知、日志审计、导入导出、移动端或第三方对接等能力。</w:t>
      </w:r>
    </w:p>
    <w:p>
      <w:pPr>
        <w:pStyle w:val="Heading2"/>
      </w:pPr>
      <w:r>
        <w:t>3. 总体能力设计</w:t>
      </w:r>
    </w:p>
    <w:p>
      <w:pPr>
        <w:spacing w:after="120"/>
      </w:pPr>
      <w:r>
        <w:t>组织人员管理模块负责构建登录用户、业务人员与组织架构之间的可维护关系，同时控制人员身份、岗位和基础权限。技术上采用统一前后端分层架构，前端负责界面编排与交互约束，后端负责业务校验、流程编排、数据存储、异步任务和接口开放。</w:t>
      </w:r>
    </w:p>
    <w:p>
      <w:pPr>
        <w:pStyle w:val="Heading2"/>
      </w:pPr>
      <w:r>
        <w:t>4. 功能点技术实现方案</w:t>
      </w:r>
    </w:p>
    <w:p>
      <w:pPr>
        <w:pStyle w:val="Heading3"/>
      </w:pPr>
      <w:r>
        <w:t>4.1 人员列表</w:t>
      </w:r>
    </w:p>
    <w:p>
      <w:pPr>
        <w:spacing w:after="120"/>
      </w:pPr>
      <w:r>
        <w:t>目标能力 建设“人员列表”的标准化服务能力，满足支持对应组织架构下人员的展示、搜索查询，实现人员登录权限的控制的业务目标，并为后续审批、预警、统计、移动端和第三方联动提供统一接口支撑。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系统管理员、人事管理员、租户管理员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/api/users：承载“人员列表”相关的查询、提交、处理或结果获取能力。</w:t>
      </w:r>
    </w:p>
    <w:p>
      <w:pPr>
        <w:pStyle w:val="ListBullet"/>
        <w:spacing w:after="40"/>
      </w:pPr>
      <w:r>
        <w:t>GET /api/users/{id}：承载“人员列表”相关的查询、提交、处理或结果获取能力。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4.2 人员新增</w:t>
      </w:r>
    </w:p>
    <w:p>
      <w:pPr>
        <w:spacing w:after="120"/>
      </w:pPr>
      <w:r>
        <w:t>目标能力 建设“人员新增”的标准化服务能力，满足支持组织人员信息的添加，包含人员基础信息的录入、角色权限的配置的业务目标，并为后续审批、预警、统计、移动端和第三方联动提供统一接口支撑。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系统管理员、人事管理员、租户管理员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/api/users：承载“人员新增”相关的查询、提交、处理或结果获取能力。</w:t>
      </w:r>
    </w:p>
    <w:p>
      <w:pPr>
        <w:pStyle w:val="ListBullet"/>
        <w:spacing w:after="40"/>
      </w:pPr>
      <w:r>
        <w:t>POST /api/users：承载“人员新增”相关的查询、提交、处理或结果获取能力。</w:t>
      </w:r>
    </w:p>
    <w:p>
      <w:pPr>
        <w:pStyle w:val="ListBullet"/>
        <w:spacing w:after="40"/>
      </w:pPr>
      <w:r>
        <w:t>PUT /api/users/{id}：承载“人员新增”相关的查询、提交、处理或结果获取能力。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4.3 人员详情</w:t>
      </w:r>
    </w:p>
    <w:p>
      <w:pPr>
        <w:spacing w:after="120"/>
      </w:pPr>
      <w:r>
        <w:t>目标能力 建设“人员详情”的标准化服务能力，满足支持人员信息详情的查看、以及人员信息的编辑和删除等功能的业务目标，并为后续审批、预警、统计、移动端和第三方联动提供统一接口支撑。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系统管理员、人事管理员、租户管理员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/api/users/{id}：承载“人员详情”相关的查询、提交、处理或结果获取能力。</w:t>
      </w:r>
    </w:p>
    <w:p>
      <w:pPr>
        <w:pStyle w:val="ListBullet"/>
        <w:spacing w:after="40"/>
      </w:pPr>
      <w:r>
        <w:t>GET /api/users/{id}/timeline：承载“人员详情”相关的查询、提交、处理或结果获取能力。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2"/>
      </w:pPr>
      <w:r>
        <w:t>5. 核心数据对象设计</w:t>
      </w:r>
    </w:p>
    <w:p>
      <w:pPr>
        <w:pStyle w:val="ListBullet"/>
        <w:spacing w:after="40"/>
      </w:pPr>
      <w:r>
        <w:t>用户主档 User</w:t>
      </w:r>
    </w:p>
    <w:p>
      <w:pPr>
        <w:pStyle w:val="ListBullet"/>
        <w:spacing w:after="40"/>
      </w:pPr>
      <w:r>
        <w:t>用户组织关系 UserOrgRel</w:t>
      </w:r>
    </w:p>
    <w:p>
      <w:pPr>
        <w:pStyle w:val="ListBullet"/>
        <w:spacing w:after="40"/>
      </w:pPr>
      <w:r>
        <w:t>用户角色关系 UserRoleRel</w:t>
      </w:r>
    </w:p>
    <w:p>
      <w:pPr>
        <w:pStyle w:val="ListBullet"/>
        <w:spacing w:after="40"/>
      </w:pPr>
      <w:r>
        <w:t>账号状态 UserStatus</w:t>
      </w:r>
    </w:p>
    <w:p>
      <w:pPr>
        <w:pStyle w:val="Heading2"/>
      </w:pPr>
      <w:r>
        <w:t>6. 业务接口设计</w:t>
      </w:r>
    </w:p>
    <w:p>
      <w:pPr>
        <w:pStyle w:val="ListBullet"/>
        <w:spacing w:after="40"/>
      </w:pPr>
      <w:r>
        <w:t>统一接口前缀建议采用 /api/users 或对应移动端、专项前缀，实现前后端接口分层清晰。</w:t>
      </w:r>
    </w:p>
    <w:p>
      <w:pPr>
        <w:pStyle w:val="ListBullet"/>
        <w:spacing w:after="40"/>
      </w:pPr>
      <w:r>
        <w:t>查询类接口支持分页、排序、条件过滤、字典翻译和状态聚合。</w:t>
      </w:r>
    </w:p>
    <w:p>
      <w:pPr>
        <w:pStyle w:val="ListBullet"/>
        <w:spacing w:after="40"/>
      </w:pPr>
      <w:r>
        <w:t>变更类接口支持幂等控制、状态校验、附件提交、审批提交流程和消息触发。</w:t>
      </w:r>
    </w:p>
    <w:p>
      <w:pPr>
        <w:pStyle w:val="Heading2"/>
      </w:pPr>
      <w:r>
        <w:t>7. 业务流程设计</w:t>
      </w:r>
    </w:p>
    <w:p>
      <w:pPr>
        <w:pStyle w:val="ListBullet"/>
        <w:spacing w:after="40"/>
      </w:pPr>
      <w:r>
        <w:t>业务流程统一遵循“发起/采集 -&gt; 校验 -&gt; 提交/处理 -&gt; 审批/同步 -&gt; 结果回写 -&gt; 留痕/通知”的流程骨架。</w:t>
      </w:r>
    </w:p>
    <w:p>
      <w:pPr>
        <w:pStyle w:val="ListBullet"/>
        <w:spacing w:after="40"/>
      </w:pPr>
      <w:r>
        <w:t>涉及统计、导出、同步、报表和预警生成的场景，采用异步任务和批处理机制降低接口阻塞风险。</w:t>
      </w:r>
    </w:p>
    <w:p>
      <w:pPr>
        <w:pStyle w:val="Heading2"/>
      </w:pPr>
      <w:r>
        <w:t>8. 权限与数据范围控制</w:t>
      </w:r>
    </w:p>
    <w:p>
      <w:pPr>
        <w:pStyle w:val="ListBullet"/>
        <w:spacing w:after="40"/>
      </w:pPr>
      <w:r>
        <w:t>统一接入组织、用户、角色和数据范围控制体系，按单位、项目、场地、车辆、合同等维度裁剪数据可见范围。</w:t>
      </w:r>
    </w:p>
    <w:p>
      <w:pPr>
        <w:pStyle w:val="ListBullet"/>
        <w:spacing w:after="40"/>
      </w:pPr>
      <w:r>
        <w:t>移动端、第三方接口和后台接口均需绑定独立的身份凭据和访问授权。</w:t>
      </w:r>
    </w:p>
    <w:p>
      <w:pPr>
        <w:pStyle w:val="Heading2"/>
      </w:pPr>
      <w:r>
        <w:t>9. 异常处理与补偿机制</w:t>
      </w:r>
    </w:p>
    <w:p>
      <w:pPr>
        <w:pStyle w:val="ListBullet"/>
        <w:spacing w:after="40"/>
      </w:pPr>
      <w:r>
        <w:t>关键接口统一返回错误码、错误信息、追踪编号和建议处理方式。</w:t>
      </w:r>
    </w:p>
    <w:p>
      <w:pPr>
        <w:pStyle w:val="ListBullet"/>
        <w:spacing w:after="40"/>
      </w:pPr>
      <w:r>
        <w:t>异步任务支持失败重试、批次追踪、人工补录、对账补偿和回滚控制。</w:t>
      </w:r>
    </w:p>
    <w:p>
      <w:pPr>
        <w:pStyle w:val="Heading2"/>
      </w:pPr>
      <w:r>
        <w:t>10. 日志审计与追溯要求</w:t>
      </w:r>
    </w:p>
    <w:p>
      <w:pPr>
        <w:pStyle w:val="ListBullet"/>
        <w:spacing w:after="40"/>
      </w:pPr>
      <w:r>
        <w:t>记录接口访问日志、业务操作日志、审批日志、同步日志、错误日志和消息推送回执。</w:t>
      </w:r>
    </w:p>
    <w:p>
      <w:pPr>
        <w:pStyle w:val="ListBullet"/>
        <w:spacing w:after="40"/>
      </w:pPr>
      <w:r>
        <w:t>关键业务对象支持按单号、主键、批次号、外部编码追溯全链路处理过程。</w:t>
      </w:r>
    </w:p>
    <w:p>
      <w:pPr>
        <w:pStyle w:val="Heading2"/>
      </w:pPr>
      <w:r>
        <w:t>11. 与第三方或其他模块协同方式</w:t>
      </w:r>
    </w:p>
    <w:p>
      <w:pPr>
        <w:pStyle w:val="ListBullet"/>
        <w:spacing w:after="40"/>
      </w:pPr>
      <w:r>
        <w:t>与组织权限体系协同实现统一身份和数据授权。</w:t>
      </w:r>
    </w:p>
    <w:p>
      <w:pPr>
        <w:pStyle w:val="ListBullet"/>
        <w:spacing w:after="40"/>
      </w:pPr>
      <w:r>
        <w:t>与审批配置、消息中心、日志中心协同实现流程驱动、消息触达和可审计治理。</w:t>
      </w:r>
    </w:p>
    <w:p>
      <w:pPr>
        <w:pStyle w:val="ListBullet"/>
        <w:spacing w:after="40"/>
      </w:pPr>
      <w:r>
        <w:t>与平台对接、小程序、统计分析、数据看板协同实现跨平台数据共享和能力复用。</w:t>
      </w:r>
    </w:p>
    <w:p>
      <w:pPr>
        <w:pStyle w:val="Heading2"/>
      </w:pPr>
      <w:r>
        <w:t>12. 性能与扩展性要求</w:t>
      </w:r>
    </w:p>
    <w:p>
      <w:pPr>
        <w:pStyle w:val="ListBullet"/>
        <w:spacing w:after="40"/>
      </w:pPr>
      <w:r>
        <w:t>列表和报表需支持分页、条件索引、聚合优化和异步导出。</w:t>
      </w:r>
    </w:p>
    <w:p>
      <w:pPr>
        <w:pStyle w:val="ListBullet"/>
        <w:spacing w:after="40"/>
      </w:pPr>
      <w:r>
        <w:t>地图、轨迹、视频、地磅、同步日志等大体量数据建议分表、归档或采用冷热分层策略。</w:t>
      </w:r>
    </w:p>
    <w:p>
      <w:pPr>
        <w:pStyle w:val="Heading2"/>
      </w:pPr>
      <w:r>
        <w:t>13. 本模块交付说明</w:t>
      </w:r>
    </w:p>
    <w:p>
      <w:pPr>
        <w:spacing w:after="120"/>
      </w:pPr>
      <w:r>
        <w:t>组织人员管理模块应作为独立可交付能力建设，既满足甲方当前招标要求，也为后续扩展第三方对接、移动端深化、规则引擎和经营分析能力保留扩展接口。</w:t>
      </w:r>
    </w:p>
    <w:p>
      <w:pPr>
        <w:sectPr>
          <w:pgSz w:w="12240" w:h="15840"/>
          <w:pgMar w:top="1440" w:right="1587" w:bottom="1440" w:left="1587" w:header="720" w:footer="720" w:gutter="0"/>
          <w:cols w:space="720"/>
          <w:docGrid w:linePitch="360"/>
        </w:sectPr>
      </w:pPr>
    </w:p>
    <w:p>
      <w:pPr>
        <w:pStyle w:val="Heading1"/>
      </w:pPr>
      <w:r>
        <w:t>角色管理技术方案</w:t>
      </w:r>
    </w:p>
    <w:p>
      <w:pPr>
        <w:pStyle w:val="Heading2"/>
      </w:pPr>
      <w:r>
        <w:t>1. 模块建设目标</w:t>
      </w:r>
    </w:p>
    <w:p>
      <w:pPr>
        <w:spacing w:after="120"/>
      </w:pPr>
      <w:r>
        <w:t>建立角色、权限、数据范围模板的统一配置能力。</w:t>
      </w:r>
    </w:p>
    <w:p>
      <w:pPr>
        <w:pStyle w:val="Heading2"/>
      </w:pPr>
      <w:r>
        <w:t>2. 模块技术范围</w:t>
      </w:r>
    </w:p>
    <w:p>
      <w:pPr>
        <w:spacing w:after="120"/>
      </w:pPr>
      <w:r>
        <w:t>角色管理模块技术范围覆盖前端页面、后台接口、业务服务、数据模型、审批联动、消息通知、日志审计、导入导出、移动端或第三方对接等能力。</w:t>
      </w:r>
    </w:p>
    <w:p>
      <w:pPr>
        <w:pStyle w:val="Heading2"/>
      </w:pPr>
      <w:r>
        <w:t>3. 总体能力设计</w:t>
      </w:r>
    </w:p>
    <w:p>
      <w:pPr>
        <w:spacing w:after="120"/>
      </w:pPr>
      <w:r>
        <w:t>角色管理模块负责把菜单、按钮、接口、数据范围等权限模型固化为角色模板，为不同业务角色快速赋权提供基础。技术上采用统一前后端分层架构，前端负责界面编排与交互约束，后端负责业务校验、流程编排、数据存储、异步任务和接口开放。</w:t>
      </w:r>
    </w:p>
    <w:p>
      <w:pPr>
        <w:pStyle w:val="Heading2"/>
      </w:pPr>
      <w:r>
        <w:t>4. 功能点技术实现方案</w:t>
      </w:r>
    </w:p>
    <w:p>
      <w:pPr>
        <w:pStyle w:val="Heading3"/>
      </w:pPr>
      <w:r>
        <w:t>4.1 角色列表</w:t>
      </w:r>
    </w:p>
    <w:p>
      <w:pPr>
        <w:spacing w:after="120"/>
      </w:pPr>
      <w:r>
        <w:t>目标能力 建设“角色列表”的标准化服务能力，满足支持角色列表的查看，展示角色的种类的业务目标，并为后续审批、预警、统计、移动端和第三方联动提供统一接口支撑。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系统管理员、安全管理员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/api/roles：承载“角色列表”相关的查询、提交、处理或结果获取能力。</w:t>
      </w:r>
    </w:p>
    <w:p>
      <w:pPr>
        <w:pStyle w:val="ListBullet"/>
        <w:spacing w:after="40"/>
      </w:pPr>
      <w:r>
        <w:t>GET /api/roles/{id}：承载“角色列表”相关的查询、提交、处理或结果获取能力。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4.2 角色详情</w:t>
      </w:r>
    </w:p>
    <w:p>
      <w:pPr>
        <w:spacing w:after="120"/>
      </w:pPr>
      <w:r>
        <w:t>目标能力 建设“角色详情”的标准化服务能力，满足支持角色列表详情配置的查看、编辑和删除的业务目标，并为后续审批、预警、统计、移动端和第三方联动提供统一接口支撑。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系统管理员、安全管理员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/api/roles/{id}：承载“角色详情”相关的查询、提交、处理或结果获取能力。</w:t>
      </w:r>
    </w:p>
    <w:p>
      <w:pPr>
        <w:pStyle w:val="ListBullet"/>
        <w:spacing w:after="40"/>
      </w:pPr>
      <w:r>
        <w:t>GET /api/roles/{id}/timeline：承载“角色详情”相关的查询、提交、处理或结果获取能力。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4.3 角色新增</w:t>
      </w:r>
    </w:p>
    <w:p>
      <w:pPr>
        <w:spacing w:after="120"/>
      </w:pPr>
      <w:r>
        <w:t>目标能力 建设“角色新增”的标准化服务能力，满足支持角色的自定义配置添加的业务目标，并为后续审批、预警、统计、移动端和第三方联动提供统一接口支撑。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系统管理员、安全管理员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/api/roles：承载“角色新增”相关的查询、提交、处理或结果获取能力。</w:t>
      </w:r>
    </w:p>
    <w:p>
      <w:pPr>
        <w:pStyle w:val="ListBullet"/>
        <w:spacing w:after="40"/>
      </w:pPr>
      <w:r>
        <w:t>POST /api/roles：承载“角色新增”相关的查询、提交、处理或结果获取能力。</w:t>
      </w:r>
    </w:p>
    <w:p>
      <w:pPr>
        <w:pStyle w:val="ListBullet"/>
        <w:spacing w:after="40"/>
      </w:pPr>
      <w:r>
        <w:t>PUT /api/roles/{id}：承载“角色新增”相关的查询、提交、处理或结果获取能力。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2"/>
      </w:pPr>
      <w:r>
        <w:t>5. 核心数据对象设计</w:t>
      </w:r>
    </w:p>
    <w:p>
      <w:pPr>
        <w:pStyle w:val="ListBullet"/>
        <w:spacing w:after="40"/>
      </w:pPr>
      <w:r>
        <w:t>角色主档 Role</w:t>
      </w:r>
    </w:p>
    <w:p>
      <w:pPr>
        <w:pStyle w:val="ListBullet"/>
        <w:spacing w:after="40"/>
      </w:pPr>
      <w:r>
        <w:t>角色权限 RolePermission</w:t>
      </w:r>
    </w:p>
    <w:p>
      <w:pPr>
        <w:pStyle w:val="ListBullet"/>
        <w:spacing w:after="40"/>
      </w:pPr>
      <w:r>
        <w:t>数据范围规则 DataScopeRule</w:t>
      </w:r>
    </w:p>
    <w:p>
      <w:pPr>
        <w:pStyle w:val="Heading2"/>
      </w:pPr>
      <w:r>
        <w:t>6. 业务接口设计</w:t>
      </w:r>
    </w:p>
    <w:p>
      <w:pPr>
        <w:pStyle w:val="ListBullet"/>
        <w:spacing w:after="40"/>
      </w:pPr>
      <w:r>
        <w:t>统一接口前缀建议采用 /api/roles 或对应移动端、专项前缀，实现前后端接口分层清晰。</w:t>
      </w:r>
    </w:p>
    <w:p>
      <w:pPr>
        <w:pStyle w:val="ListBullet"/>
        <w:spacing w:after="40"/>
      </w:pPr>
      <w:r>
        <w:t>查询类接口支持分页、排序、条件过滤、字典翻译和状态聚合。</w:t>
      </w:r>
    </w:p>
    <w:p>
      <w:pPr>
        <w:pStyle w:val="ListBullet"/>
        <w:spacing w:after="40"/>
      </w:pPr>
      <w:r>
        <w:t>变更类接口支持幂等控制、状态校验、附件提交、审批提交流程和消息触发。</w:t>
      </w:r>
    </w:p>
    <w:p>
      <w:pPr>
        <w:pStyle w:val="Heading2"/>
      </w:pPr>
      <w:r>
        <w:t>7. 业务流程设计</w:t>
      </w:r>
    </w:p>
    <w:p>
      <w:pPr>
        <w:pStyle w:val="ListBullet"/>
        <w:spacing w:after="40"/>
      </w:pPr>
      <w:r>
        <w:t>业务流程统一遵循“发起/采集 -&gt; 校验 -&gt; 提交/处理 -&gt; 审批/同步 -&gt; 结果回写 -&gt; 留痕/通知”的流程骨架。</w:t>
      </w:r>
    </w:p>
    <w:p>
      <w:pPr>
        <w:pStyle w:val="ListBullet"/>
        <w:spacing w:after="40"/>
      </w:pPr>
      <w:r>
        <w:t>涉及统计、导出、同步、报表和预警生成的场景，采用异步任务和批处理机制降低接口阻塞风险。</w:t>
      </w:r>
    </w:p>
    <w:p>
      <w:pPr>
        <w:pStyle w:val="Heading2"/>
      </w:pPr>
      <w:r>
        <w:t>8. 权限与数据范围控制</w:t>
      </w:r>
    </w:p>
    <w:p>
      <w:pPr>
        <w:pStyle w:val="ListBullet"/>
        <w:spacing w:after="40"/>
      </w:pPr>
      <w:r>
        <w:t>统一接入组织、用户、角色和数据范围控制体系，按单位、项目、场地、车辆、合同等维度裁剪数据可见范围。</w:t>
      </w:r>
    </w:p>
    <w:p>
      <w:pPr>
        <w:pStyle w:val="ListBullet"/>
        <w:spacing w:after="40"/>
      </w:pPr>
      <w:r>
        <w:t>移动端、第三方接口和后台接口均需绑定独立的身份凭据和访问授权。</w:t>
      </w:r>
    </w:p>
    <w:p>
      <w:pPr>
        <w:pStyle w:val="Heading2"/>
      </w:pPr>
      <w:r>
        <w:t>9. 异常处理与补偿机制</w:t>
      </w:r>
    </w:p>
    <w:p>
      <w:pPr>
        <w:pStyle w:val="ListBullet"/>
        <w:spacing w:after="40"/>
      </w:pPr>
      <w:r>
        <w:t>关键接口统一返回错误码、错误信息、追踪编号和建议处理方式。</w:t>
      </w:r>
    </w:p>
    <w:p>
      <w:pPr>
        <w:pStyle w:val="ListBullet"/>
        <w:spacing w:after="40"/>
      </w:pPr>
      <w:r>
        <w:t>异步任务支持失败重试、批次追踪、人工补录、对账补偿和回滚控制。</w:t>
      </w:r>
    </w:p>
    <w:p>
      <w:pPr>
        <w:pStyle w:val="Heading2"/>
      </w:pPr>
      <w:r>
        <w:t>10. 日志审计与追溯要求</w:t>
      </w:r>
    </w:p>
    <w:p>
      <w:pPr>
        <w:pStyle w:val="ListBullet"/>
        <w:spacing w:after="40"/>
      </w:pPr>
      <w:r>
        <w:t>记录接口访问日志、业务操作日志、审批日志、同步日志、错误日志和消息推送回执。</w:t>
      </w:r>
    </w:p>
    <w:p>
      <w:pPr>
        <w:pStyle w:val="ListBullet"/>
        <w:spacing w:after="40"/>
      </w:pPr>
      <w:r>
        <w:t>关键业务对象支持按单号、主键、批次号、外部编码追溯全链路处理过程。</w:t>
      </w:r>
    </w:p>
    <w:p>
      <w:pPr>
        <w:pStyle w:val="Heading2"/>
      </w:pPr>
      <w:r>
        <w:t>11. 与第三方或其他模块协同方式</w:t>
      </w:r>
    </w:p>
    <w:p>
      <w:pPr>
        <w:pStyle w:val="ListBullet"/>
        <w:spacing w:after="40"/>
      </w:pPr>
      <w:r>
        <w:t>与组织权限体系协同实现统一身份和数据授权。</w:t>
      </w:r>
    </w:p>
    <w:p>
      <w:pPr>
        <w:pStyle w:val="ListBullet"/>
        <w:spacing w:after="40"/>
      </w:pPr>
      <w:r>
        <w:t>与审批配置、消息中心、日志中心协同实现流程驱动、消息触达和可审计治理。</w:t>
      </w:r>
    </w:p>
    <w:p>
      <w:pPr>
        <w:pStyle w:val="ListBullet"/>
        <w:spacing w:after="40"/>
      </w:pPr>
      <w:r>
        <w:t>与平台对接、小程序、统计分析、数据看板协同实现跨平台数据共享和能力复用。</w:t>
      </w:r>
    </w:p>
    <w:p>
      <w:pPr>
        <w:pStyle w:val="Heading2"/>
      </w:pPr>
      <w:r>
        <w:t>12. 性能与扩展性要求</w:t>
      </w:r>
    </w:p>
    <w:p>
      <w:pPr>
        <w:pStyle w:val="ListBullet"/>
        <w:spacing w:after="40"/>
      </w:pPr>
      <w:r>
        <w:t>列表和报表需支持分页、条件索引、聚合优化和异步导出。</w:t>
      </w:r>
    </w:p>
    <w:p>
      <w:pPr>
        <w:pStyle w:val="ListBullet"/>
        <w:spacing w:after="40"/>
      </w:pPr>
      <w:r>
        <w:t>地图、轨迹、视频、地磅、同步日志等大体量数据建议分表、归档或采用冷热分层策略。</w:t>
      </w:r>
    </w:p>
    <w:p>
      <w:pPr>
        <w:pStyle w:val="Heading2"/>
      </w:pPr>
      <w:r>
        <w:t>13. 本模块交付说明</w:t>
      </w:r>
    </w:p>
    <w:p>
      <w:pPr>
        <w:spacing w:after="120"/>
      </w:pPr>
      <w:r>
        <w:t>角色管理模块应作为独立可交付能力建设，既满足甲方当前招标要求，也为后续扩展第三方对接、移动端深化、规则引擎和经营分析能力保留扩展接口。</w:t>
      </w:r>
    </w:p>
    <w:p>
      <w:pPr>
        <w:sectPr>
          <w:pgSz w:w="12240" w:h="15840"/>
          <w:pgMar w:top="1440" w:right="1587" w:bottom="1440" w:left="1587" w:header="720" w:footer="720" w:gutter="0"/>
          <w:cols w:space="720"/>
          <w:docGrid w:linePitch="360"/>
        </w:sectPr>
      </w:pPr>
    </w:p>
    <w:p>
      <w:pPr>
        <w:pStyle w:val="Heading1"/>
      </w:pPr>
      <w:r>
        <w:t>系统日志技术方案</w:t>
      </w:r>
    </w:p>
    <w:p>
      <w:pPr>
        <w:pStyle w:val="Heading2"/>
      </w:pPr>
      <w:r>
        <w:t>1. 模块建设目标</w:t>
      </w:r>
    </w:p>
    <w:p>
      <w:pPr>
        <w:spacing w:after="120"/>
      </w:pPr>
      <w:r>
        <w:t>建立登录、操作、错误日志的可审计体系。</w:t>
      </w:r>
    </w:p>
    <w:p>
      <w:pPr>
        <w:pStyle w:val="Heading2"/>
      </w:pPr>
      <w:r>
        <w:t>2. 模块技术范围</w:t>
      </w:r>
    </w:p>
    <w:p>
      <w:pPr>
        <w:spacing w:after="120"/>
      </w:pPr>
      <w:r>
        <w:t>系统日志模块技术范围覆盖前端页面、后台接口、业务服务、数据模型、审批联动、消息通知、日志审计、导入导出、移动端或第三方对接等能力。</w:t>
      </w:r>
    </w:p>
    <w:p>
      <w:pPr>
        <w:pStyle w:val="Heading2"/>
      </w:pPr>
      <w:r>
        <w:t>3. 总体能力设计</w:t>
      </w:r>
    </w:p>
    <w:p>
      <w:pPr>
        <w:spacing w:after="120"/>
      </w:pPr>
      <w:r>
        <w:t>系统日志模块为平台运维、安全审计和问题排查提供证据链，是安全合规和故障响应的重要底座。技术上采用统一前后端分层架构，前端负责界面编排与交互约束，后端负责业务校验、流程编排、数据存储、异步任务和接口开放。</w:t>
      </w:r>
    </w:p>
    <w:p>
      <w:pPr>
        <w:pStyle w:val="Heading2"/>
      </w:pPr>
      <w:r>
        <w:t>4. 功能点技术实现方案</w:t>
      </w:r>
    </w:p>
    <w:p>
      <w:pPr>
        <w:pStyle w:val="Heading3"/>
      </w:pPr>
      <w:r>
        <w:t>4.1 登录日志</w:t>
      </w:r>
    </w:p>
    <w:p>
      <w:pPr>
        <w:spacing w:after="120"/>
      </w:pPr>
      <w:r>
        <w:t>目标能力 建设“登录日志”的标准化服务能力，满足对系统用户登录日志的记录，并支持多条件的组合筛选查询功能。的业务目标，并为后续审批、预警、统计、移动端和第三方联动提供统一接口支撑。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安全审计员、运维管理员、系统管理员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/api/logs：承载“登录日志”相关的查询、提交、处理或结果获取能力。</w:t>
      </w:r>
    </w:p>
    <w:p>
      <w:pPr>
        <w:pStyle w:val="ListBullet"/>
        <w:spacing w:after="40"/>
      </w:pPr>
      <w:r>
        <w:t>POST /api/logs：承载“登录日志”相关的查询、提交、处理或结果获取能力。</w:t>
      </w:r>
    </w:p>
    <w:p>
      <w:pPr>
        <w:pStyle w:val="ListBullet"/>
        <w:spacing w:after="40"/>
      </w:pPr>
      <w:r>
        <w:t>PUT /api/logs/{id}：承载“登录日志”相关的查询、提交、处理或结果获取能力。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4.2 操作日志</w:t>
      </w:r>
    </w:p>
    <w:p>
      <w:pPr>
        <w:spacing w:after="120"/>
      </w:pPr>
      <w:r>
        <w:t>目标能力 建设“操作日志”的标准化服务能力，满足对系统操作日志的记录，并支持多条件的组合筛选查询功能。的业务目标，并为后续审批、预警、统计、移动端和第三方联动提供统一接口支撑。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安全审计员、运维管理员、系统管理员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/api/logs：承载“操作日志”相关的查询、提交、处理或结果获取能力。</w:t>
      </w:r>
    </w:p>
    <w:p>
      <w:pPr>
        <w:pStyle w:val="ListBullet"/>
        <w:spacing w:after="40"/>
      </w:pPr>
      <w:r>
        <w:t>POST /api/logs：承载“操作日志”相关的查询、提交、处理或结果获取能力。</w:t>
      </w:r>
    </w:p>
    <w:p>
      <w:pPr>
        <w:pStyle w:val="ListBullet"/>
        <w:spacing w:after="40"/>
      </w:pPr>
      <w:r>
        <w:t>PUT /api/logs/{id}：承载“操作日志”相关的查询、提交、处理或结果获取能力。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4.3 错误日志</w:t>
      </w:r>
    </w:p>
    <w:p>
      <w:pPr>
        <w:spacing w:after="120"/>
      </w:pPr>
      <w:r>
        <w:t>目标能力 建设“错误日志”的标准化服务能力，满足记录系统运行过程中产生的所有异常错误日志，为bug修复提供帮助。的业务目标，并为后续审批、预警、统计、移动端和第三方联动提供统一接口支撑。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安全审计员、运维管理员、系统管理员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/api/logs：承载“错误日志”相关的查询、提交、处理或结果获取能力。</w:t>
      </w:r>
    </w:p>
    <w:p>
      <w:pPr>
        <w:pStyle w:val="ListBullet"/>
        <w:spacing w:after="40"/>
      </w:pPr>
      <w:r>
        <w:t>POST /api/logs：承载“错误日志”相关的查询、提交、处理或结果获取能力。</w:t>
      </w:r>
    </w:p>
    <w:p>
      <w:pPr>
        <w:pStyle w:val="ListBullet"/>
        <w:spacing w:after="40"/>
      </w:pPr>
      <w:r>
        <w:t>PUT /api/logs/{id}：承载“错误日志”相关的查询、提交、处理或结果获取能力。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2"/>
      </w:pPr>
      <w:r>
        <w:t>5. 核心数据对象设计</w:t>
      </w:r>
    </w:p>
    <w:p>
      <w:pPr>
        <w:pStyle w:val="ListBullet"/>
        <w:spacing w:after="40"/>
      </w:pPr>
      <w:r>
        <w:t>登录日志 LoginLog</w:t>
      </w:r>
    </w:p>
    <w:p>
      <w:pPr>
        <w:pStyle w:val="ListBullet"/>
        <w:spacing w:after="40"/>
      </w:pPr>
      <w:r>
        <w:t>操作日志 OperationLog</w:t>
      </w:r>
    </w:p>
    <w:p>
      <w:pPr>
        <w:pStyle w:val="ListBullet"/>
        <w:spacing w:after="40"/>
      </w:pPr>
      <w:r>
        <w:t>错误日志 ErrorLog</w:t>
      </w:r>
    </w:p>
    <w:p>
      <w:pPr>
        <w:pStyle w:val="Heading2"/>
      </w:pPr>
      <w:r>
        <w:t>6. 业务接口设计</w:t>
      </w:r>
    </w:p>
    <w:p>
      <w:pPr>
        <w:pStyle w:val="ListBullet"/>
        <w:spacing w:after="40"/>
      </w:pPr>
      <w:r>
        <w:t>统一接口前缀建议采用 /api/logs 或对应移动端、专项前缀，实现前后端接口分层清晰。</w:t>
      </w:r>
    </w:p>
    <w:p>
      <w:pPr>
        <w:pStyle w:val="ListBullet"/>
        <w:spacing w:after="40"/>
      </w:pPr>
      <w:r>
        <w:t>查询类接口支持分页、排序、条件过滤、字典翻译和状态聚合。</w:t>
      </w:r>
    </w:p>
    <w:p>
      <w:pPr>
        <w:pStyle w:val="ListBullet"/>
        <w:spacing w:after="40"/>
      </w:pPr>
      <w:r>
        <w:t>变更类接口支持幂等控制、状态校验、附件提交、审批提交流程和消息触发。</w:t>
      </w:r>
    </w:p>
    <w:p>
      <w:pPr>
        <w:pStyle w:val="Heading2"/>
      </w:pPr>
      <w:r>
        <w:t>7. 业务流程设计</w:t>
      </w:r>
    </w:p>
    <w:p>
      <w:pPr>
        <w:pStyle w:val="ListBullet"/>
        <w:spacing w:after="40"/>
      </w:pPr>
      <w:r>
        <w:t>业务流程统一遵循“发起/采集 -&gt; 校验 -&gt; 提交/处理 -&gt; 审批/同步 -&gt; 结果回写 -&gt; 留痕/通知”的流程骨架。</w:t>
      </w:r>
    </w:p>
    <w:p>
      <w:pPr>
        <w:pStyle w:val="ListBullet"/>
        <w:spacing w:after="40"/>
      </w:pPr>
      <w:r>
        <w:t>涉及统计、导出、同步、报表和预警生成的场景，采用异步任务和批处理机制降低接口阻塞风险。</w:t>
      </w:r>
    </w:p>
    <w:p>
      <w:pPr>
        <w:pStyle w:val="Heading2"/>
      </w:pPr>
      <w:r>
        <w:t>8. 权限与数据范围控制</w:t>
      </w:r>
    </w:p>
    <w:p>
      <w:pPr>
        <w:pStyle w:val="ListBullet"/>
        <w:spacing w:after="40"/>
      </w:pPr>
      <w:r>
        <w:t>统一接入组织、用户、角色和数据范围控制体系，按单位、项目、场地、车辆、合同等维度裁剪数据可见范围。</w:t>
      </w:r>
    </w:p>
    <w:p>
      <w:pPr>
        <w:pStyle w:val="ListBullet"/>
        <w:spacing w:after="40"/>
      </w:pPr>
      <w:r>
        <w:t>移动端、第三方接口和后台接口均需绑定独立的身份凭据和访问授权。</w:t>
      </w:r>
    </w:p>
    <w:p>
      <w:pPr>
        <w:pStyle w:val="Heading2"/>
      </w:pPr>
      <w:r>
        <w:t>9. 异常处理与补偿机制</w:t>
      </w:r>
    </w:p>
    <w:p>
      <w:pPr>
        <w:pStyle w:val="ListBullet"/>
        <w:spacing w:after="40"/>
      </w:pPr>
      <w:r>
        <w:t>关键接口统一返回错误码、错误信息、追踪编号和建议处理方式。</w:t>
      </w:r>
    </w:p>
    <w:p>
      <w:pPr>
        <w:pStyle w:val="ListBullet"/>
        <w:spacing w:after="40"/>
      </w:pPr>
      <w:r>
        <w:t>异步任务支持失败重试、批次追踪、人工补录、对账补偿和回滚控制。</w:t>
      </w:r>
    </w:p>
    <w:p>
      <w:pPr>
        <w:pStyle w:val="Heading2"/>
      </w:pPr>
      <w:r>
        <w:t>10. 日志审计与追溯要求</w:t>
      </w:r>
    </w:p>
    <w:p>
      <w:pPr>
        <w:pStyle w:val="ListBullet"/>
        <w:spacing w:after="40"/>
      </w:pPr>
      <w:r>
        <w:t>记录接口访问日志、业务操作日志、审批日志、同步日志、错误日志和消息推送回执。</w:t>
      </w:r>
    </w:p>
    <w:p>
      <w:pPr>
        <w:pStyle w:val="ListBullet"/>
        <w:spacing w:after="40"/>
      </w:pPr>
      <w:r>
        <w:t>关键业务对象支持按单号、主键、批次号、外部编码追溯全链路处理过程。</w:t>
      </w:r>
    </w:p>
    <w:p>
      <w:pPr>
        <w:pStyle w:val="Heading2"/>
      </w:pPr>
      <w:r>
        <w:t>11. 与第三方或其他模块协同方式</w:t>
      </w:r>
    </w:p>
    <w:p>
      <w:pPr>
        <w:pStyle w:val="ListBullet"/>
        <w:spacing w:after="40"/>
      </w:pPr>
      <w:r>
        <w:t>与组织权限体系协同实现统一身份和数据授权。</w:t>
      </w:r>
    </w:p>
    <w:p>
      <w:pPr>
        <w:pStyle w:val="ListBullet"/>
        <w:spacing w:after="40"/>
      </w:pPr>
      <w:r>
        <w:t>与审批配置、消息中心、日志中心协同实现流程驱动、消息触达和可审计治理。</w:t>
      </w:r>
    </w:p>
    <w:p>
      <w:pPr>
        <w:pStyle w:val="ListBullet"/>
        <w:spacing w:after="40"/>
      </w:pPr>
      <w:r>
        <w:t>与平台对接、小程序、统计分析、数据看板协同实现跨平台数据共享和能力复用。</w:t>
      </w:r>
    </w:p>
    <w:p>
      <w:pPr>
        <w:pStyle w:val="Heading2"/>
      </w:pPr>
      <w:r>
        <w:t>12. 性能与扩展性要求</w:t>
      </w:r>
    </w:p>
    <w:p>
      <w:pPr>
        <w:pStyle w:val="ListBullet"/>
        <w:spacing w:after="40"/>
      </w:pPr>
      <w:r>
        <w:t>列表和报表需支持分页、条件索引、聚合优化和异步导出。</w:t>
      </w:r>
    </w:p>
    <w:p>
      <w:pPr>
        <w:pStyle w:val="ListBullet"/>
        <w:spacing w:after="40"/>
      </w:pPr>
      <w:r>
        <w:t>地图、轨迹、视频、地磅、同步日志等大体量数据建议分表、归档或采用冷热分层策略。</w:t>
      </w:r>
    </w:p>
    <w:p>
      <w:pPr>
        <w:pStyle w:val="Heading2"/>
      </w:pPr>
      <w:r>
        <w:t>13. 本模块交付说明</w:t>
      </w:r>
    </w:p>
    <w:p>
      <w:pPr>
        <w:spacing w:after="120"/>
      </w:pPr>
      <w:r>
        <w:t>系统日志模块应作为独立可交付能力建设，既满足甲方当前招标要求，也为后续扩展第三方对接、移动端深化、规则引擎和经营分析能力保留扩展接口。</w:t>
      </w:r>
    </w:p>
    <w:p>
      <w:pPr>
        <w:sectPr>
          <w:pgSz w:w="12240" w:h="15840"/>
          <w:pgMar w:top="1440" w:right="1587" w:bottom="1440" w:left="1587" w:header="720" w:footer="720" w:gutter="0"/>
          <w:cols w:space="720"/>
          <w:docGrid w:linePitch="360"/>
        </w:sectPr>
      </w:pPr>
    </w:p>
    <w:p>
      <w:pPr>
        <w:pStyle w:val="Heading1"/>
      </w:pPr>
      <w:r>
        <w:t>审核审批配置技术方案</w:t>
      </w:r>
    </w:p>
    <w:p>
      <w:pPr>
        <w:pStyle w:val="Heading2"/>
      </w:pPr>
      <w:r>
        <w:t>1. 模块建设目标</w:t>
      </w:r>
    </w:p>
    <w:p>
      <w:pPr>
        <w:spacing w:after="120"/>
      </w:pPr>
      <w:r>
        <w:t>建立事项、流程、材料配置的审批中台。</w:t>
      </w:r>
    </w:p>
    <w:p>
      <w:pPr>
        <w:pStyle w:val="Heading2"/>
      </w:pPr>
      <w:r>
        <w:t>2. 模块技术范围</w:t>
      </w:r>
    </w:p>
    <w:p>
      <w:pPr>
        <w:spacing w:after="120"/>
      </w:pPr>
      <w:r>
        <w:t>审核审批配置模块技术范围覆盖前端页面、后台接口、业务服务、数据模型、审批联动、消息通知、日志审计、导入导出、移动端或第三方对接等能力。</w:t>
      </w:r>
    </w:p>
    <w:p>
      <w:pPr>
        <w:pStyle w:val="Heading2"/>
      </w:pPr>
      <w:r>
        <w:t>3. 总体能力设计</w:t>
      </w:r>
    </w:p>
    <w:p>
      <w:pPr>
        <w:spacing w:after="120"/>
      </w:pPr>
      <w:r>
        <w:t>审核审批配置模块为合同、事件、延期、调拨、维修等各类事项提供统一审批规则、节点编排和办事材料配置能力。技术上采用统一前后端分层架构，前端负责界面编排与交互约束，后端负责业务校验、流程编排、数据存储、异步任务和接口开放。</w:t>
      </w:r>
    </w:p>
    <w:p>
      <w:pPr>
        <w:pStyle w:val="Heading2"/>
      </w:pPr>
      <w:r>
        <w:t>4. 功能点技术实现方案</w:t>
      </w:r>
    </w:p>
    <w:p>
      <w:pPr>
        <w:pStyle w:val="Heading3"/>
      </w:pPr>
      <w:r>
        <w:t>4.1 列表</w:t>
      </w:r>
    </w:p>
    <w:p>
      <w:pPr>
        <w:spacing w:after="120"/>
      </w:pPr>
      <w:r>
        <w:t>目标能力 建设“列表”的标准化服务能力，满足支持审核审批事项的配置以及审核文书的配置信息的展示的业务目标，并为后续审批、预警、统计、移动端和第三方联动提供统一接口支撑。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平台管理员、流程管理员、制度管理员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/api/approval-configs：承载“列表”相关的查询、提交、处理或结果获取能力。</w:t>
      </w:r>
    </w:p>
    <w:p>
      <w:pPr>
        <w:pStyle w:val="ListBullet"/>
        <w:spacing w:after="40"/>
      </w:pPr>
      <w:r>
        <w:t>GET /api/approval-configs/{id}：承载“列表”相关的查询、提交、处理或结果获取能力。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4.2 流程配置</w:t>
      </w:r>
    </w:p>
    <w:p>
      <w:pPr>
        <w:spacing w:after="120"/>
      </w:pPr>
      <w:r>
        <w:t>目标能力 建设“流程配置”的标准化服务能力，满足审核审批流程自定义配置，自定义审批人员的业务目标，并为后续审批、预警、统计、移动端和第三方联动提供统一接口支撑。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平台管理员、流程管理员、制度管理员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/api/approval-configs：承载“流程配置”相关的查询、提交、处理或结果获取能力。</w:t>
      </w:r>
    </w:p>
    <w:p>
      <w:pPr>
        <w:pStyle w:val="ListBullet"/>
        <w:spacing w:after="40"/>
      </w:pPr>
      <w:r>
        <w:t>POST /api/approval-configs：承载“流程配置”相关的查询、提交、处理或结果获取能力。</w:t>
      </w:r>
    </w:p>
    <w:p>
      <w:pPr>
        <w:pStyle w:val="ListBullet"/>
        <w:spacing w:after="40"/>
      </w:pPr>
      <w:r>
        <w:t>PUT /api/approval-configs/{id}：承载“流程配置”相关的查询、提交、处理或结果获取能力。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4.3 办事材料配置</w:t>
      </w:r>
    </w:p>
    <w:p>
      <w:pPr>
        <w:spacing w:after="120"/>
      </w:pPr>
      <w:r>
        <w:t>目标能力 建设“办事材料配置”的标准化服务能力，满足支持办事材料的自定义配置，材料是否必填，是否启用/禁用的属性配置的业务目标，并为后续审批、预警、统计、移动端和第三方联动提供统一接口支撑。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平台管理员、流程管理员、制度管理员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/api/approval-configs：承载“办事材料配置”相关的查询、提交、处理或结果获取能力。</w:t>
      </w:r>
    </w:p>
    <w:p>
      <w:pPr>
        <w:pStyle w:val="ListBullet"/>
        <w:spacing w:after="40"/>
      </w:pPr>
      <w:r>
        <w:t>POST /api/approval-configs：承载“办事材料配置”相关的查询、提交、处理或结果获取能力。</w:t>
      </w:r>
    </w:p>
    <w:p>
      <w:pPr>
        <w:pStyle w:val="ListBullet"/>
        <w:spacing w:after="40"/>
      </w:pPr>
      <w:r>
        <w:t>PUT /api/approval-configs/{id}：承载“办事材料配置”相关的查询、提交、处理或结果获取能力。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2"/>
      </w:pPr>
      <w:r>
        <w:t>5. 核心数据对象设计</w:t>
      </w:r>
    </w:p>
    <w:p>
      <w:pPr>
        <w:pStyle w:val="ListBullet"/>
        <w:spacing w:after="40"/>
      </w:pPr>
      <w:r>
        <w:t>审批事项 ApprovalMatter</w:t>
      </w:r>
    </w:p>
    <w:p>
      <w:pPr>
        <w:pStyle w:val="ListBullet"/>
        <w:spacing w:after="40"/>
      </w:pPr>
      <w:r>
        <w:t>审批流程 ApprovalFlow</w:t>
      </w:r>
    </w:p>
    <w:p>
      <w:pPr>
        <w:pStyle w:val="ListBullet"/>
        <w:spacing w:after="40"/>
      </w:pPr>
      <w:r>
        <w:t>审批节点 ApprovalNode</w:t>
      </w:r>
    </w:p>
    <w:p>
      <w:pPr>
        <w:pStyle w:val="ListBullet"/>
        <w:spacing w:after="40"/>
      </w:pPr>
      <w:r>
        <w:t>办事材料配置 ApprovalMaterialConfig</w:t>
      </w:r>
    </w:p>
    <w:p>
      <w:pPr>
        <w:pStyle w:val="Heading2"/>
      </w:pPr>
      <w:r>
        <w:t>6. 业务接口设计</w:t>
      </w:r>
    </w:p>
    <w:p>
      <w:pPr>
        <w:pStyle w:val="ListBullet"/>
        <w:spacing w:after="40"/>
      </w:pPr>
      <w:r>
        <w:t>统一接口前缀建议采用 /api/approval-configs 或对应移动端、专项前缀，实现前后端接口分层清晰。</w:t>
      </w:r>
    </w:p>
    <w:p>
      <w:pPr>
        <w:pStyle w:val="ListBullet"/>
        <w:spacing w:after="40"/>
      </w:pPr>
      <w:r>
        <w:t>查询类接口支持分页、排序、条件过滤、字典翻译和状态聚合。</w:t>
      </w:r>
    </w:p>
    <w:p>
      <w:pPr>
        <w:pStyle w:val="ListBullet"/>
        <w:spacing w:after="40"/>
      </w:pPr>
      <w:r>
        <w:t>变更类接口支持幂等控制、状态校验、附件提交、审批提交流程和消息触发。</w:t>
      </w:r>
    </w:p>
    <w:p>
      <w:pPr>
        <w:pStyle w:val="Heading2"/>
      </w:pPr>
      <w:r>
        <w:t>7. 业务流程设计</w:t>
      </w:r>
    </w:p>
    <w:p>
      <w:pPr>
        <w:pStyle w:val="ListBullet"/>
        <w:spacing w:after="40"/>
      </w:pPr>
      <w:r>
        <w:t>业务流程统一遵循“发起/采集 -&gt; 校验 -&gt; 提交/处理 -&gt; 审批/同步 -&gt; 结果回写 -&gt; 留痕/通知”的流程骨架。</w:t>
      </w:r>
    </w:p>
    <w:p>
      <w:pPr>
        <w:pStyle w:val="ListBullet"/>
        <w:spacing w:after="40"/>
      </w:pPr>
      <w:r>
        <w:t>涉及统计、导出、同步、报表和预警生成的场景，采用异步任务和批处理机制降低接口阻塞风险。</w:t>
      </w:r>
    </w:p>
    <w:p>
      <w:pPr>
        <w:pStyle w:val="Heading2"/>
      </w:pPr>
      <w:r>
        <w:t>8. 权限与数据范围控制</w:t>
      </w:r>
    </w:p>
    <w:p>
      <w:pPr>
        <w:pStyle w:val="ListBullet"/>
        <w:spacing w:after="40"/>
      </w:pPr>
      <w:r>
        <w:t>统一接入组织、用户、角色和数据范围控制体系，按单位、项目、场地、车辆、合同等维度裁剪数据可见范围。</w:t>
      </w:r>
    </w:p>
    <w:p>
      <w:pPr>
        <w:pStyle w:val="ListBullet"/>
        <w:spacing w:after="40"/>
      </w:pPr>
      <w:r>
        <w:t>移动端、第三方接口和后台接口均需绑定独立的身份凭据和访问授权。</w:t>
      </w:r>
    </w:p>
    <w:p>
      <w:pPr>
        <w:pStyle w:val="Heading2"/>
      </w:pPr>
      <w:r>
        <w:t>9. 异常处理与补偿机制</w:t>
      </w:r>
    </w:p>
    <w:p>
      <w:pPr>
        <w:pStyle w:val="ListBullet"/>
        <w:spacing w:after="40"/>
      </w:pPr>
      <w:r>
        <w:t>关键接口统一返回错误码、错误信息、追踪编号和建议处理方式。</w:t>
      </w:r>
    </w:p>
    <w:p>
      <w:pPr>
        <w:pStyle w:val="ListBullet"/>
        <w:spacing w:after="40"/>
      </w:pPr>
      <w:r>
        <w:t>异步任务支持失败重试、批次追踪、人工补录、对账补偿和回滚控制。</w:t>
      </w:r>
    </w:p>
    <w:p>
      <w:pPr>
        <w:pStyle w:val="Heading2"/>
      </w:pPr>
      <w:r>
        <w:t>10. 日志审计与追溯要求</w:t>
      </w:r>
    </w:p>
    <w:p>
      <w:pPr>
        <w:pStyle w:val="ListBullet"/>
        <w:spacing w:after="40"/>
      </w:pPr>
      <w:r>
        <w:t>记录接口访问日志、业务操作日志、审批日志、同步日志、错误日志和消息推送回执。</w:t>
      </w:r>
    </w:p>
    <w:p>
      <w:pPr>
        <w:pStyle w:val="ListBullet"/>
        <w:spacing w:after="40"/>
      </w:pPr>
      <w:r>
        <w:t>关键业务对象支持按单号、主键、批次号、外部编码追溯全链路处理过程。</w:t>
      </w:r>
    </w:p>
    <w:p>
      <w:pPr>
        <w:pStyle w:val="Heading2"/>
      </w:pPr>
      <w:r>
        <w:t>11. 与第三方或其他模块协同方式</w:t>
      </w:r>
    </w:p>
    <w:p>
      <w:pPr>
        <w:pStyle w:val="ListBullet"/>
        <w:spacing w:after="40"/>
      </w:pPr>
      <w:r>
        <w:t>与组织权限体系协同实现统一身份和数据授权。</w:t>
      </w:r>
    </w:p>
    <w:p>
      <w:pPr>
        <w:pStyle w:val="ListBullet"/>
        <w:spacing w:after="40"/>
      </w:pPr>
      <w:r>
        <w:t>与审批配置、消息中心、日志中心协同实现流程驱动、消息触达和可审计治理。</w:t>
      </w:r>
    </w:p>
    <w:p>
      <w:pPr>
        <w:pStyle w:val="ListBullet"/>
        <w:spacing w:after="40"/>
      </w:pPr>
      <w:r>
        <w:t>与平台对接、小程序、统计分析、数据看板协同实现跨平台数据共享和能力复用。</w:t>
      </w:r>
    </w:p>
    <w:p>
      <w:pPr>
        <w:pStyle w:val="Heading2"/>
      </w:pPr>
      <w:r>
        <w:t>12. 性能与扩展性要求</w:t>
      </w:r>
    </w:p>
    <w:p>
      <w:pPr>
        <w:pStyle w:val="ListBullet"/>
        <w:spacing w:after="40"/>
      </w:pPr>
      <w:r>
        <w:t>列表和报表需支持分页、条件索引、聚合优化和异步导出。</w:t>
      </w:r>
    </w:p>
    <w:p>
      <w:pPr>
        <w:pStyle w:val="ListBullet"/>
        <w:spacing w:after="40"/>
      </w:pPr>
      <w:r>
        <w:t>地图、轨迹、视频、地磅、同步日志等大体量数据建议分表、归档或采用冷热分层策略。</w:t>
      </w:r>
    </w:p>
    <w:p>
      <w:pPr>
        <w:pStyle w:val="Heading2"/>
      </w:pPr>
      <w:r>
        <w:t>13. 本模块交付说明</w:t>
      </w:r>
    </w:p>
    <w:p>
      <w:pPr>
        <w:spacing w:after="120"/>
      </w:pPr>
      <w:r>
        <w:t>审核审批配置模块应作为独立可交付能力建设，既满足甲方当前招标要求，也为后续扩展第三方对接、移动端深化、规则引擎和经营分析能力保留扩展接口。</w:t>
      </w:r>
    </w:p>
    <w:p>
      <w:pPr>
        <w:sectPr>
          <w:pgSz w:w="12240" w:h="15840"/>
          <w:pgMar w:top="1440" w:right="1587" w:bottom="1440" w:left="1587" w:header="720" w:footer="720" w:gutter="0"/>
          <w:cols w:space="720"/>
          <w:docGrid w:linePitch="360"/>
        </w:sectPr>
      </w:pPr>
    </w:p>
    <w:p>
      <w:pPr>
        <w:pStyle w:val="Heading1"/>
      </w:pPr>
      <w:r>
        <w:t>数据字典技术方案</w:t>
      </w:r>
    </w:p>
    <w:p>
      <w:pPr>
        <w:pStyle w:val="Heading2"/>
      </w:pPr>
      <w:r>
        <w:t>1. 模块建设目标</w:t>
      </w:r>
    </w:p>
    <w:p>
      <w:pPr>
        <w:spacing w:after="120"/>
      </w:pPr>
      <w:r>
        <w:t>建立平台通用字典的统一配置与治理能力。</w:t>
      </w:r>
    </w:p>
    <w:p>
      <w:pPr>
        <w:pStyle w:val="Heading2"/>
      </w:pPr>
      <w:r>
        <w:t>2. 模块技术范围</w:t>
      </w:r>
    </w:p>
    <w:p>
      <w:pPr>
        <w:spacing w:after="120"/>
      </w:pPr>
      <w:r>
        <w:t>数据字典模块技术范围覆盖前端页面、后台接口、业务服务、数据模型、审批联动、消息通知、日志审计、导入导出、移动端或第三方对接等能力。</w:t>
      </w:r>
    </w:p>
    <w:p>
      <w:pPr>
        <w:pStyle w:val="Heading2"/>
      </w:pPr>
      <w:r>
        <w:t>3. 总体能力设计</w:t>
      </w:r>
    </w:p>
    <w:p>
      <w:pPr>
        <w:spacing w:after="120"/>
      </w:pPr>
      <w:r>
        <w:t>数据字典模块为平台各业务模块提供基础枚举、状态、类型、分类等主数据支持，保障跨模块编码一致。技术上采用统一前后端分层架构，前端负责界面编排与交互约束，后端负责业务校验、流程编排、数据存储、异步任务和接口开放。</w:t>
      </w:r>
    </w:p>
    <w:p>
      <w:pPr>
        <w:pStyle w:val="Heading2"/>
      </w:pPr>
      <w:r>
        <w:t>4. 功能点技术实现方案</w:t>
      </w:r>
    </w:p>
    <w:p>
      <w:pPr>
        <w:pStyle w:val="Heading3"/>
      </w:pPr>
      <w:r>
        <w:t>4.1 列表</w:t>
      </w:r>
    </w:p>
    <w:p>
      <w:pPr>
        <w:spacing w:after="120"/>
      </w:pPr>
      <w:r>
        <w:t>目标能力 建设“列表”的标准化服务能力，满足支持系统通用类型的数据字典的自定义配置的业务目标，并为后续审批、预警、统计、移动端和第三方联动提供统一接口支撑。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系统管理员、实施顾问</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/api/dictionaries：承载“列表”相关的查询、提交、处理或结果获取能力。</w:t>
      </w:r>
    </w:p>
    <w:p>
      <w:pPr>
        <w:pStyle w:val="ListBullet"/>
        <w:spacing w:after="40"/>
      </w:pPr>
      <w:r>
        <w:t>GET /api/dictionaries/{id}：承载“列表”相关的查询、提交、处理或结果获取能力。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4.2 新增和编辑</w:t>
      </w:r>
    </w:p>
    <w:p>
      <w:pPr>
        <w:spacing w:after="120"/>
      </w:pPr>
      <w:r>
        <w:t>目标能力 建设“新增和编辑”的标准化服务能力，满足数据字典的自定义编辑和新增的业务目标，并为后续审批、预警、统计、移动端和第三方联动提供统一接口支撑。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系统管理员、实施顾问</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/api/dictionaries：承载“新增和编辑”相关的查询、提交、处理或结果获取能力。</w:t>
      </w:r>
    </w:p>
    <w:p>
      <w:pPr>
        <w:pStyle w:val="ListBullet"/>
        <w:spacing w:after="40"/>
      </w:pPr>
      <w:r>
        <w:t>POST /api/dictionaries：承载“新增和编辑”相关的查询、提交、处理或结果获取能力。</w:t>
      </w:r>
    </w:p>
    <w:p>
      <w:pPr>
        <w:pStyle w:val="ListBullet"/>
        <w:spacing w:after="40"/>
      </w:pPr>
      <w:r>
        <w:t>PUT /api/dictionaries/{id}：承载“新增和编辑”相关的查询、提交、处理或结果获取能力。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2"/>
      </w:pPr>
      <w:r>
        <w:t>5. 核心数据对象设计</w:t>
      </w:r>
    </w:p>
    <w:p>
      <w:pPr>
        <w:pStyle w:val="ListBullet"/>
        <w:spacing w:after="40"/>
      </w:pPr>
      <w:r>
        <w:t>字典类型 DictType</w:t>
      </w:r>
    </w:p>
    <w:p>
      <w:pPr>
        <w:pStyle w:val="ListBullet"/>
        <w:spacing w:after="40"/>
      </w:pPr>
      <w:r>
        <w:t>字典项 DictItem</w:t>
      </w:r>
    </w:p>
    <w:p>
      <w:pPr>
        <w:pStyle w:val="Heading2"/>
      </w:pPr>
      <w:r>
        <w:t>6. 业务接口设计</w:t>
      </w:r>
    </w:p>
    <w:p>
      <w:pPr>
        <w:pStyle w:val="ListBullet"/>
        <w:spacing w:after="40"/>
      </w:pPr>
      <w:r>
        <w:t>统一接口前缀建议采用 /api/dictionaries 或对应移动端、专项前缀，实现前后端接口分层清晰。</w:t>
      </w:r>
    </w:p>
    <w:p>
      <w:pPr>
        <w:pStyle w:val="ListBullet"/>
        <w:spacing w:after="40"/>
      </w:pPr>
      <w:r>
        <w:t>查询类接口支持分页、排序、条件过滤、字典翻译和状态聚合。</w:t>
      </w:r>
    </w:p>
    <w:p>
      <w:pPr>
        <w:pStyle w:val="ListBullet"/>
        <w:spacing w:after="40"/>
      </w:pPr>
      <w:r>
        <w:t>变更类接口支持幂等控制、状态校验、附件提交、审批提交流程和消息触发。</w:t>
      </w:r>
    </w:p>
    <w:p>
      <w:pPr>
        <w:pStyle w:val="Heading2"/>
      </w:pPr>
      <w:r>
        <w:t>7. 业务流程设计</w:t>
      </w:r>
    </w:p>
    <w:p>
      <w:pPr>
        <w:pStyle w:val="ListBullet"/>
        <w:spacing w:after="40"/>
      </w:pPr>
      <w:r>
        <w:t>业务流程统一遵循“发起/采集 -&gt; 校验 -&gt; 提交/处理 -&gt; 审批/同步 -&gt; 结果回写 -&gt; 留痕/通知”的流程骨架。</w:t>
      </w:r>
    </w:p>
    <w:p>
      <w:pPr>
        <w:pStyle w:val="ListBullet"/>
        <w:spacing w:after="40"/>
      </w:pPr>
      <w:r>
        <w:t>涉及统计、导出、同步、报表和预警生成的场景，采用异步任务和批处理机制降低接口阻塞风险。</w:t>
      </w:r>
    </w:p>
    <w:p>
      <w:pPr>
        <w:pStyle w:val="Heading2"/>
      </w:pPr>
      <w:r>
        <w:t>8. 权限与数据范围控制</w:t>
      </w:r>
    </w:p>
    <w:p>
      <w:pPr>
        <w:pStyle w:val="ListBullet"/>
        <w:spacing w:after="40"/>
      </w:pPr>
      <w:r>
        <w:t>统一接入组织、用户、角色和数据范围控制体系，按单位、项目、场地、车辆、合同等维度裁剪数据可见范围。</w:t>
      </w:r>
    </w:p>
    <w:p>
      <w:pPr>
        <w:pStyle w:val="ListBullet"/>
        <w:spacing w:after="40"/>
      </w:pPr>
      <w:r>
        <w:t>移动端、第三方接口和后台接口均需绑定独立的身份凭据和访问授权。</w:t>
      </w:r>
    </w:p>
    <w:p>
      <w:pPr>
        <w:pStyle w:val="Heading2"/>
      </w:pPr>
      <w:r>
        <w:t>9. 异常处理与补偿机制</w:t>
      </w:r>
    </w:p>
    <w:p>
      <w:pPr>
        <w:pStyle w:val="ListBullet"/>
        <w:spacing w:after="40"/>
      </w:pPr>
      <w:r>
        <w:t>关键接口统一返回错误码、错误信息、追踪编号和建议处理方式。</w:t>
      </w:r>
    </w:p>
    <w:p>
      <w:pPr>
        <w:pStyle w:val="ListBullet"/>
        <w:spacing w:after="40"/>
      </w:pPr>
      <w:r>
        <w:t>异步任务支持失败重试、批次追踪、人工补录、对账补偿和回滚控制。</w:t>
      </w:r>
    </w:p>
    <w:p>
      <w:pPr>
        <w:pStyle w:val="Heading2"/>
      </w:pPr>
      <w:r>
        <w:t>10. 日志审计与追溯要求</w:t>
      </w:r>
    </w:p>
    <w:p>
      <w:pPr>
        <w:pStyle w:val="ListBullet"/>
        <w:spacing w:after="40"/>
      </w:pPr>
      <w:r>
        <w:t>记录接口访问日志、业务操作日志、审批日志、同步日志、错误日志和消息推送回执。</w:t>
      </w:r>
    </w:p>
    <w:p>
      <w:pPr>
        <w:pStyle w:val="ListBullet"/>
        <w:spacing w:after="40"/>
      </w:pPr>
      <w:r>
        <w:t>关键业务对象支持按单号、主键、批次号、外部编码追溯全链路处理过程。</w:t>
      </w:r>
    </w:p>
    <w:p>
      <w:pPr>
        <w:pStyle w:val="Heading2"/>
      </w:pPr>
      <w:r>
        <w:t>11. 与第三方或其他模块协同方式</w:t>
      </w:r>
    </w:p>
    <w:p>
      <w:pPr>
        <w:pStyle w:val="ListBullet"/>
        <w:spacing w:after="40"/>
      </w:pPr>
      <w:r>
        <w:t>与组织权限体系协同实现统一身份和数据授权。</w:t>
      </w:r>
    </w:p>
    <w:p>
      <w:pPr>
        <w:pStyle w:val="ListBullet"/>
        <w:spacing w:after="40"/>
      </w:pPr>
      <w:r>
        <w:t>与审批配置、消息中心、日志中心协同实现流程驱动、消息触达和可审计治理。</w:t>
      </w:r>
    </w:p>
    <w:p>
      <w:pPr>
        <w:pStyle w:val="ListBullet"/>
        <w:spacing w:after="40"/>
      </w:pPr>
      <w:r>
        <w:t>与平台对接、小程序、统计分析、数据看板协同实现跨平台数据共享和能力复用。</w:t>
      </w:r>
    </w:p>
    <w:p>
      <w:pPr>
        <w:pStyle w:val="Heading2"/>
      </w:pPr>
      <w:r>
        <w:t>12. 性能与扩展性要求</w:t>
      </w:r>
    </w:p>
    <w:p>
      <w:pPr>
        <w:pStyle w:val="ListBullet"/>
        <w:spacing w:after="40"/>
      </w:pPr>
      <w:r>
        <w:t>列表和报表需支持分页、条件索引、聚合优化和异步导出。</w:t>
      </w:r>
    </w:p>
    <w:p>
      <w:pPr>
        <w:pStyle w:val="ListBullet"/>
        <w:spacing w:after="40"/>
      </w:pPr>
      <w:r>
        <w:t>地图、轨迹、视频、地磅、同步日志等大体量数据建议分表、归档或采用冷热分层策略。</w:t>
      </w:r>
    </w:p>
    <w:p>
      <w:pPr>
        <w:pStyle w:val="Heading2"/>
      </w:pPr>
      <w:r>
        <w:t>13. 本模块交付说明</w:t>
      </w:r>
    </w:p>
    <w:p>
      <w:pPr>
        <w:spacing w:after="120"/>
      </w:pPr>
      <w:r>
        <w:t>数据字典模块应作为独立可交付能力建设，既满足甲方当前招标要求，也为后续扩展第三方对接、移动端深化、规则引擎和经营分析能力保留扩展接口。</w:t>
      </w:r>
    </w:p>
    <w:p>
      <w:pPr>
        <w:sectPr>
          <w:pgSz w:w="12240" w:h="15840"/>
          <w:pgMar w:top="1440" w:right="1587" w:bottom="1440" w:left="1587" w:header="720" w:footer="720" w:gutter="0"/>
          <w:cols w:space="720"/>
          <w:docGrid w:linePitch="360"/>
        </w:sectPr>
      </w:pPr>
    </w:p>
    <w:p>
      <w:pPr>
        <w:pStyle w:val="Heading1"/>
      </w:pPr>
      <w:r>
        <w:t>系统参数配置技术方案</w:t>
      </w:r>
    </w:p>
    <w:p>
      <w:pPr>
        <w:pStyle w:val="Heading2"/>
      </w:pPr>
      <w:r>
        <w:t>1. 模块建设目标</w:t>
      </w:r>
    </w:p>
    <w:p>
      <w:pPr>
        <w:spacing w:after="120"/>
      </w:pPr>
      <w:r>
        <w:t>建立系统级业务参数和运行参数的集中管理能力。</w:t>
      </w:r>
    </w:p>
    <w:p>
      <w:pPr>
        <w:pStyle w:val="Heading2"/>
      </w:pPr>
      <w:r>
        <w:t>2. 模块技术范围</w:t>
      </w:r>
    </w:p>
    <w:p>
      <w:pPr>
        <w:spacing w:after="120"/>
      </w:pPr>
      <w:r>
        <w:t>系统参数配置模块技术范围覆盖前端页面、后台接口、业务服务、数据模型、审批联动、消息通知、日志审计、导入导出、移动端或第三方对接等能力。</w:t>
      </w:r>
    </w:p>
    <w:p>
      <w:pPr>
        <w:pStyle w:val="Heading2"/>
      </w:pPr>
      <w:r>
        <w:t>3. 总体能力设计</w:t>
      </w:r>
    </w:p>
    <w:p>
      <w:pPr>
        <w:spacing w:after="120"/>
      </w:pPr>
      <w:r>
        <w:t>系统参数配置模块用于统一承载阈值、开关、默认值、集成地址、业务期限等平台参数，满足可配置与可审计要求。技术上采用统一前后端分层架构，前端负责界面编排与交互约束，后端负责业务校验、流程编排、数据存储、异步任务和接口开放。</w:t>
      </w:r>
    </w:p>
    <w:p>
      <w:pPr>
        <w:pStyle w:val="Heading2"/>
      </w:pPr>
      <w:r>
        <w:t>4. 功能点技术实现方案</w:t>
      </w:r>
    </w:p>
    <w:p>
      <w:pPr>
        <w:pStyle w:val="Heading3"/>
      </w:pPr>
      <w:r>
        <w:t>4.1 列表和编辑</w:t>
      </w:r>
    </w:p>
    <w:p>
      <w:pPr>
        <w:spacing w:after="120"/>
      </w:pPr>
      <w:r>
        <w:t>目标能力 建设“列表和编辑”的标准化服务能力，满足支持系统参数的展示以及具体参数值的配置编辑的业务目标，并为后续审批、预警、统计、移动端和第三方联动提供统一接口支撑。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系统管理员、运维管理员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/api/system-params：承载“列表和编辑”相关的查询、提交、处理或结果获取能力。</w:t>
      </w:r>
    </w:p>
    <w:p>
      <w:pPr>
        <w:pStyle w:val="ListBullet"/>
        <w:spacing w:after="40"/>
      </w:pPr>
      <w:r>
        <w:t>GET /api/system-params/{id}：承载“列表和编辑”相关的查询、提交、处理或结果获取能力。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2"/>
      </w:pPr>
      <w:r>
        <w:t>5. 核心数据对象设计</w:t>
      </w:r>
    </w:p>
    <w:p>
      <w:pPr>
        <w:pStyle w:val="ListBullet"/>
        <w:spacing w:after="40"/>
      </w:pPr>
      <w:r>
        <w:t>系统参数 SysParam</w:t>
      </w:r>
    </w:p>
    <w:p>
      <w:pPr>
        <w:pStyle w:val="ListBullet"/>
        <w:spacing w:after="40"/>
      </w:pPr>
      <w:r>
        <w:t>参数变更记录 ParamChangeLog</w:t>
      </w:r>
    </w:p>
    <w:p>
      <w:pPr>
        <w:pStyle w:val="Heading2"/>
      </w:pPr>
      <w:r>
        <w:t>6. 业务接口设计</w:t>
      </w:r>
    </w:p>
    <w:p>
      <w:pPr>
        <w:pStyle w:val="ListBullet"/>
        <w:spacing w:after="40"/>
      </w:pPr>
      <w:r>
        <w:t>统一接口前缀建议采用 /api/system-params 或对应移动端、专项前缀，实现前后端接口分层清晰。</w:t>
      </w:r>
    </w:p>
    <w:p>
      <w:pPr>
        <w:pStyle w:val="ListBullet"/>
        <w:spacing w:after="40"/>
      </w:pPr>
      <w:r>
        <w:t>查询类接口支持分页、排序、条件过滤、字典翻译和状态聚合。</w:t>
      </w:r>
    </w:p>
    <w:p>
      <w:pPr>
        <w:pStyle w:val="ListBullet"/>
        <w:spacing w:after="40"/>
      </w:pPr>
      <w:r>
        <w:t>变更类接口支持幂等控制、状态校验、附件提交、审批提交流程和消息触发。</w:t>
      </w:r>
    </w:p>
    <w:p>
      <w:pPr>
        <w:pStyle w:val="Heading2"/>
      </w:pPr>
      <w:r>
        <w:t>7. 业务流程设计</w:t>
      </w:r>
    </w:p>
    <w:p>
      <w:pPr>
        <w:pStyle w:val="ListBullet"/>
        <w:spacing w:after="40"/>
      </w:pPr>
      <w:r>
        <w:t>业务流程统一遵循“发起/采集 -&gt; 校验 -&gt; 提交/处理 -&gt; 审批/同步 -&gt; 结果回写 -&gt; 留痕/通知”的流程骨架。</w:t>
      </w:r>
    </w:p>
    <w:p>
      <w:pPr>
        <w:pStyle w:val="ListBullet"/>
        <w:spacing w:after="40"/>
      </w:pPr>
      <w:r>
        <w:t>涉及统计、导出、同步、报表和预警生成的场景，采用异步任务和批处理机制降低接口阻塞风险。</w:t>
      </w:r>
    </w:p>
    <w:p>
      <w:pPr>
        <w:pStyle w:val="Heading2"/>
      </w:pPr>
      <w:r>
        <w:t>8. 权限与数据范围控制</w:t>
      </w:r>
    </w:p>
    <w:p>
      <w:pPr>
        <w:pStyle w:val="ListBullet"/>
        <w:spacing w:after="40"/>
      </w:pPr>
      <w:r>
        <w:t>统一接入组织、用户、角色和数据范围控制体系，按单位、项目、场地、车辆、合同等维度裁剪数据可见范围。</w:t>
      </w:r>
    </w:p>
    <w:p>
      <w:pPr>
        <w:pStyle w:val="ListBullet"/>
        <w:spacing w:after="40"/>
      </w:pPr>
      <w:r>
        <w:t>移动端、第三方接口和后台接口均需绑定独立的身份凭据和访问授权。</w:t>
      </w:r>
    </w:p>
    <w:p>
      <w:pPr>
        <w:pStyle w:val="Heading2"/>
      </w:pPr>
      <w:r>
        <w:t>9. 异常处理与补偿机制</w:t>
      </w:r>
    </w:p>
    <w:p>
      <w:pPr>
        <w:pStyle w:val="ListBullet"/>
        <w:spacing w:after="40"/>
      </w:pPr>
      <w:r>
        <w:t>关键接口统一返回错误码、错误信息、追踪编号和建议处理方式。</w:t>
      </w:r>
    </w:p>
    <w:p>
      <w:pPr>
        <w:pStyle w:val="ListBullet"/>
        <w:spacing w:after="40"/>
      </w:pPr>
      <w:r>
        <w:t>异步任务支持失败重试、批次追踪、人工补录、对账补偿和回滚控制。</w:t>
      </w:r>
    </w:p>
    <w:p>
      <w:pPr>
        <w:pStyle w:val="Heading2"/>
      </w:pPr>
      <w:r>
        <w:t>10. 日志审计与追溯要求</w:t>
      </w:r>
    </w:p>
    <w:p>
      <w:pPr>
        <w:pStyle w:val="ListBullet"/>
        <w:spacing w:after="40"/>
      </w:pPr>
      <w:r>
        <w:t>记录接口访问日志、业务操作日志、审批日志、同步日志、错误日志和消息推送回执。</w:t>
      </w:r>
    </w:p>
    <w:p>
      <w:pPr>
        <w:pStyle w:val="ListBullet"/>
        <w:spacing w:after="40"/>
      </w:pPr>
      <w:r>
        <w:t>关键业务对象支持按单号、主键、批次号、外部编码追溯全链路处理过程。</w:t>
      </w:r>
    </w:p>
    <w:p>
      <w:pPr>
        <w:pStyle w:val="Heading2"/>
      </w:pPr>
      <w:r>
        <w:t>11. 与第三方或其他模块协同方式</w:t>
      </w:r>
    </w:p>
    <w:p>
      <w:pPr>
        <w:pStyle w:val="ListBullet"/>
        <w:spacing w:after="40"/>
      </w:pPr>
      <w:r>
        <w:t>与组织权限体系协同实现统一身份和数据授权。</w:t>
      </w:r>
    </w:p>
    <w:p>
      <w:pPr>
        <w:pStyle w:val="ListBullet"/>
        <w:spacing w:after="40"/>
      </w:pPr>
      <w:r>
        <w:t>与审批配置、消息中心、日志中心协同实现流程驱动、消息触达和可审计治理。</w:t>
      </w:r>
    </w:p>
    <w:p>
      <w:pPr>
        <w:pStyle w:val="ListBullet"/>
        <w:spacing w:after="40"/>
      </w:pPr>
      <w:r>
        <w:t>与平台对接、小程序、统计分析、数据看板协同实现跨平台数据共享和能力复用。</w:t>
      </w:r>
    </w:p>
    <w:p>
      <w:pPr>
        <w:pStyle w:val="Heading2"/>
      </w:pPr>
      <w:r>
        <w:t>12. 性能与扩展性要求</w:t>
      </w:r>
    </w:p>
    <w:p>
      <w:pPr>
        <w:pStyle w:val="ListBullet"/>
        <w:spacing w:after="40"/>
      </w:pPr>
      <w:r>
        <w:t>列表和报表需支持分页、条件索引、聚合优化和异步导出。</w:t>
      </w:r>
    </w:p>
    <w:p>
      <w:pPr>
        <w:pStyle w:val="ListBullet"/>
        <w:spacing w:after="40"/>
      </w:pPr>
      <w:r>
        <w:t>地图、轨迹、视频、地磅、同步日志等大体量数据建议分表、归档或采用冷热分层策略。</w:t>
      </w:r>
    </w:p>
    <w:p>
      <w:pPr>
        <w:pStyle w:val="Heading2"/>
      </w:pPr>
      <w:r>
        <w:t>13. 本模块交付说明</w:t>
      </w:r>
    </w:p>
    <w:p>
      <w:pPr>
        <w:spacing w:after="120"/>
      </w:pPr>
      <w:r>
        <w:t>系统参数配置模块应作为独立可交付能力建设，既满足甲方当前招标要求，也为后续扩展第三方对接、移动端深化、规则引擎和经营分析能力保留扩展接口。</w:t>
      </w:r>
    </w:p>
    <w:p>
      <w:pPr>
        <w:sectPr>
          <w:pgSz w:w="12240" w:h="15840"/>
          <w:pgMar w:top="1440" w:right="1587" w:bottom="1440" w:left="1587" w:header="720" w:footer="720" w:gutter="0"/>
          <w:cols w:space="720"/>
          <w:docGrid w:linePitch="360"/>
        </w:sectPr>
      </w:pPr>
    </w:p>
    <w:p>
      <w:pPr>
        <w:pStyle w:val="Heading1"/>
      </w:pPr>
      <w:r>
        <w:t>统计分析技术方案</w:t>
      </w:r>
    </w:p>
    <w:p>
      <w:pPr>
        <w:pStyle w:val="Heading2"/>
      </w:pPr>
      <w:r>
        <w:t>1. 模块建设目标</w:t>
      </w:r>
    </w:p>
    <w:p>
      <w:pPr>
        <w:spacing w:after="120"/>
      </w:pPr>
      <w:r>
        <w:t>形成经营、运力、场地、项目等多维分析能力。</w:t>
      </w:r>
    </w:p>
    <w:p>
      <w:pPr>
        <w:pStyle w:val="Heading2"/>
      </w:pPr>
      <w:r>
        <w:t>2. 模块技术范围</w:t>
      </w:r>
    </w:p>
    <w:p>
      <w:pPr>
        <w:spacing w:after="120"/>
      </w:pPr>
      <w:r>
        <w:t>统计分析模块技术范围覆盖前端页面、后台接口、业务服务、数据模型、审批联动、消息通知、日志审计、导入导出、移动端或第三方对接等能力。</w:t>
      </w:r>
    </w:p>
    <w:p>
      <w:pPr>
        <w:pStyle w:val="Heading2"/>
      </w:pPr>
      <w:r>
        <w:t>3. 总体能力设计</w:t>
      </w:r>
    </w:p>
    <w:p>
      <w:pPr>
        <w:spacing w:after="120"/>
      </w:pPr>
      <w:r>
        <w:t>统计分析模块面向领导驾驶舱和运营分析场景，强调指标聚合、趋势分析、统计口径统一和导出共享能力。技术上采用统一前后端分层架构，前端负责界面编排与交互约束，后端负责业务校验、流程编排、数据存储、异步任务和接口开放。</w:t>
      </w:r>
    </w:p>
    <w:p>
      <w:pPr>
        <w:pStyle w:val="Heading2"/>
      </w:pPr>
      <w:r>
        <w:t>4. 功能点技术实现方案</w:t>
      </w:r>
    </w:p>
    <w:p>
      <w:pPr>
        <w:pStyle w:val="Heading3"/>
      </w:pPr>
      <w:r>
        <w:t>4.1 总体分析</w:t>
      </w:r>
    </w:p>
    <w:p>
      <w:pPr>
        <w:spacing w:after="120"/>
      </w:pPr>
      <w:r>
        <w:t>目标能力 建设“总体分析”的标准化服务能力，满足总体分析消纳场地、消纳项目、实运单位数据的一张图统计展示的业务目标，并为后续审批、预警、统计、移动端和第三方联动提供统一接口支撑。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领导层、运营管理人员、监管人员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/api/analytics：承载“总体分析”相关的查询、提交、处理或结果获取能力。</w:t>
      </w:r>
    </w:p>
    <w:p>
      <w:pPr>
        <w:pStyle w:val="ListBullet"/>
        <w:spacing w:after="40"/>
      </w:pPr>
      <w:r>
        <w:t>POST /api/analytics：承载“总体分析”相关的查询、提交、处理或结果获取能力。</w:t>
      </w:r>
    </w:p>
    <w:p>
      <w:pPr>
        <w:pStyle w:val="ListBullet"/>
        <w:spacing w:after="40"/>
      </w:pPr>
      <w:r>
        <w:t>PUT /api/analytics/{id}：承载“总体分析”相关的查询、提交、处理或结果获取能力。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4.2 运力分析</w:t>
      </w:r>
    </w:p>
    <w:p>
      <w:pPr>
        <w:spacing w:after="120"/>
      </w:pPr>
      <w:r>
        <w:t>目标能力 建设“运力分析”的标准化服务能力，满足各车辆支持自定义日月年均运载量；车辆运载里程(荷载)；车辆运载里程(空载)；车辆运营能耗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领导层、运营管理人员、监管人员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/api/analytics：承载“运力分析”相关的查询、提交、处理或结果获取能力。</w:t>
      </w:r>
    </w:p>
    <w:p>
      <w:pPr>
        <w:pStyle w:val="ListBullet"/>
        <w:spacing w:after="40"/>
      </w:pPr>
      <w:r>
        <w:t>POST /api/analytics：承载“运力分析”相关的查询、提交、处理或结果获取能力。</w:t>
      </w:r>
    </w:p>
    <w:p>
      <w:pPr>
        <w:pStyle w:val="ListBullet"/>
        <w:spacing w:after="40"/>
      </w:pPr>
      <w:r>
        <w:t>PUT /api/analytics/{id}：承载“运力分析”相关的查询、提交、处理或结果获取能力。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4.3 消纳场地报表</w:t>
      </w:r>
    </w:p>
    <w:p>
      <w:pPr>
        <w:spacing w:after="120"/>
      </w:pPr>
      <w:r>
        <w:t>目标能力 建设“消纳场地报表”的标准化服务能力，满足消纳场地数据的展示包含：场地名称、场地类型、当前状态、场地容量、已消纳量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领导层、运营管理人员、监管人员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/api/analytics/summary：承载“消纳场地报表”相关的查询、提交、处理或结果获取能力。</w:t>
      </w:r>
    </w:p>
    <w:p>
      <w:pPr>
        <w:pStyle w:val="ListBullet"/>
        <w:spacing w:after="40"/>
      </w:pPr>
      <w:r>
        <w:t>GET /api/analytics/trend：承载“消纳场地报表”相关的查询、提交、处理或结果获取能力。</w:t>
      </w:r>
    </w:p>
    <w:p>
      <w:pPr>
        <w:pStyle w:val="ListBullet"/>
        <w:spacing w:after="40"/>
      </w:pPr>
      <w:r>
        <w:t>POST /api/analytics/export：承载“消纳场地报表”相关的查询、提交、处理或结果获取能力。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4.4 项目报表</w:t>
      </w:r>
    </w:p>
    <w:p>
      <w:pPr>
        <w:spacing w:after="120"/>
      </w:pPr>
      <w:r>
        <w:t>目标能力 建设“项目报表”的标准化服务能力，满足项目报表的展示包含：项目名称、工程总量、已消纳量；支持自定义日月年数据统计及导出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领导层、运营管理人员、监管人员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/api/analytics/summary：承载“项目报表”相关的查询、提交、处理或结果获取能力。</w:t>
      </w:r>
    </w:p>
    <w:p>
      <w:pPr>
        <w:pStyle w:val="ListBullet"/>
        <w:spacing w:after="40"/>
      </w:pPr>
      <w:r>
        <w:t>GET /api/analytics/trend：承载“项目报表”相关的查询、提交、处理或结果获取能力。</w:t>
      </w:r>
    </w:p>
    <w:p>
      <w:pPr>
        <w:pStyle w:val="ListBullet"/>
        <w:spacing w:after="40"/>
      </w:pPr>
      <w:r>
        <w:t>POST /api/analytics/export：承载“项目报表”相关的查询、提交、处理或结果获取能力。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2"/>
      </w:pPr>
      <w:r>
        <w:t>5. 核心数据对象设计</w:t>
      </w:r>
    </w:p>
    <w:p>
      <w:pPr>
        <w:pStyle w:val="ListBullet"/>
        <w:spacing w:after="40"/>
      </w:pPr>
      <w:r>
        <w:t>分析指标 AnalyticsMetric</w:t>
      </w:r>
    </w:p>
    <w:p>
      <w:pPr>
        <w:pStyle w:val="ListBullet"/>
        <w:spacing w:after="40"/>
      </w:pPr>
      <w:r>
        <w:t>统计快照 AnalyticsSnapshot</w:t>
      </w:r>
    </w:p>
    <w:p>
      <w:pPr>
        <w:pStyle w:val="ListBullet"/>
        <w:spacing w:after="40"/>
      </w:pPr>
      <w:r>
        <w:t>统计报表 AnalyticsReport</w:t>
      </w:r>
    </w:p>
    <w:p>
      <w:pPr>
        <w:pStyle w:val="Heading2"/>
      </w:pPr>
      <w:r>
        <w:t>6. 业务接口设计</w:t>
      </w:r>
    </w:p>
    <w:p>
      <w:pPr>
        <w:pStyle w:val="ListBullet"/>
        <w:spacing w:after="40"/>
      </w:pPr>
      <w:r>
        <w:t>统一接口前缀建议采用 /api/analytics 或对应移动端、专项前缀，实现前后端接口分层清晰。</w:t>
      </w:r>
    </w:p>
    <w:p>
      <w:pPr>
        <w:pStyle w:val="ListBullet"/>
        <w:spacing w:after="40"/>
      </w:pPr>
      <w:r>
        <w:t>查询类接口支持分页、排序、条件过滤、字典翻译和状态聚合。</w:t>
      </w:r>
    </w:p>
    <w:p>
      <w:pPr>
        <w:pStyle w:val="ListBullet"/>
        <w:spacing w:after="40"/>
      </w:pPr>
      <w:r>
        <w:t>变更类接口支持幂等控制、状态校验、附件提交、审批提交流程和消息触发。</w:t>
      </w:r>
    </w:p>
    <w:p>
      <w:pPr>
        <w:pStyle w:val="Heading2"/>
      </w:pPr>
      <w:r>
        <w:t>7. 业务流程设计</w:t>
      </w:r>
    </w:p>
    <w:p>
      <w:pPr>
        <w:pStyle w:val="ListBullet"/>
        <w:spacing w:after="40"/>
      </w:pPr>
      <w:r>
        <w:t>业务流程统一遵循“发起/采集 -&gt; 校验 -&gt; 提交/处理 -&gt; 审批/同步 -&gt; 结果回写 -&gt; 留痕/通知”的流程骨架。</w:t>
      </w:r>
    </w:p>
    <w:p>
      <w:pPr>
        <w:pStyle w:val="ListBullet"/>
        <w:spacing w:after="40"/>
      </w:pPr>
      <w:r>
        <w:t>涉及统计、导出、同步、报表和预警生成的场景，采用异步任务和批处理机制降低接口阻塞风险。</w:t>
      </w:r>
    </w:p>
    <w:p>
      <w:pPr>
        <w:pStyle w:val="Heading2"/>
      </w:pPr>
      <w:r>
        <w:t>8. 权限与数据范围控制</w:t>
      </w:r>
    </w:p>
    <w:p>
      <w:pPr>
        <w:pStyle w:val="ListBullet"/>
        <w:spacing w:after="40"/>
      </w:pPr>
      <w:r>
        <w:t>统一接入组织、用户、角色和数据范围控制体系，按单位、项目、场地、车辆、合同等维度裁剪数据可见范围。</w:t>
      </w:r>
    </w:p>
    <w:p>
      <w:pPr>
        <w:pStyle w:val="ListBullet"/>
        <w:spacing w:after="40"/>
      </w:pPr>
      <w:r>
        <w:t>移动端、第三方接口和后台接口均需绑定独立的身份凭据和访问授权。</w:t>
      </w:r>
    </w:p>
    <w:p>
      <w:pPr>
        <w:pStyle w:val="Heading2"/>
      </w:pPr>
      <w:r>
        <w:t>9. 异常处理与补偿机制</w:t>
      </w:r>
    </w:p>
    <w:p>
      <w:pPr>
        <w:pStyle w:val="ListBullet"/>
        <w:spacing w:after="40"/>
      </w:pPr>
      <w:r>
        <w:t>关键接口统一返回错误码、错误信息、追踪编号和建议处理方式。</w:t>
      </w:r>
    </w:p>
    <w:p>
      <w:pPr>
        <w:pStyle w:val="ListBullet"/>
        <w:spacing w:after="40"/>
      </w:pPr>
      <w:r>
        <w:t>异步任务支持失败重试、批次追踪、人工补录、对账补偿和回滚控制。</w:t>
      </w:r>
    </w:p>
    <w:p>
      <w:pPr>
        <w:pStyle w:val="Heading2"/>
      </w:pPr>
      <w:r>
        <w:t>10. 日志审计与追溯要求</w:t>
      </w:r>
    </w:p>
    <w:p>
      <w:pPr>
        <w:pStyle w:val="ListBullet"/>
        <w:spacing w:after="40"/>
      </w:pPr>
      <w:r>
        <w:t>记录接口访问日志、业务操作日志、审批日志、同步日志、错误日志和消息推送回执。</w:t>
      </w:r>
    </w:p>
    <w:p>
      <w:pPr>
        <w:pStyle w:val="ListBullet"/>
        <w:spacing w:after="40"/>
      </w:pPr>
      <w:r>
        <w:t>关键业务对象支持按单号、主键、批次号、外部编码追溯全链路处理过程。</w:t>
      </w:r>
    </w:p>
    <w:p>
      <w:pPr>
        <w:pStyle w:val="Heading2"/>
      </w:pPr>
      <w:r>
        <w:t>11. 与第三方或其他模块协同方式</w:t>
      </w:r>
    </w:p>
    <w:p>
      <w:pPr>
        <w:pStyle w:val="ListBullet"/>
        <w:spacing w:after="40"/>
      </w:pPr>
      <w:r>
        <w:t>与组织权限体系协同实现统一身份和数据授权。</w:t>
      </w:r>
    </w:p>
    <w:p>
      <w:pPr>
        <w:pStyle w:val="ListBullet"/>
        <w:spacing w:after="40"/>
      </w:pPr>
      <w:r>
        <w:t>与审批配置、消息中心、日志中心协同实现流程驱动、消息触达和可审计治理。</w:t>
      </w:r>
    </w:p>
    <w:p>
      <w:pPr>
        <w:pStyle w:val="ListBullet"/>
        <w:spacing w:after="40"/>
      </w:pPr>
      <w:r>
        <w:t>与平台对接、小程序、统计分析、数据看板协同实现跨平台数据共享和能力复用。</w:t>
      </w:r>
    </w:p>
    <w:p>
      <w:pPr>
        <w:pStyle w:val="Heading2"/>
      </w:pPr>
      <w:r>
        <w:t>12. 性能与扩展性要求</w:t>
      </w:r>
    </w:p>
    <w:p>
      <w:pPr>
        <w:pStyle w:val="ListBullet"/>
        <w:spacing w:after="40"/>
      </w:pPr>
      <w:r>
        <w:t>列表和报表需支持分页、条件索引、聚合优化和异步导出。</w:t>
      </w:r>
    </w:p>
    <w:p>
      <w:pPr>
        <w:pStyle w:val="ListBullet"/>
        <w:spacing w:after="40"/>
      </w:pPr>
      <w:r>
        <w:t>地图、轨迹、视频、地磅、同步日志等大体量数据建议分表、归档或采用冷热分层策略。</w:t>
      </w:r>
    </w:p>
    <w:p>
      <w:pPr>
        <w:pStyle w:val="Heading2"/>
      </w:pPr>
      <w:r>
        <w:t>13. 本模块交付说明</w:t>
      </w:r>
    </w:p>
    <w:p>
      <w:pPr>
        <w:spacing w:after="120"/>
      </w:pPr>
      <w:r>
        <w:t>统计分析模块应作为独立可交付能力建设，既满足甲方当前招标要求，也为后续扩展第三方对接、移动端深化、规则引擎和经营分析能力保留扩展接口。</w:t>
      </w:r>
    </w:p>
    <w:p>
      <w:pPr>
        <w:sectPr>
          <w:pgSz w:w="12240" w:h="15840"/>
          <w:pgMar w:top="1440" w:right="1587" w:bottom="1440" w:left="1587" w:header="720" w:footer="720" w:gutter="0"/>
          <w:cols w:space="720"/>
          <w:docGrid w:linePitch="360"/>
        </w:sectPr>
      </w:pPr>
    </w:p>
    <w:p>
      <w:pPr>
        <w:pStyle w:val="Heading1"/>
      </w:pPr>
      <w:r>
        <w:t>数据看板技术方案</w:t>
      </w:r>
    </w:p>
    <w:p>
      <w:pPr>
        <w:pStyle w:val="Heading2"/>
      </w:pPr>
      <w:r>
        <w:t>1. 模块建设目标</w:t>
      </w:r>
    </w:p>
    <w:p>
      <w:pPr>
        <w:spacing w:after="120"/>
      </w:pPr>
      <w:r>
        <w:t>构建面向指挥调度和态势感知的可视化看板体系。</w:t>
      </w:r>
    </w:p>
    <w:p>
      <w:pPr>
        <w:pStyle w:val="Heading2"/>
      </w:pPr>
      <w:r>
        <w:t>2. 模块技术范围</w:t>
      </w:r>
    </w:p>
    <w:p>
      <w:pPr>
        <w:spacing w:after="120"/>
      </w:pPr>
      <w:r>
        <w:t>数据看板模块技术范围覆盖前端页面、后台接口、业务服务、数据模型、审批联动、消息通知、日志审计、导入导出、移动端或第三方对接等能力。</w:t>
      </w:r>
    </w:p>
    <w:p>
      <w:pPr>
        <w:pStyle w:val="Heading2"/>
      </w:pPr>
      <w:r>
        <w:t>3. 总体能力设计</w:t>
      </w:r>
    </w:p>
    <w:p>
      <w:pPr>
        <w:spacing w:after="120"/>
      </w:pPr>
      <w:r>
        <w:t>数据看板模块聚焦全局可视化展示，突出场地、项目、车辆、地图和排行分析的实时呈现能力。技术上采用统一前后端分层架构，前端负责界面编排与交互约束，后端负责业务校验、流程编排、数据存储、异步任务和接口开放。</w:t>
      </w:r>
    </w:p>
    <w:p>
      <w:pPr>
        <w:pStyle w:val="Heading2"/>
      </w:pPr>
      <w:r>
        <w:t>4. 功能点技术实现方案</w:t>
      </w:r>
    </w:p>
    <w:p>
      <w:pPr>
        <w:pStyle w:val="Heading3"/>
      </w:pPr>
      <w:r>
        <w:t>4.1 消纳场数据</w:t>
      </w:r>
    </w:p>
    <w:p>
      <w:pPr>
        <w:spacing w:after="120"/>
      </w:pPr>
      <w:r>
        <w:t>目标能力 建设“消纳场数据”的标准化服务能力，满足支持消纳场地容量和已消纳量的展示，以及自定义日月年消纳数据的展示，可以根据自定义日月年消纳数据进行排名展示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领导层、监管人员、运营人员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/api/dashboards：承载“消纳场数据”相关的查询、提交、处理或结果获取能力。</w:t>
      </w:r>
    </w:p>
    <w:p>
      <w:pPr>
        <w:pStyle w:val="ListBullet"/>
        <w:spacing w:after="40"/>
      </w:pPr>
      <w:r>
        <w:t>POST /api/dashboards：承载“消纳场数据”相关的查询、提交、处理或结果获取能力。</w:t>
      </w:r>
    </w:p>
    <w:p>
      <w:pPr>
        <w:pStyle w:val="ListBullet"/>
        <w:spacing w:after="40"/>
      </w:pPr>
      <w:r>
        <w:t>PUT /api/dashboards/{id}：承载“消纳场数据”相关的查询、提交、处理或结果获取能力。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4.2 项目数据</w:t>
      </w:r>
    </w:p>
    <w:p>
      <w:pPr>
        <w:spacing w:after="120"/>
      </w:pPr>
      <w:r>
        <w:t>目标能力 建设“项目数据”的标准化服务能力，满足支持项目工程量和进度展示，以及自定义日月年消纳数据展示，并根据自定义日月年消纳数据进行排名展示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领导层、监管人员、运营人员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/api/dashboards：承载“项目数据”相关的查询、提交、处理或结果获取能力。</w:t>
      </w:r>
    </w:p>
    <w:p>
      <w:pPr>
        <w:pStyle w:val="ListBullet"/>
        <w:spacing w:after="40"/>
      </w:pPr>
      <w:r>
        <w:t>POST /api/dashboards：承载“项目数据”相关的查询、提交、处理或结果获取能力。</w:t>
      </w:r>
    </w:p>
    <w:p>
      <w:pPr>
        <w:pStyle w:val="ListBullet"/>
        <w:spacing w:after="40"/>
      </w:pPr>
      <w:r>
        <w:t>PUT /api/dashboards/{id}：承载“项目数据”相关的查询、提交、处理或结果获取能力。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4.3 地图展示</w:t>
      </w:r>
    </w:p>
    <w:p>
      <w:pPr>
        <w:spacing w:after="120"/>
      </w:pPr>
      <w:r>
        <w:t>目标能力 建设“地图展示”的标准化服务能力，满足支持消纳场地、项目、车辆的分布展示；并支持对车辆的轨迹进行回放查看的业务目标，并为后续审批、预警、统计、移动端和第三方联动提供统一接口支撑。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领导层、监管人员、运营人员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/api/dashboards/map：承载“地图展示”相关的查询、提交、处理或结果获取能力。</w:t>
      </w:r>
    </w:p>
    <w:p>
      <w:pPr>
        <w:pStyle w:val="ListBullet"/>
        <w:spacing w:after="40"/>
      </w:pPr>
      <w:r>
        <w:t>GET /api/dashboards/track-history：承载“地图展示”相关的查询、提交、处理或结果获取能力。</w:t>
      </w:r>
    </w:p>
    <w:p>
      <w:pPr>
        <w:pStyle w:val="ListBullet"/>
        <w:spacing w:after="40"/>
      </w:pPr>
      <w:r>
        <w:t>POST /api/dashboards/fences：承载“地图展示”相关的查询、提交、处理或结果获取能力。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4.4 消纳场地</w:t>
      </w:r>
    </w:p>
    <w:p>
      <w:pPr>
        <w:spacing w:after="120"/>
      </w:pPr>
      <w:r>
        <w:t>目标能力 建设“消纳场地”的标准化服务能力，满足支持场地红线范围在地图上的展示，以及场地设备的地理位置标记的业务目标，并为后续审批、预警、统计、移动端和第三方联动提供统一接口支撑。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领导层、监管人员、运营人员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/api/dashboards：承载“消纳场地”相关的查询、提交、处理或结果获取能力。</w:t>
      </w:r>
    </w:p>
    <w:p>
      <w:pPr>
        <w:pStyle w:val="ListBullet"/>
        <w:spacing w:after="40"/>
      </w:pPr>
      <w:r>
        <w:t>POST /api/dashboards：承载“消纳场地”相关的查询、提交、处理或结果获取能力。</w:t>
      </w:r>
    </w:p>
    <w:p>
      <w:pPr>
        <w:pStyle w:val="ListBullet"/>
        <w:spacing w:after="40"/>
      </w:pPr>
      <w:r>
        <w:t>PUT /api/dashboards/{id}：承载“消纳场地”相关的查询、提交、处理或结果获取能力。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2"/>
      </w:pPr>
      <w:r>
        <w:t>5. 核心数据对象设计</w:t>
      </w:r>
    </w:p>
    <w:p>
      <w:pPr>
        <w:pStyle w:val="ListBullet"/>
        <w:spacing w:after="40"/>
      </w:pPr>
      <w:r>
        <w:t>看板卡片 DashboardCard</w:t>
      </w:r>
    </w:p>
    <w:p>
      <w:pPr>
        <w:pStyle w:val="ListBullet"/>
        <w:spacing w:after="40"/>
      </w:pPr>
      <w:r>
        <w:t>排行指标 RankingMetric</w:t>
      </w:r>
    </w:p>
    <w:p>
      <w:pPr>
        <w:pStyle w:val="ListBullet"/>
        <w:spacing w:after="40"/>
      </w:pPr>
      <w:r>
        <w:t>地图图层 MapLayer</w:t>
      </w:r>
    </w:p>
    <w:p>
      <w:pPr>
        <w:pStyle w:val="Heading2"/>
      </w:pPr>
      <w:r>
        <w:t>6. 业务接口设计</w:t>
      </w:r>
    </w:p>
    <w:p>
      <w:pPr>
        <w:pStyle w:val="ListBullet"/>
        <w:spacing w:after="40"/>
      </w:pPr>
      <w:r>
        <w:t>统一接口前缀建议采用 /api/dashboards 或对应移动端、专项前缀，实现前后端接口分层清晰。</w:t>
      </w:r>
    </w:p>
    <w:p>
      <w:pPr>
        <w:pStyle w:val="ListBullet"/>
        <w:spacing w:after="40"/>
      </w:pPr>
      <w:r>
        <w:t>查询类接口支持分页、排序、条件过滤、字典翻译和状态聚合。</w:t>
      </w:r>
    </w:p>
    <w:p>
      <w:pPr>
        <w:pStyle w:val="ListBullet"/>
        <w:spacing w:after="40"/>
      </w:pPr>
      <w:r>
        <w:t>变更类接口支持幂等控制、状态校验、附件提交、审批提交流程和消息触发。</w:t>
      </w:r>
    </w:p>
    <w:p>
      <w:pPr>
        <w:pStyle w:val="Heading2"/>
      </w:pPr>
      <w:r>
        <w:t>7. 业务流程设计</w:t>
      </w:r>
    </w:p>
    <w:p>
      <w:pPr>
        <w:pStyle w:val="ListBullet"/>
        <w:spacing w:after="40"/>
      </w:pPr>
      <w:r>
        <w:t>业务流程统一遵循“发起/采集 -&gt; 校验 -&gt; 提交/处理 -&gt; 审批/同步 -&gt; 结果回写 -&gt; 留痕/通知”的流程骨架。</w:t>
      </w:r>
    </w:p>
    <w:p>
      <w:pPr>
        <w:pStyle w:val="ListBullet"/>
        <w:spacing w:after="40"/>
      </w:pPr>
      <w:r>
        <w:t>涉及统计、导出、同步、报表和预警生成的场景，采用异步任务和批处理机制降低接口阻塞风险。</w:t>
      </w:r>
    </w:p>
    <w:p>
      <w:pPr>
        <w:pStyle w:val="Heading2"/>
      </w:pPr>
      <w:r>
        <w:t>8. 权限与数据范围控制</w:t>
      </w:r>
    </w:p>
    <w:p>
      <w:pPr>
        <w:pStyle w:val="ListBullet"/>
        <w:spacing w:after="40"/>
      </w:pPr>
      <w:r>
        <w:t>统一接入组织、用户、角色和数据范围控制体系，按单位、项目、场地、车辆、合同等维度裁剪数据可见范围。</w:t>
      </w:r>
    </w:p>
    <w:p>
      <w:pPr>
        <w:pStyle w:val="ListBullet"/>
        <w:spacing w:after="40"/>
      </w:pPr>
      <w:r>
        <w:t>移动端、第三方接口和后台接口均需绑定独立的身份凭据和访问授权。</w:t>
      </w:r>
    </w:p>
    <w:p>
      <w:pPr>
        <w:pStyle w:val="Heading2"/>
      </w:pPr>
      <w:r>
        <w:t>9. 异常处理与补偿机制</w:t>
      </w:r>
    </w:p>
    <w:p>
      <w:pPr>
        <w:pStyle w:val="ListBullet"/>
        <w:spacing w:after="40"/>
      </w:pPr>
      <w:r>
        <w:t>关键接口统一返回错误码、错误信息、追踪编号和建议处理方式。</w:t>
      </w:r>
    </w:p>
    <w:p>
      <w:pPr>
        <w:pStyle w:val="ListBullet"/>
        <w:spacing w:after="40"/>
      </w:pPr>
      <w:r>
        <w:t>异步任务支持失败重试、批次追踪、人工补录、对账补偿和回滚控制。</w:t>
      </w:r>
    </w:p>
    <w:p>
      <w:pPr>
        <w:pStyle w:val="Heading2"/>
      </w:pPr>
      <w:r>
        <w:t>10. 日志审计与追溯要求</w:t>
      </w:r>
    </w:p>
    <w:p>
      <w:pPr>
        <w:pStyle w:val="ListBullet"/>
        <w:spacing w:after="40"/>
      </w:pPr>
      <w:r>
        <w:t>记录接口访问日志、业务操作日志、审批日志、同步日志、错误日志和消息推送回执。</w:t>
      </w:r>
    </w:p>
    <w:p>
      <w:pPr>
        <w:pStyle w:val="ListBullet"/>
        <w:spacing w:after="40"/>
      </w:pPr>
      <w:r>
        <w:t>关键业务对象支持按单号、主键、批次号、外部编码追溯全链路处理过程。</w:t>
      </w:r>
    </w:p>
    <w:p>
      <w:pPr>
        <w:pStyle w:val="Heading2"/>
      </w:pPr>
      <w:r>
        <w:t>11. 与第三方或其他模块协同方式</w:t>
      </w:r>
    </w:p>
    <w:p>
      <w:pPr>
        <w:pStyle w:val="ListBullet"/>
        <w:spacing w:after="40"/>
      </w:pPr>
      <w:r>
        <w:t>与组织权限体系协同实现统一身份和数据授权。</w:t>
      </w:r>
    </w:p>
    <w:p>
      <w:pPr>
        <w:pStyle w:val="ListBullet"/>
        <w:spacing w:after="40"/>
      </w:pPr>
      <w:r>
        <w:t>与审批配置、消息中心、日志中心协同实现流程驱动、消息触达和可审计治理。</w:t>
      </w:r>
    </w:p>
    <w:p>
      <w:pPr>
        <w:pStyle w:val="ListBullet"/>
        <w:spacing w:after="40"/>
      </w:pPr>
      <w:r>
        <w:t>与平台对接、小程序、统计分析、数据看板协同实现跨平台数据共享和能力复用。</w:t>
      </w:r>
    </w:p>
    <w:p>
      <w:pPr>
        <w:pStyle w:val="Heading2"/>
      </w:pPr>
      <w:r>
        <w:t>12. 性能与扩展性要求</w:t>
      </w:r>
    </w:p>
    <w:p>
      <w:pPr>
        <w:pStyle w:val="ListBullet"/>
        <w:spacing w:after="40"/>
      </w:pPr>
      <w:r>
        <w:t>列表和报表需支持分页、条件索引、聚合优化和异步导出。</w:t>
      </w:r>
    </w:p>
    <w:p>
      <w:pPr>
        <w:pStyle w:val="ListBullet"/>
        <w:spacing w:after="40"/>
      </w:pPr>
      <w:r>
        <w:t>地图、轨迹、视频、地磅、同步日志等大体量数据建议分表、归档或采用冷热分层策略。</w:t>
      </w:r>
    </w:p>
    <w:p>
      <w:pPr>
        <w:pStyle w:val="Heading2"/>
      </w:pPr>
      <w:r>
        <w:t>13. 本模块交付说明</w:t>
      </w:r>
    </w:p>
    <w:p>
      <w:pPr>
        <w:spacing w:after="120"/>
      </w:pPr>
      <w:r>
        <w:t>数据看板模块应作为独立可交付能力建设，既满足甲方当前招标要求，也为后续扩展第三方对接、移动端深化、规则引擎和经营分析能力保留扩展接口。</w:t>
      </w:r>
    </w:p>
    <w:p>
      <w:pPr>
        <w:sectPr>
          <w:pgSz w:w="12240" w:h="15840"/>
          <w:pgMar w:top="1440" w:right="1587" w:bottom="1440" w:left="1587" w:header="720" w:footer="720" w:gutter="0"/>
          <w:cols w:space="720"/>
          <w:docGrid w:linePitch="360"/>
        </w:sectPr>
      </w:pPr>
    </w:p>
    <w:p>
      <w:pPr>
        <w:pStyle w:val="Heading1"/>
      </w:pPr>
      <w:r>
        <w:t>平台对接技术方案</w:t>
      </w:r>
    </w:p>
    <w:p>
      <w:pPr>
        <w:pStyle w:val="Heading2"/>
      </w:pPr>
      <w:r>
        <w:t>1. 模块建设目标</w:t>
      </w:r>
    </w:p>
    <w:p>
      <w:pPr>
        <w:spacing w:after="120"/>
      </w:pPr>
      <w:r>
        <w:t>建立覆盖政务网、定位/GPS、视频、地磅、统一身份认证与单点登录的统一对接能力，实现对接配置、数据同步、日志追踪、异常补偿和运维监控标准化。</w:t>
      </w:r>
    </w:p>
    <w:p>
      <w:pPr>
        <w:pStyle w:val="Heading2"/>
      </w:pPr>
      <w:r>
        <w:t>2. 模块技术范围</w:t>
      </w:r>
    </w:p>
    <w:p>
      <w:pPr>
        <w:spacing w:after="120"/>
      </w:pPr>
      <w:r>
        <w:t>平台对接模块技术范围包括：</w:t>
      </w:r>
    </w:p>
    <w:p>
      <w:pPr>
        <w:pStyle w:val="ListBullet"/>
        <w:spacing w:after="40"/>
      </w:pPr>
      <w:r>
        <w:t>对接配置管理</w:t>
      </w:r>
    </w:p>
    <w:p>
      <w:pPr>
        <w:pStyle w:val="ListBullet"/>
        <w:spacing w:after="40"/>
      </w:pPr>
      <w:r>
        <w:t>政务网同步服务</w:t>
      </w:r>
    </w:p>
    <w:p>
      <w:pPr>
        <w:pStyle w:val="ListBullet"/>
        <w:spacing w:after="40"/>
      </w:pPr>
      <w:r>
        <w:t>定位/GPS 轨迹接入服务</w:t>
      </w:r>
    </w:p>
    <w:p>
      <w:pPr>
        <w:pStyle w:val="ListBullet"/>
        <w:spacing w:after="40"/>
      </w:pPr>
      <w:r>
        <w:t>视频设备与通道接入服务</w:t>
      </w:r>
    </w:p>
    <w:p>
      <w:pPr>
        <w:pStyle w:val="ListBullet"/>
        <w:spacing w:after="40"/>
      </w:pPr>
      <w:r>
        <w:t>地磅数据接入与对账服务</w:t>
      </w:r>
    </w:p>
    <w:p>
      <w:pPr>
        <w:pStyle w:val="ListBullet"/>
        <w:spacing w:after="40"/>
      </w:pPr>
      <w:r>
        <w:t>单点登录票据交换服务</w:t>
      </w:r>
    </w:p>
    <w:p>
      <w:pPr>
        <w:pStyle w:val="ListBullet"/>
        <w:spacing w:after="40"/>
      </w:pPr>
      <w:r>
        <w:t>异步任务、同步日志、失败补偿和运维监控服务</w:t>
      </w:r>
    </w:p>
    <w:p>
      <w:pPr>
        <w:pStyle w:val="Heading2"/>
      </w:pPr>
      <w:r>
        <w:t>3. 总体能力设计</w:t>
      </w:r>
    </w:p>
    <w:p>
      <w:pPr>
        <w:spacing w:after="120"/>
      </w:pPr>
      <w:r>
        <w:t>平台对接模块采用“接入配置 + 适配器服务 + 同步任务 + 原始日志 + 业务回写 + 对账补偿 + 运维监控”的标准架构：</w:t>
      </w:r>
    </w:p>
    <w:p>
      <w:pPr>
        <w:pStyle w:val="ListBullet"/>
        <w:spacing w:after="40"/>
      </w:pPr>
      <w:r>
        <w:t>接入配置层负责维护地址、协议、鉴权和映射参数。</w:t>
      </w:r>
    </w:p>
    <w:p>
      <w:pPr>
        <w:pStyle w:val="ListBullet"/>
        <w:spacing w:after="40"/>
      </w:pPr>
      <w:r>
        <w:t>适配器层负责协议转换、签名校验、连接复用和异常分类。</w:t>
      </w:r>
    </w:p>
    <w:p>
      <w:pPr>
        <w:pStyle w:val="ListBullet"/>
        <w:spacing w:after="40"/>
      </w:pPr>
      <w:r>
        <w:t>任务层负责定时同步、手动同步、重试、补传和对账。</w:t>
      </w:r>
    </w:p>
    <w:p>
      <w:pPr>
        <w:pStyle w:val="ListBullet"/>
        <w:spacing w:after="40"/>
      </w:pPr>
      <w:r>
        <w:t>数据层负责原始报文、中间记录、业务映射结果和同步日志留存。</w:t>
      </w:r>
    </w:p>
    <w:p>
      <w:pPr>
        <w:pStyle w:val="ListBullet"/>
        <w:spacing w:after="40"/>
      </w:pPr>
      <w:r>
        <w:t>服务层向业务模块提供统一查询、回写、日志和异常处理能力。</w:t>
      </w:r>
    </w:p>
    <w:p>
      <w:pPr>
        <w:pStyle w:val="Heading2"/>
      </w:pPr>
      <w:r>
        <w:t>4. 功能点技术实现方案</w:t>
      </w:r>
    </w:p>
    <w:p>
      <w:pPr>
        <w:pStyle w:val="Heading3"/>
      </w:pPr>
      <w:r>
        <w:t>4.1 政务网数据对接</w:t>
      </w:r>
    </w:p>
    <w:p>
      <w:pPr>
        <w:spacing w:after="120"/>
      </w:pPr>
      <w:r>
        <w:t>目标能力 接入政务平台准运证、处置证等监管数据，支持定时同步、人工触发、批次追踪、失败补偿和业务回写。</w:t>
      </w:r>
    </w:p>
    <w:p>
      <w:pPr>
        <w:spacing w:after="120"/>
      </w:pPr>
      <w:r>
        <w:t>系统提供能力说明 系统需提供连接配置、同步任务、同步日志、原始报文留存、字段映射校验、业务落库和失败重试能力。</w:t>
      </w:r>
    </w:p>
    <w:p>
      <w:pPr>
        <w:spacing w:after="120"/>
      </w:pPr>
      <w:r>
        <w:t>参与角色</w:t>
      </w:r>
    </w:p>
    <w:p>
      <w:pPr>
        <w:pStyle w:val="ListBullet"/>
        <w:spacing w:after="40"/>
      </w:pPr>
      <w:r>
        <w:t>集成管理员</w:t>
      </w:r>
    </w:p>
    <w:p>
      <w:pPr>
        <w:pStyle w:val="ListBullet"/>
        <w:spacing w:after="40"/>
      </w:pPr>
      <w:r>
        <w:t>第三方实施人员</w:t>
      </w:r>
    </w:p>
    <w:p>
      <w:pPr>
        <w:pStyle w:val="ListBullet"/>
        <w:spacing w:after="40"/>
      </w:pPr>
      <w:r>
        <w:t>运维管理员</w:t>
      </w:r>
    </w:p>
    <w:p>
      <w:pPr>
        <w:spacing w:after="120"/>
      </w:pPr>
      <w:r>
        <w:t>前后端功能组成</w:t>
      </w:r>
    </w:p>
    <w:p>
      <w:pPr>
        <w:pStyle w:val="ListBullet"/>
        <w:spacing w:after="40"/>
      </w:pPr>
      <w:r>
        <w:t>前端：政务对接配置页、同步日志页、失败明细页、批次详情页。</w:t>
      </w:r>
    </w:p>
    <w:p>
      <w:pPr>
        <w:pStyle w:val="ListBullet"/>
        <w:spacing w:after="40"/>
      </w:pPr>
      <w:r>
        <w:t>后端：政务同步控制器、政务适配器、同步任务服务、日志服务、补偿服务。</w:t>
      </w:r>
    </w:p>
    <w:p>
      <w:pPr>
        <w:spacing w:after="120"/>
      </w:pPr>
      <w:r>
        <w:t>业务接口说明</w:t>
      </w:r>
    </w:p>
    <w:p>
      <w:pPr>
        <w:pStyle w:val="ListBullet"/>
        <w:spacing w:after="40"/>
      </w:pPr>
      <w:r>
        <w:t>GET /api/platform-integrations/gov/configs：查询政务网连接配置。</w:t>
      </w:r>
    </w:p>
    <w:p>
      <w:pPr>
        <w:pStyle w:val="ListBullet"/>
        <w:spacing w:after="40"/>
      </w:pPr>
      <w:r>
        <w:t>POST /api/platform-integrations/gov/configs：新增或更新政务网连接配置。</w:t>
      </w:r>
    </w:p>
    <w:p>
      <w:pPr>
        <w:pStyle w:val="ListBullet"/>
        <w:spacing w:after="40"/>
      </w:pPr>
      <w:r>
        <w:t>POST /api/platform-integrations/gov/test-connection：执行政务网连通性和鉴权测试。</w:t>
      </w:r>
    </w:p>
    <w:p>
      <w:pPr>
        <w:pStyle w:val="ListBullet"/>
        <w:spacing w:after="40"/>
      </w:pPr>
      <w:r>
        <w:t>POST /api/platform-integrations/gov/sync：发起一次政务网同步任务。</w:t>
      </w:r>
    </w:p>
    <w:p>
      <w:pPr>
        <w:pStyle w:val="ListBullet"/>
        <w:spacing w:after="40"/>
      </w:pPr>
      <w:r>
        <w:t>GET /api/platform-integrations/gov/tasks/{taskId}：查询指定同步任务状态和统计结果。</w:t>
      </w:r>
    </w:p>
    <w:p>
      <w:pPr>
        <w:pStyle w:val="ListBullet"/>
        <w:spacing w:after="40"/>
      </w:pPr>
      <w:r>
        <w:t>GET /api/platform-integrations/gov/logs：按批次、对象、时间范围查询同步日志。</w:t>
      </w:r>
    </w:p>
    <w:p>
      <w:pPr>
        <w:pStyle w:val="ListBullet"/>
        <w:spacing w:after="40"/>
      </w:pPr>
      <w:r>
        <w:t>POST /api/platform-integrations/gov/logs/{logId}/replay：对失败记录执行重放或补偿。</w:t>
      </w:r>
    </w:p>
    <w:p>
      <w:pPr>
        <w:spacing w:after="120"/>
      </w:pPr>
      <w:r>
        <w:t>输入输出参数说明</w:t>
      </w:r>
    </w:p>
    <w:p>
      <w:pPr>
        <w:pStyle w:val="ListBullet"/>
        <w:spacing w:after="40"/>
      </w:pPr>
      <w:r>
        <w:t>输入：配置编号、同步范围、批次号、时间窗、对象类型、失败记录编号。</w:t>
      </w:r>
    </w:p>
    <w:p>
      <w:pPr>
        <w:pStyle w:val="ListBullet"/>
        <w:spacing w:after="40"/>
      </w:pPr>
      <w:r>
        <w:t>输出：任务编号、同步结果统计、失败明细、业务回写结果、异常码和日志编号。</w:t>
      </w:r>
    </w:p>
    <w:p>
      <w:pPr>
        <w:spacing w:after="120"/>
      </w:pPr>
      <w:r>
        <w:t>业务流程说明</w:t>
      </w:r>
    </w:p>
    <w:p>
      <w:pPr>
        <w:pStyle w:val="ListNumber"/>
        <w:spacing w:after="40"/>
      </w:pPr>
      <w:r>
        <w:t>前端提交同步或配置请求。</w:t>
      </w:r>
    </w:p>
    <w:p>
      <w:pPr>
        <w:pStyle w:val="ListNumber"/>
        <w:spacing w:after="40"/>
      </w:pPr>
      <w:r>
        <w:t>接口层完成参数、鉴权、权限和幂等校验。</w:t>
      </w:r>
    </w:p>
    <w:p>
      <w:pPr>
        <w:pStyle w:val="ListNumber"/>
        <w:spacing w:after="40"/>
      </w:pPr>
      <w:r>
        <w:t>适配器层向政务网发起拉取请求并记录原始请求/响应报文。</w:t>
      </w:r>
    </w:p>
    <w:p>
      <w:pPr>
        <w:pStyle w:val="ListNumber"/>
        <w:spacing w:after="40"/>
      </w:pPr>
      <w:r>
        <w:t>解析层把监管数据转换为平台中间对象，执行字段校验和重复校验。</w:t>
      </w:r>
    </w:p>
    <w:p>
      <w:pPr>
        <w:pStyle w:val="ListNumber"/>
        <w:spacing w:after="40"/>
      </w:pPr>
      <w:r>
        <w:t>服务层完成业务映射和业务主表回写。</w:t>
      </w:r>
    </w:p>
    <w:p>
      <w:pPr>
        <w:pStyle w:val="ListNumber"/>
        <w:spacing w:after="40"/>
      </w:pPr>
      <w:r>
        <w:t>失败记录进入补偿队列并支持人工重放。</w:t>
      </w:r>
    </w:p>
    <w:p>
      <w:pPr>
        <w:spacing w:after="120"/>
      </w:pPr>
      <w:r>
        <w:t>数据存储与状态流转</w:t>
      </w:r>
    </w:p>
    <w:p>
      <w:pPr>
        <w:pStyle w:val="ListBullet"/>
        <w:spacing w:after="40"/>
      </w:pPr>
      <w:r>
        <w:t>主表：platform_integration_config、platform_sync_task、platform_sync_log。</w:t>
      </w:r>
    </w:p>
    <w:p>
      <w:pPr>
        <w:pStyle w:val="ListBullet"/>
        <w:spacing w:after="40"/>
      </w:pPr>
      <w:r>
        <w:t>中间对象：政务原始报文、解析结果、校验结果、业务回写结果。</w:t>
      </w:r>
    </w:p>
    <w:p>
      <w:pPr>
        <w:pStyle w:val="ListBullet"/>
        <w:spacing w:after="40"/>
      </w:pPr>
      <w:r>
        <w:t>任务状态：CREATED、RUNNING、PARTIAL_SUCCESS、SUCCESS、FAILED。</w:t>
      </w:r>
    </w:p>
    <w:p>
      <w:pPr>
        <w:spacing w:after="120"/>
      </w:pPr>
      <w:r>
        <w:t>权限控制</w:t>
      </w:r>
    </w:p>
    <w:p>
      <w:pPr>
        <w:pStyle w:val="ListBullet"/>
        <w:spacing w:after="40"/>
      </w:pPr>
      <w:r>
        <w:t>仅集成管理员和运维管理员可维护连接配置。</w:t>
      </w:r>
    </w:p>
    <w:p>
      <w:pPr>
        <w:pStyle w:val="ListBullet"/>
        <w:spacing w:after="40"/>
      </w:pPr>
      <w:r>
        <w:t>日志查询按组织与对接域授权，不允许业务用户查看敏感报文。</w:t>
      </w:r>
    </w:p>
    <w:p>
      <w:pPr>
        <w:spacing w:after="120"/>
      </w:pPr>
      <w:r>
        <w:t>异常处理机制</w:t>
      </w:r>
    </w:p>
    <w:p>
      <w:pPr>
        <w:pStyle w:val="ListBullet"/>
        <w:spacing w:after="40"/>
      </w:pPr>
      <w:r>
        <w:t>连接失败：记录地址、响应超时和错误码，支持自动重试。</w:t>
      </w:r>
    </w:p>
    <w:p>
      <w:pPr>
        <w:pStyle w:val="ListBullet"/>
        <w:spacing w:after="40"/>
      </w:pPr>
      <w:r>
        <w:t>鉴权失败：中止任务并冻结当前配置为“待修复”。</w:t>
      </w:r>
    </w:p>
    <w:p>
      <w:pPr>
        <w:pStyle w:val="ListBullet"/>
        <w:spacing w:after="40"/>
      </w:pPr>
      <w:r>
        <w:t>数据解析失败：记录失败字段、原始对象编码和失败明细。</w:t>
      </w:r>
    </w:p>
    <w:p>
      <w:pPr>
        <w:pStyle w:val="ListBullet"/>
        <w:spacing w:after="40"/>
      </w:pPr>
      <w:r>
        <w:t>回写失败：保留中间结果，支持逐条重放。</w:t>
      </w:r>
    </w:p>
    <w:p>
      <w:pPr>
        <w:spacing w:after="120"/>
      </w:pPr>
      <w:r>
        <w:t>日志与审计要求</w:t>
      </w:r>
    </w:p>
    <w:p>
      <w:pPr>
        <w:pStyle w:val="ListBullet"/>
        <w:spacing w:after="40"/>
      </w:pPr>
      <w:r>
        <w:t>记录请求报文摘要、响应报文摘要、批次号、对象编号、处理耗时和重试次数。</w:t>
      </w:r>
    </w:p>
    <w:p>
      <w:pPr>
        <w:pStyle w:val="ListBullet"/>
        <w:spacing w:after="40"/>
      </w:pPr>
      <w:r>
        <w:t>关键配置变更记录操作人、时间、前后配置差异。</w:t>
      </w:r>
    </w:p>
    <w:p>
      <w:pPr>
        <w:spacing w:after="120"/>
      </w:pPr>
      <w:r>
        <w:t>可扩展设计</w:t>
      </w:r>
    </w:p>
    <w:p>
      <w:pPr>
        <w:pStyle w:val="ListBullet"/>
        <w:spacing w:after="40"/>
      </w:pPr>
      <w:r>
        <w:t>适配器层支持扩展更多监管平台协议和对象类型。</w:t>
      </w:r>
    </w:p>
    <w:p>
      <w:pPr>
        <w:pStyle w:val="ListBullet"/>
        <w:spacing w:after="40"/>
      </w:pPr>
      <w:r>
        <w:t>中间对象保留来源平台、批次号、外部对象编号等扩展字段。</w:t>
      </w:r>
    </w:p>
    <w:p>
      <w:pPr>
        <w:pStyle w:val="Heading3"/>
      </w:pPr>
      <w:r>
        <w:t>4.2 定位/GPS 对接</w:t>
      </w:r>
    </w:p>
    <w:p>
      <w:pPr>
        <w:spacing w:after="120"/>
      </w:pPr>
      <w:r>
        <w:t>目标能力 接入车辆实时位置、历史轨迹、围栏事件、停留点和异常补传数据，为预警、地图、小程序和监管业务提供标准轨迹服务。</w:t>
      </w:r>
    </w:p>
    <w:p>
      <w:pPr>
        <w:spacing w:after="120"/>
      </w:pPr>
      <w:r>
        <w:t>系统提供能力说明 系统需提供轨迹接入、轨迹查询、围栏判定、异常补传、轨迹压缩和轨迹共享服务。</w:t>
      </w:r>
    </w:p>
    <w:p>
      <w:pPr>
        <w:spacing w:after="120"/>
      </w:pPr>
      <w:r>
        <w:t>参与角色</w:t>
      </w:r>
    </w:p>
    <w:p>
      <w:pPr>
        <w:pStyle w:val="ListBullet"/>
        <w:spacing w:after="40"/>
      </w:pPr>
      <w:r>
        <w:t>集成管理员</w:t>
      </w:r>
    </w:p>
    <w:p>
      <w:pPr>
        <w:pStyle w:val="ListBullet"/>
        <w:spacing w:after="40"/>
      </w:pPr>
      <w:r>
        <w:t>运维管理员</w:t>
      </w:r>
    </w:p>
    <w:p>
      <w:pPr>
        <w:pStyle w:val="ListBullet"/>
        <w:spacing w:after="40"/>
      </w:pPr>
      <w:r>
        <w:t>监管平台管理员</w:t>
      </w:r>
    </w:p>
    <w:p>
      <w:pPr>
        <w:spacing w:after="120"/>
      </w:pPr>
      <w:r>
        <w:t>前后端功能组成</w:t>
      </w:r>
    </w:p>
    <w:p>
      <w:pPr>
        <w:pStyle w:val="ListBullet"/>
        <w:spacing w:after="40"/>
      </w:pPr>
      <w:r>
        <w:t>前端：定位平台配置页、轨迹接入监控页、围栏事件日志页。</w:t>
      </w:r>
    </w:p>
    <w:p>
      <w:pPr>
        <w:pStyle w:val="ListBullet"/>
        <w:spacing w:after="40"/>
      </w:pPr>
      <w:r>
        <w:t>后端：定位接收控制器、轨迹服务、围栏判定服务、补传任务服务。</w:t>
      </w:r>
    </w:p>
    <w:p>
      <w:pPr>
        <w:spacing w:after="120"/>
      </w:pPr>
      <w:r>
        <w:t>业务接口说明</w:t>
      </w:r>
    </w:p>
    <w:p>
      <w:pPr>
        <w:pStyle w:val="ListBullet"/>
        <w:spacing w:after="40"/>
      </w:pPr>
      <w:r>
        <w:t>GET /api/platform-integrations/location/configs：查询定位平台配置。</w:t>
      </w:r>
    </w:p>
    <w:p>
      <w:pPr>
        <w:pStyle w:val="ListBullet"/>
        <w:spacing w:after="40"/>
      </w:pPr>
      <w:r>
        <w:t>POST /api/platform-integrations/location/configs：保存定位平台配置。</w:t>
      </w:r>
    </w:p>
    <w:p>
      <w:pPr>
        <w:pStyle w:val="ListBullet"/>
        <w:spacing w:after="40"/>
      </w:pPr>
      <w:r>
        <w:t>POST /api/platform-integrations/location/test-connection：测试定位平台连通性。</w:t>
      </w:r>
    </w:p>
    <w:p>
      <w:pPr>
        <w:pStyle w:val="ListBullet"/>
        <w:spacing w:after="40"/>
      </w:pPr>
      <w:r>
        <w:t>POST /api/platform-integrations/location/push：接收第三方推送的轨迹点。</w:t>
      </w:r>
    </w:p>
    <w:p>
      <w:pPr>
        <w:pStyle w:val="ListBullet"/>
        <w:spacing w:after="40"/>
      </w:pPr>
      <w:r>
        <w:t>GET /api/platform-integrations/location/vehicles/{vehicleId}/latest：查询车辆最新位置。</w:t>
      </w:r>
    </w:p>
    <w:p>
      <w:pPr>
        <w:pStyle w:val="ListBullet"/>
        <w:spacing w:after="40"/>
      </w:pPr>
      <w:r>
        <w:t>GET /api/platform-integrations/location/vehicles/{vehicleId}/tracks：按时间范围查询历史轨迹。</w:t>
      </w:r>
    </w:p>
    <w:p>
      <w:pPr>
        <w:pStyle w:val="ListBullet"/>
        <w:spacing w:after="40"/>
      </w:pPr>
      <w:r>
        <w:t>GET /api/platform-integrations/location/fence-events：查询围栏进出事件。</w:t>
      </w:r>
    </w:p>
    <w:p>
      <w:pPr>
        <w:pStyle w:val="ListBullet"/>
        <w:spacing w:after="40"/>
      </w:pPr>
      <w:r>
        <w:t>POST /api/platform-integrations/location/tracks/retransmit：发起轨迹补传任务。</w:t>
      </w:r>
    </w:p>
    <w:p>
      <w:pPr>
        <w:spacing w:after="120"/>
      </w:pPr>
      <w:r>
        <w:t>输入输出参数说明</w:t>
      </w:r>
    </w:p>
    <w:p>
      <w:pPr>
        <w:pStyle w:val="ListBullet"/>
        <w:spacing w:after="40"/>
      </w:pPr>
      <w:r>
        <w:t>输入：车辆编码、设备编码、轨迹时间、经纬度、速度、方向、围栏编号、补传时间窗。</w:t>
      </w:r>
    </w:p>
    <w:p>
      <w:pPr>
        <w:pStyle w:val="ListBullet"/>
        <w:spacing w:after="40"/>
      </w:pPr>
      <w:r>
        <w:t>输出：轨迹接收结果、围栏事件、停留点、补传结果、异常轨迹日志。</w:t>
      </w:r>
    </w:p>
    <w:p>
      <w:pPr>
        <w:spacing w:after="120"/>
      </w:pPr>
      <w:r>
        <w:t>业务流程说明</w:t>
      </w:r>
    </w:p>
    <w:p>
      <w:pPr>
        <w:pStyle w:val="ListNumber"/>
        <w:spacing w:after="40"/>
      </w:pPr>
      <w:r>
        <w:t>定位平台以推送或拉取方式传输轨迹点。</w:t>
      </w:r>
    </w:p>
    <w:p>
      <w:pPr>
        <w:pStyle w:val="ListNumber"/>
        <w:spacing w:after="40"/>
      </w:pPr>
      <w:r>
        <w:t>接收层校验时间、坐标、车辆映射和设备状态。</w:t>
      </w:r>
    </w:p>
    <w:p>
      <w:pPr>
        <w:pStyle w:val="ListNumber"/>
        <w:spacing w:after="40"/>
      </w:pPr>
      <w:r>
        <w:t>合格轨迹写入轨迹分片表并触发围栏判定。</w:t>
      </w:r>
    </w:p>
    <w:p>
      <w:pPr>
        <w:pStyle w:val="ListNumber"/>
        <w:spacing w:after="40"/>
      </w:pPr>
      <w:r>
        <w:t>围栏事件与异常轨迹分别写入事件表和异常表。</w:t>
      </w:r>
    </w:p>
    <w:p>
      <w:pPr>
        <w:pStyle w:val="ListNumber"/>
        <w:spacing w:after="40"/>
      </w:pPr>
      <w:r>
        <w:t>轨迹服务向预警、地图、小程序和信息查询模块提供查询服务。</w:t>
      </w:r>
    </w:p>
    <w:p>
      <w:pPr>
        <w:pStyle w:val="ListNumber"/>
        <w:spacing w:after="40"/>
      </w:pPr>
      <w:r>
        <w:t>对中断区间发起补传并回写补传结果。</w:t>
      </w:r>
    </w:p>
    <w:p>
      <w:pPr>
        <w:spacing w:after="120"/>
      </w:pPr>
      <w:r>
        <w:t>数据存储与状态流转</w:t>
      </w:r>
    </w:p>
    <w:p>
      <w:pPr>
        <w:pStyle w:val="ListBullet"/>
        <w:spacing w:after="40"/>
      </w:pPr>
      <w:r>
        <w:t>主表：location_config、vehicle_track_point、alert_fence_event、track_retransmit_task。</w:t>
      </w:r>
    </w:p>
    <w:p>
      <w:pPr>
        <w:pStyle w:val="ListBullet"/>
        <w:spacing w:after="40"/>
      </w:pPr>
      <w:r>
        <w:t>状态：RECEIVED、VALID、ABNORMAL、RETRANSMITTED、CLOSED。</w:t>
      </w:r>
    </w:p>
    <w:p>
      <w:pPr>
        <w:spacing w:after="120"/>
      </w:pPr>
      <w:r>
        <w:t>权限控制</w:t>
      </w:r>
    </w:p>
    <w:p>
      <w:pPr>
        <w:pStyle w:val="ListBullet"/>
        <w:spacing w:after="40"/>
      </w:pPr>
      <w:r>
        <w:t>轨迹查询按车辆、组织、项目、场地授权范围过滤。</w:t>
      </w:r>
    </w:p>
    <w:p>
      <w:pPr>
        <w:pStyle w:val="ListBullet"/>
        <w:spacing w:after="40"/>
      </w:pPr>
      <w:r>
        <w:t>围栏配置和补传任务仅限管理员角色操作。</w:t>
      </w:r>
    </w:p>
    <w:p>
      <w:pPr>
        <w:spacing w:after="120"/>
      </w:pPr>
      <w:r>
        <w:t>异常处理机制</w:t>
      </w:r>
    </w:p>
    <w:p>
      <w:pPr>
        <w:pStyle w:val="ListBullet"/>
        <w:spacing w:after="40"/>
      </w:pPr>
      <w:r>
        <w:t>坐标异常：直接丢弃并记录异常轨迹日志。</w:t>
      </w:r>
    </w:p>
    <w:p>
      <w:pPr>
        <w:pStyle w:val="ListBullet"/>
        <w:spacing w:after="40"/>
      </w:pPr>
      <w:r>
        <w:t>轨迹中断：生成补传建议并提示最后有效时间。</w:t>
      </w:r>
    </w:p>
    <w:p>
      <w:pPr>
        <w:pStyle w:val="ListBullet"/>
        <w:spacing w:after="40"/>
      </w:pPr>
      <w:r>
        <w:t>设备离线：写入离线告警并通知运维。</w:t>
      </w:r>
    </w:p>
    <w:p>
      <w:pPr>
        <w:spacing w:after="120"/>
      </w:pPr>
      <w:r>
        <w:t>日志与审计要求</w:t>
      </w:r>
    </w:p>
    <w:p>
      <w:pPr>
        <w:pStyle w:val="ListBullet"/>
        <w:spacing w:after="40"/>
      </w:pPr>
      <w:r>
        <w:t>记录轨迹接收量、异常量、围栏命中量、补传次数和处理耗时。</w:t>
      </w:r>
    </w:p>
    <w:p>
      <w:pPr>
        <w:pStyle w:val="ListBullet"/>
        <w:spacing w:after="40"/>
      </w:pPr>
      <w:r>
        <w:t>围栏策略和补传操作需记录操作人和生效范围。</w:t>
      </w:r>
    </w:p>
    <w:p>
      <w:pPr>
        <w:spacing w:after="120"/>
      </w:pPr>
      <w:r>
        <w:t>可扩展设计</w:t>
      </w:r>
    </w:p>
    <w:p>
      <w:pPr>
        <w:pStyle w:val="ListBullet"/>
        <w:spacing w:after="40"/>
      </w:pPr>
      <w:r>
        <w:t>支持多定位供应商适配。</w:t>
      </w:r>
    </w:p>
    <w:p>
      <w:pPr>
        <w:pStyle w:val="ListBullet"/>
        <w:spacing w:after="40"/>
      </w:pPr>
      <w:r>
        <w:t>支持轨迹压缩、停留点分析和电子围栏策略扩展。</w:t>
      </w:r>
    </w:p>
    <w:p>
      <w:pPr>
        <w:pStyle w:val="Heading3"/>
      </w:pPr>
      <w:r>
        <w:t>4.3 视频对接</w:t>
      </w:r>
    </w:p>
    <w:p>
      <w:pPr>
        <w:spacing w:after="120"/>
      </w:pPr>
      <w:r>
        <w:t>目标能力 接入项目/场地视频设备、抓拍机、视频通道和播放能力，支持实时查看、抓拍留存、通道监测和异常告警。</w:t>
      </w:r>
    </w:p>
    <w:p>
      <w:pPr>
        <w:spacing w:after="120"/>
      </w:pPr>
      <w:r>
        <w:t>系统提供能力说明 系统需提供设备映射、通道管理、播放令牌生成、抓拍记录、心跳检测和告警能力。</w:t>
      </w:r>
    </w:p>
    <w:p>
      <w:pPr>
        <w:spacing w:after="120"/>
      </w:pPr>
      <w:r>
        <w:t>参与角色</w:t>
      </w:r>
    </w:p>
    <w:p>
      <w:pPr>
        <w:pStyle w:val="ListBullet"/>
        <w:spacing w:after="40"/>
      </w:pPr>
      <w:r>
        <w:t>集成管理员</w:t>
      </w:r>
    </w:p>
    <w:p>
      <w:pPr>
        <w:pStyle w:val="ListBullet"/>
        <w:spacing w:after="40"/>
      </w:pPr>
      <w:r>
        <w:t>运维管理员</w:t>
      </w:r>
    </w:p>
    <w:p>
      <w:pPr>
        <w:pStyle w:val="ListBullet"/>
        <w:spacing w:after="40"/>
      </w:pPr>
      <w:r>
        <w:t>场地管理员</w:t>
      </w:r>
    </w:p>
    <w:p>
      <w:pPr>
        <w:spacing w:after="120"/>
      </w:pPr>
      <w:r>
        <w:t>前后端功能组成</w:t>
      </w:r>
    </w:p>
    <w:p>
      <w:pPr>
        <w:pStyle w:val="ListBullet"/>
        <w:spacing w:after="40"/>
      </w:pPr>
      <w:r>
        <w:t>前端：设备管理页、通道管理页、实时查看页、抓拍记录页。</w:t>
      </w:r>
    </w:p>
    <w:p>
      <w:pPr>
        <w:pStyle w:val="ListBullet"/>
        <w:spacing w:after="40"/>
      </w:pPr>
      <w:r>
        <w:t>后端：视频设备控制器、通道服务、播放凭证服务、设备心跳服务。</w:t>
      </w:r>
    </w:p>
    <w:p>
      <w:pPr>
        <w:spacing w:after="120"/>
      </w:pPr>
      <w:r>
        <w:t>业务接口说明</w:t>
      </w:r>
    </w:p>
    <w:p>
      <w:pPr>
        <w:pStyle w:val="ListBullet"/>
        <w:spacing w:after="40"/>
      </w:pPr>
      <w:r>
        <w:t>GET /api/platform-integrations/video/devices：查询视频设备列表。</w:t>
      </w:r>
    </w:p>
    <w:p>
      <w:pPr>
        <w:pStyle w:val="ListBullet"/>
        <w:spacing w:after="40"/>
      </w:pPr>
      <w:r>
        <w:t>POST /api/platform-integrations/video/devices：新增或更新视频设备映射。</w:t>
      </w:r>
    </w:p>
    <w:p>
      <w:pPr>
        <w:pStyle w:val="ListBullet"/>
        <w:spacing w:after="40"/>
      </w:pPr>
      <w:r>
        <w:t>GET /api/platform-integrations/video/devices/{deviceId}/channels：查询设备通道列表。</w:t>
      </w:r>
    </w:p>
    <w:p>
      <w:pPr>
        <w:pStyle w:val="ListBullet"/>
        <w:spacing w:after="40"/>
      </w:pPr>
      <w:r>
        <w:t>POST /api/platform-integrations/video/devices/{deviceId}/test：测试指定设备连通性。</w:t>
      </w:r>
    </w:p>
    <w:p>
      <w:pPr>
        <w:pStyle w:val="ListBullet"/>
        <w:spacing w:after="40"/>
      </w:pPr>
      <w:r>
        <w:t>GET /api/platform-integrations/video/channels/{channelId}/play-token：获取播放令牌。</w:t>
      </w:r>
    </w:p>
    <w:p>
      <w:pPr>
        <w:pStyle w:val="ListBullet"/>
        <w:spacing w:after="40"/>
      </w:pPr>
      <w:r>
        <w:t>POST /api/platform-integrations/video/channels/{channelId}/capture：发起截图抓拍。</w:t>
      </w:r>
    </w:p>
    <w:p>
      <w:pPr>
        <w:pStyle w:val="ListBullet"/>
        <w:spacing w:after="40"/>
      </w:pPr>
      <w:r>
        <w:t>GET /api/platform-integrations/video/logs：查询设备接入与播放日志。</w:t>
      </w:r>
    </w:p>
    <w:p>
      <w:pPr>
        <w:spacing w:after="120"/>
      </w:pPr>
      <w:r>
        <w:t>输入输出参数说明</w:t>
      </w:r>
    </w:p>
    <w:p>
      <w:pPr>
        <w:pStyle w:val="ListBullet"/>
        <w:spacing w:after="40"/>
      </w:pPr>
      <w:r>
        <w:t>输入：设备编码、通道编码、所属项目/场地、播放协议、抓拍参数。</w:t>
      </w:r>
    </w:p>
    <w:p>
      <w:pPr>
        <w:pStyle w:val="ListBullet"/>
        <w:spacing w:after="40"/>
      </w:pPr>
      <w:r>
        <w:t>输出：设备状态、通道状态、播放令牌、抓拍结果、异常日志。</w:t>
      </w:r>
    </w:p>
    <w:p>
      <w:pPr>
        <w:spacing w:after="120"/>
      </w:pPr>
      <w:r>
        <w:t>业务流程说明</w:t>
      </w:r>
    </w:p>
    <w:p>
      <w:pPr>
        <w:pStyle w:val="ListNumber"/>
        <w:spacing w:after="40"/>
      </w:pPr>
      <w:r>
        <w:t>管理员维护设备和通道映射。</w:t>
      </w:r>
    </w:p>
    <w:p>
      <w:pPr>
        <w:pStyle w:val="ListNumber"/>
        <w:spacing w:after="40"/>
      </w:pPr>
      <w:r>
        <w:t>系统定时拉取设备状态并记录心跳。</w:t>
      </w:r>
    </w:p>
    <w:p>
      <w:pPr>
        <w:pStyle w:val="ListNumber"/>
        <w:spacing w:after="40"/>
      </w:pPr>
      <w:r>
        <w:t>用户查看视频时，平台生成短期播放令牌。</w:t>
      </w:r>
    </w:p>
    <w:p>
      <w:pPr>
        <w:pStyle w:val="ListNumber"/>
        <w:spacing w:after="40"/>
      </w:pPr>
      <w:r>
        <w:t>前端使用播放令牌拉取视频流并完成展示。</w:t>
      </w:r>
    </w:p>
    <w:p>
      <w:pPr>
        <w:pStyle w:val="ListNumber"/>
        <w:spacing w:after="40"/>
      </w:pPr>
      <w:r>
        <w:t>异常通道生成告警并支持重试或抓拍降级。</w:t>
      </w:r>
    </w:p>
    <w:p>
      <w:pPr>
        <w:spacing w:after="120"/>
      </w:pPr>
      <w:r>
        <w:t>数据存储与状态流转</w:t>
      </w:r>
    </w:p>
    <w:p>
      <w:pPr>
        <w:pStyle w:val="ListBullet"/>
        <w:spacing w:after="40"/>
      </w:pPr>
      <w:r>
        <w:t>主表：video_device、video_channel、video_capture_record、video_access_log。</w:t>
      </w:r>
    </w:p>
    <w:p>
      <w:pPr>
        <w:pStyle w:val="ListBullet"/>
        <w:spacing w:after="40"/>
      </w:pPr>
      <w:r>
        <w:t>状态：ONLINE、OFFLINE、AUTH_FAILED、DISABLED。</w:t>
      </w:r>
    </w:p>
    <w:p>
      <w:pPr>
        <w:spacing w:after="120"/>
      </w:pPr>
      <w:r>
        <w:t>权限控制</w:t>
      </w:r>
    </w:p>
    <w:p>
      <w:pPr>
        <w:pStyle w:val="ListBullet"/>
        <w:spacing w:after="40"/>
      </w:pPr>
      <w:r>
        <w:t>视频查看按项目、场地、设备权限控制。</w:t>
      </w:r>
    </w:p>
    <w:p>
      <w:pPr>
        <w:pStyle w:val="ListBullet"/>
        <w:spacing w:after="40"/>
      </w:pPr>
      <w:r>
        <w:t>抓拍和配置操作需单独按钮权限。</w:t>
      </w:r>
    </w:p>
    <w:p>
      <w:pPr>
        <w:spacing w:after="120"/>
      </w:pPr>
      <w:r>
        <w:t>异常处理机制</w:t>
      </w:r>
    </w:p>
    <w:p>
      <w:pPr>
        <w:pStyle w:val="ListBullet"/>
        <w:spacing w:after="40"/>
      </w:pPr>
      <w:r>
        <w:t>通道不可用：返回明确故障类型并触发告警。</w:t>
      </w:r>
    </w:p>
    <w:p>
      <w:pPr>
        <w:pStyle w:val="ListBullet"/>
        <w:spacing w:after="40"/>
      </w:pPr>
      <w:r>
        <w:t>播放令牌失效：要求重新获取令牌。</w:t>
      </w:r>
    </w:p>
    <w:p>
      <w:pPr>
        <w:pStyle w:val="ListBullet"/>
        <w:spacing w:after="40"/>
      </w:pPr>
      <w:r>
        <w:t>设备离线：限制实时查看并保留离线时间。</w:t>
      </w:r>
    </w:p>
    <w:p>
      <w:pPr>
        <w:spacing w:after="120"/>
      </w:pPr>
      <w:r>
        <w:t>日志与审计要求</w:t>
      </w:r>
    </w:p>
    <w:p>
      <w:pPr>
        <w:pStyle w:val="ListBullet"/>
        <w:spacing w:after="40"/>
      </w:pPr>
      <w:r>
        <w:t>记录播放请求、抓拍请求、设备状态变化和鉴权失败信息。</w:t>
      </w:r>
    </w:p>
    <w:p>
      <w:pPr>
        <w:pStyle w:val="ListBullet"/>
        <w:spacing w:after="40"/>
      </w:pPr>
      <w:r>
        <w:t>保存抓拍记录与操作留痕。</w:t>
      </w:r>
    </w:p>
    <w:p>
      <w:pPr>
        <w:spacing w:after="120"/>
      </w:pPr>
      <w:r>
        <w:t>可扩展设计</w:t>
      </w:r>
    </w:p>
    <w:p>
      <w:pPr>
        <w:pStyle w:val="ListBullet"/>
        <w:spacing w:after="40"/>
      </w:pPr>
      <w:r>
        <w:t>支持更多视频平台协议和抓拍能力扩展。</w:t>
      </w:r>
    </w:p>
    <w:p>
      <w:pPr>
        <w:pStyle w:val="ListBullet"/>
        <w:spacing w:after="40"/>
      </w:pPr>
      <w:r>
        <w:t>支持 PTZ 控制、录像回放和 AI 抓拍扩展。</w:t>
      </w:r>
    </w:p>
    <w:p>
      <w:pPr>
        <w:pStyle w:val="Heading3"/>
      </w:pPr>
      <w:r>
        <w:t>4.4 地磅数据对接</w:t>
      </w:r>
    </w:p>
    <w:p>
      <w:pPr>
        <w:spacing w:after="120"/>
      </w:pPr>
      <w:r>
        <w:t>目标能力 接入地磅称重记录和本地控制指令，完成过磅采集、异常识别、人工对账和业务回写。</w:t>
      </w:r>
    </w:p>
    <w:p>
      <w:pPr>
        <w:spacing w:after="120"/>
      </w:pPr>
      <w:r>
        <w:t>系统提供能力说明 系统需提供设备配置、记录接收、业务匹配、异常对账、控制指令、回写服务。</w:t>
      </w:r>
    </w:p>
    <w:p>
      <w:pPr>
        <w:spacing w:after="120"/>
      </w:pPr>
      <w:r>
        <w:t>参与角色</w:t>
      </w:r>
    </w:p>
    <w:p>
      <w:pPr>
        <w:pStyle w:val="ListBullet"/>
        <w:spacing w:after="40"/>
      </w:pPr>
      <w:r>
        <w:t>集成管理员</w:t>
      </w:r>
    </w:p>
    <w:p>
      <w:pPr>
        <w:pStyle w:val="ListBullet"/>
        <w:spacing w:after="40"/>
      </w:pPr>
      <w:r>
        <w:t>场地管理员</w:t>
      </w:r>
    </w:p>
    <w:p>
      <w:pPr>
        <w:pStyle w:val="ListBullet"/>
        <w:spacing w:after="40"/>
      </w:pPr>
      <w:r>
        <w:t>运维管理员</w:t>
      </w:r>
    </w:p>
    <w:p>
      <w:pPr>
        <w:spacing w:after="120"/>
      </w:pPr>
      <w:r>
        <w:t>前后端功能组成</w:t>
      </w:r>
    </w:p>
    <w:p>
      <w:pPr>
        <w:pStyle w:val="ListBullet"/>
        <w:spacing w:after="40"/>
      </w:pPr>
      <w:r>
        <w:t>前端：地磅设备页、称重记录页、异常对账页、控制指令页。</w:t>
      </w:r>
    </w:p>
    <w:p>
      <w:pPr>
        <w:pStyle w:val="ListBullet"/>
        <w:spacing w:after="40"/>
      </w:pPr>
      <w:r>
        <w:t>后端：地磅接入控制器、记录服务、对账服务、控制指令服务。</w:t>
      </w:r>
    </w:p>
    <w:p>
      <w:pPr>
        <w:spacing w:after="120"/>
      </w:pPr>
      <w:r>
        <w:t>业务接口说明</w:t>
      </w:r>
    </w:p>
    <w:p>
      <w:pPr>
        <w:pStyle w:val="ListBullet"/>
        <w:spacing w:after="40"/>
      </w:pPr>
      <w:r>
        <w:t>GET /api/platform-integrations/weighbridge/devices：查询地磅设备列表。</w:t>
      </w:r>
    </w:p>
    <w:p>
      <w:pPr>
        <w:pStyle w:val="ListBullet"/>
        <w:spacing w:after="40"/>
      </w:pPr>
      <w:r>
        <w:t>POST /api/platform-integrations/weighbridge/devices：新增或更新地磅设备配置。</w:t>
      </w:r>
    </w:p>
    <w:p>
      <w:pPr>
        <w:pStyle w:val="ListBullet"/>
        <w:spacing w:after="40"/>
      </w:pPr>
      <w:r>
        <w:t>POST /api/platform-integrations/weighbridge/push：接收地磅推送的称重记录。</w:t>
      </w:r>
    </w:p>
    <w:p>
      <w:pPr>
        <w:pStyle w:val="ListBullet"/>
        <w:spacing w:after="40"/>
      </w:pPr>
      <w:r>
        <w:t>GET /api/platform-integrations/weighbridge/records：按设备、车牌、时间查询称重记录。</w:t>
      </w:r>
    </w:p>
    <w:p>
      <w:pPr>
        <w:pStyle w:val="ListBullet"/>
        <w:spacing w:after="40"/>
      </w:pPr>
      <w:r>
        <w:t>POST /api/platform-integrations/weighbridge/reconcile：对异常记录执行人工对账。</w:t>
      </w:r>
    </w:p>
    <w:p>
      <w:pPr>
        <w:pStyle w:val="ListBullet"/>
        <w:spacing w:after="40"/>
      </w:pPr>
      <w:r>
        <w:t>POST /api/platform-integrations/weighbridge/commands：下发控制指令。</w:t>
      </w:r>
    </w:p>
    <w:p>
      <w:pPr>
        <w:pStyle w:val="ListBullet"/>
        <w:spacing w:after="40"/>
      </w:pPr>
      <w:r>
        <w:t>GET /api/platform-integrations/weighbridge/logs：查询地磅接入和控制日志。</w:t>
      </w:r>
    </w:p>
    <w:p>
      <w:pPr>
        <w:spacing w:after="120"/>
      </w:pPr>
      <w:r>
        <w:t>输入输出参数说明</w:t>
      </w:r>
    </w:p>
    <w:p>
      <w:pPr>
        <w:pStyle w:val="ListBullet"/>
        <w:spacing w:after="40"/>
      </w:pPr>
      <w:r>
        <w:t>输入：设备编码、车牌、称重时间、毛重、皮重、净重、对账动作、控制指令。</w:t>
      </w:r>
    </w:p>
    <w:p>
      <w:pPr>
        <w:pStyle w:val="ListBullet"/>
        <w:spacing w:after="40"/>
      </w:pPr>
      <w:r>
        <w:t>输出：记录接收结果、对账结果、回写结果、指令执行结果、异常码。</w:t>
      </w:r>
    </w:p>
    <w:p>
      <w:pPr>
        <w:spacing w:after="120"/>
      </w:pPr>
      <w:r>
        <w:t>业务流程说明</w:t>
      </w:r>
    </w:p>
    <w:p>
      <w:pPr>
        <w:pStyle w:val="ListNumber"/>
        <w:spacing w:after="40"/>
      </w:pPr>
      <w:r>
        <w:t>设备推送称重记录或本地控制软件上送记录。</w:t>
      </w:r>
    </w:p>
    <w:p>
      <w:pPr>
        <w:pStyle w:val="ListNumber"/>
        <w:spacing w:after="40"/>
      </w:pPr>
      <w:r>
        <w:t>接口层校验设备、记录号、重量和车牌信息。</w:t>
      </w:r>
    </w:p>
    <w:p>
      <w:pPr>
        <w:pStyle w:val="ListNumber"/>
        <w:spacing w:after="40"/>
      </w:pPr>
      <w:r>
        <w:t>服务层完成业务匹配和异常识别。</w:t>
      </w:r>
    </w:p>
    <w:p>
      <w:pPr>
        <w:pStyle w:val="ListNumber"/>
        <w:spacing w:after="40"/>
      </w:pPr>
      <w:r>
        <w:t>正常记录回写消纳清单或结算台账。</w:t>
      </w:r>
    </w:p>
    <w:p>
      <w:pPr>
        <w:pStyle w:val="ListNumber"/>
        <w:spacing w:after="40"/>
      </w:pPr>
      <w:r>
        <w:t>异常记录进入对账池并支持人工处理。</w:t>
      </w:r>
    </w:p>
    <w:p>
      <w:pPr>
        <w:pStyle w:val="ListNumber"/>
        <w:spacing w:after="40"/>
      </w:pPr>
      <w:r>
        <w:t>控制指令执行结果写入指令日志。</w:t>
      </w:r>
    </w:p>
    <w:p>
      <w:pPr>
        <w:spacing w:after="120"/>
      </w:pPr>
      <w:r>
        <w:t>数据存储与状态流转</w:t>
      </w:r>
    </w:p>
    <w:p>
      <w:pPr>
        <w:pStyle w:val="ListBullet"/>
        <w:spacing w:after="40"/>
      </w:pPr>
      <w:r>
        <w:t>主表：weighbridge_device、weighbridge_record、weighbridge_reconcile_log、weighbridge_command_log。</w:t>
      </w:r>
    </w:p>
    <w:p>
      <w:pPr>
        <w:pStyle w:val="ListBullet"/>
        <w:spacing w:after="40"/>
      </w:pPr>
      <w:r>
        <w:t>状态：RECEIVED、MATCHED、ABNORMAL、CONFIRMED、IGNORED。</w:t>
      </w:r>
    </w:p>
    <w:p>
      <w:pPr>
        <w:spacing w:after="120"/>
      </w:pPr>
      <w:r>
        <w:t>权限控制</w:t>
      </w:r>
    </w:p>
    <w:p>
      <w:pPr>
        <w:pStyle w:val="ListBullet"/>
        <w:spacing w:after="40"/>
      </w:pPr>
      <w:r>
        <w:t>对账和控制指令仅对场地管理员与运维管理员开放。</w:t>
      </w:r>
    </w:p>
    <w:p>
      <w:pPr>
        <w:pStyle w:val="ListBullet"/>
        <w:spacing w:after="40"/>
      </w:pPr>
      <w:r>
        <w:t>称重记录查询按场地和组织授权范围过滤。</w:t>
      </w:r>
    </w:p>
    <w:p>
      <w:pPr>
        <w:spacing w:after="120"/>
      </w:pPr>
      <w:r>
        <w:t>异常处理机制</w:t>
      </w:r>
    </w:p>
    <w:p>
      <w:pPr>
        <w:pStyle w:val="ListBullet"/>
        <w:spacing w:after="40"/>
      </w:pPr>
      <w:r>
        <w:t>重量异常：标记异常并阻止自动回写。</w:t>
      </w:r>
    </w:p>
    <w:p>
      <w:pPr>
        <w:pStyle w:val="ListBullet"/>
        <w:spacing w:after="40"/>
      </w:pPr>
      <w:r>
        <w:t>车牌不匹配：进入人工确认池。</w:t>
      </w:r>
    </w:p>
    <w:p>
      <w:pPr>
        <w:pStyle w:val="ListBullet"/>
        <w:spacing w:after="40"/>
      </w:pPr>
      <w:r>
        <w:t>指令执行失败：记录设备返回值并支持重发。</w:t>
      </w:r>
    </w:p>
    <w:p>
      <w:pPr>
        <w:spacing w:after="120"/>
      </w:pPr>
      <w:r>
        <w:t>日志与审计要求</w:t>
      </w:r>
    </w:p>
    <w:p>
      <w:pPr>
        <w:pStyle w:val="ListBullet"/>
        <w:spacing w:after="40"/>
      </w:pPr>
      <w:r>
        <w:t>记录称重原始报文、对账动作、回写结果和控制指令回执。</w:t>
      </w:r>
    </w:p>
    <w:p>
      <w:pPr>
        <w:pStyle w:val="ListBullet"/>
        <w:spacing w:after="40"/>
      </w:pPr>
      <w:r>
        <w:t>关键记录支持按设备、车牌、批次、场地追溯。</w:t>
      </w:r>
    </w:p>
    <w:p>
      <w:pPr>
        <w:spacing w:after="120"/>
      </w:pPr>
      <w:r>
        <w:t>可扩展设计</w:t>
      </w:r>
    </w:p>
    <w:p>
      <w:pPr>
        <w:pStyle w:val="ListBullet"/>
        <w:spacing w:after="40"/>
      </w:pPr>
      <w:r>
        <w:t>支持借磅场景、测绘结算联动和多品牌设备适配。</w:t>
      </w:r>
    </w:p>
    <w:p>
      <w:pPr>
        <w:pStyle w:val="ListBullet"/>
        <w:spacing w:after="40"/>
      </w:pPr>
      <w:r>
        <w:t>支持图片抓拍、票据打印和排队控制扩展。</w:t>
      </w:r>
    </w:p>
    <w:p>
      <w:pPr>
        <w:pStyle w:val="Heading3"/>
      </w:pPr>
      <w:r>
        <w:t>4.5 统一身份认证与单点登录</w:t>
      </w:r>
    </w:p>
    <w:p>
      <w:pPr>
        <w:spacing w:after="120"/>
      </w:pPr>
      <w:r>
        <w:t>目标能力 实现跨平台票据创建、票据交换、会话恢复、统一退出和登录审计，满足跨平台免密访问需求。</w:t>
      </w:r>
    </w:p>
    <w:p>
      <w:pPr>
        <w:spacing w:after="120"/>
      </w:pPr>
      <w:r>
        <w:t>系统提供能力说明 系统需提供身份源配置、票据创建、票据校验、会话映射、统一退出和失败重试能力。</w:t>
      </w:r>
    </w:p>
    <w:p>
      <w:pPr>
        <w:spacing w:after="120"/>
      </w:pPr>
      <w:r>
        <w:t>参与角色</w:t>
      </w:r>
    </w:p>
    <w:p>
      <w:pPr>
        <w:pStyle w:val="ListBullet"/>
        <w:spacing w:after="40"/>
      </w:pPr>
      <w:r>
        <w:t>集成管理员</w:t>
      </w:r>
    </w:p>
    <w:p>
      <w:pPr>
        <w:pStyle w:val="ListBullet"/>
        <w:spacing w:after="40"/>
      </w:pPr>
      <w:r>
        <w:t>系统管理员</w:t>
      </w:r>
    </w:p>
    <w:p>
      <w:pPr>
        <w:pStyle w:val="ListBullet"/>
        <w:spacing w:after="40"/>
      </w:pPr>
      <w:r>
        <w:t>运维管理员</w:t>
      </w:r>
    </w:p>
    <w:p>
      <w:pPr>
        <w:spacing w:after="120"/>
      </w:pPr>
      <w:r>
        <w:t>前后端功能组成</w:t>
      </w:r>
    </w:p>
    <w:p>
      <w:pPr>
        <w:pStyle w:val="ListBullet"/>
        <w:spacing w:after="40"/>
      </w:pPr>
      <w:r>
        <w:t>前端：SSO 配置页、票据日志页、失败交换页。</w:t>
      </w:r>
    </w:p>
    <w:p>
      <w:pPr>
        <w:pStyle w:val="ListBullet"/>
        <w:spacing w:after="40"/>
      </w:pPr>
      <w:r>
        <w:t>后端：SSO 控制器、票据服务、会话服务、映射服务、退出服务。</w:t>
      </w:r>
    </w:p>
    <w:p>
      <w:pPr>
        <w:spacing w:after="120"/>
      </w:pPr>
      <w:r>
        <w:t>业务接口说明</w:t>
      </w:r>
    </w:p>
    <w:p>
      <w:pPr>
        <w:pStyle w:val="ListBullet"/>
        <w:spacing w:after="40"/>
      </w:pPr>
      <w:r>
        <w:t>GET /api/platform-integrations/sso/configs：查询 SSO 配置。</w:t>
      </w:r>
    </w:p>
    <w:p>
      <w:pPr>
        <w:pStyle w:val="ListBullet"/>
        <w:spacing w:after="40"/>
      </w:pPr>
      <w:r>
        <w:t>POST /api/platform-integrations/sso/configs：保存 SSO 配置。</w:t>
      </w:r>
    </w:p>
    <w:p>
      <w:pPr>
        <w:pStyle w:val="ListBullet"/>
        <w:spacing w:after="40"/>
      </w:pPr>
      <w:r>
        <w:t>POST /api/platform-integrations/sso/test-connection：测试身份源连通性与票据协议。</w:t>
      </w:r>
    </w:p>
    <w:p>
      <w:pPr>
        <w:pStyle w:val="ListBullet"/>
        <w:spacing w:after="40"/>
      </w:pPr>
      <w:r>
        <w:t>POST /api/platform-integrations/sso/tickets：创建登录票据。</w:t>
      </w:r>
    </w:p>
    <w:p>
      <w:pPr>
        <w:pStyle w:val="ListBullet"/>
        <w:spacing w:after="40"/>
      </w:pPr>
      <w:r>
        <w:t>POST /api/platform-integrations/sso/exchange：执行票据交换并建立本地会话。</w:t>
      </w:r>
    </w:p>
    <w:p>
      <w:pPr>
        <w:pStyle w:val="ListBullet"/>
        <w:spacing w:after="40"/>
      </w:pPr>
      <w:r>
        <w:t>POST /api/platform-integrations/sso/logout：执行统一退出。</w:t>
      </w:r>
    </w:p>
    <w:p>
      <w:pPr>
        <w:pStyle w:val="ListBullet"/>
        <w:spacing w:after="40"/>
      </w:pPr>
      <w:r>
        <w:t>GET /api/platform-integrations/sso/logs：查询票据和会话日志。</w:t>
      </w:r>
    </w:p>
    <w:p>
      <w:pPr>
        <w:spacing w:after="120"/>
      </w:pPr>
      <w:r>
        <w:t>输入输出参数说明</w:t>
      </w:r>
    </w:p>
    <w:p>
      <w:pPr>
        <w:pStyle w:val="ListBullet"/>
        <w:spacing w:after="40"/>
      </w:pPr>
      <w:r>
        <w:t>输入：身份源编号、票据编号、签名信息、回调地址、用户映射信息。</w:t>
      </w:r>
    </w:p>
    <w:p>
      <w:pPr>
        <w:pStyle w:val="ListBullet"/>
        <w:spacing w:after="40"/>
      </w:pPr>
      <w:r>
        <w:t>输出：票据状态、交换结果、会话标识、失败原因、日志编号。</w:t>
      </w:r>
    </w:p>
    <w:p>
      <w:pPr>
        <w:spacing w:after="120"/>
      </w:pPr>
      <w:r>
        <w:t>业务流程说明</w:t>
      </w:r>
    </w:p>
    <w:p>
      <w:pPr>
        <w:pStyle w:val="ListNumber"/>
        <w:spacing w:after="40"/>
      </w:pPr>
      <w:r>
        <w:t>外部系统创建票据或跳转票据。</w:t>
      </w:r>
    </w:p>
    <w:p>
      <w:pPr>
        <w:pStyle w:val="ListNumber"/>
        <w:spacing w:after="40"/>
      </w:pPr>
      <w:r>
        <w:t>平台校验票据签名、时效和回调来源。</w:t>
      </w:r>
    </w:p>
    <w:p>
      <w:pPr>
        <w:pStyle w:val="ListNumber"/>
        <w:spacing w:after="40"/>
      </w:pPr>
      <w:r>
        <w:t>根据身份映射恢复本地用户与会话。</w:t>
      </w:r>
    </w:p>
    <w:p>
      <w:pPr>
        <w:pStyle w:val="ListNumber"/>
        <w:spacing w:after="40"/>
      </w:pPr>
      <w:r>
        <w:t>登录成功后写入登录日志和票据日志。</w:t>
      </w:r>
    </w:p>
    <w:p>
      <w:pPr>
        <w:pStyle w:val="ListNumber"/>
        <w:spacing w:after="40"/>
      </w:pPr>
      <w:r>
        <w:t>退出时同时销毁本地会话和跨平台票据状态。</w:t>
      </w:r>
    </w:p>
    <w:p>
      <w:pPr>
        <w:spacing w:after="120"/>
      </w:pPr>
      <w:r>
        <w:t>数据存储与状态流转</w:t>
      </w:r>
    </w:p>
    <w:p>
      <w:pPr>
        <w:pStyle w:val="ListBullet"/>
        <w:spacing w:after="40"/>
      </w:pPr>
      <w:r>
        <w:t>主表：sso_config、sso_ticket、sso_exchange_log。</w:t>
      </w:r>
    </w:p>
    <w:p>
      <w:pPr>
        <w:pStyle w:val="ListBullet"/>
        <w:spacing w:after="40"/>
      </w:pPr>
      <w:r>
        <w:t>状态：CREATED、EXCHANGED、EXPIRED、FAILED、LOGOUT。</w:t>
      </w:r>
    </w:p>
    <w:p>
      <w:pPr>
        <w:spacing w:after="120"/>
      </w:pPr>
      <w:r>
        <w:t>权限控制</w:t>
      </w:r>
    </w:p>
    <w:p>
      <w:pPr>
        <w:pStyle w:val="ListBullet"/>
        <w:spacing w:after="40"/>
      </w:pPr>
      <w:r>
        <w:t>SSO 配置仅系统管理员和集成管理员可维护。</w:t>
      </w:r>
    </w:p>
    <w:p>
      <w:pPr>
        <w:pStyle w:val="ListBullet"/>
        <w:spacing w:after="40"/>
      </w:pPr>
      <w:r>
        <w:t>票据日志需受限访问，不向普通业务用户开放。</w:t>
      </w:r>
    </w:p>
    <w:p>
      <w:pPr>
        <w:spacing w:after="120"/>
      </w:pPr>
      <w:r>
        <w:t>异常处理机制</w:t>
      </w:r>
    </w:p>
    <w:p>
      <w:pPr>
        <w:pStyle w:val="ListBullet"/>
        <w:spacing w:after="40"/>
      </w:pPr>
      <w:r>
        <w:t>票据过期：要求重新发起登录。</w:t>
      </w:r>
    </w:p>
    <w:p>
      <w:pPr>
        <w:pStyle w:val="ListBullet"/>
        <w:spacing w:after="40"/>
      </w:pPr>
      <w:r>
        <w:t>签名失败：中止交换并记录安全事件。</w:t>
      </w:r>
    </w:p>
    <w:p>
      <w:pPr>
        <w:pStyle w:val="ListBullet"/>
        <w:spacing w:after="40"/>
      </w:pPr>
      <w:r>
        <w:t>身份未映射：阻止登录并提示绑定本地账号。</w:t>
      </w:r>
    </w:p>
    <w:p>
      <w:pPr>
        <w:spacing w:after="120"/>
      </w:pPr>
      <w:r>
        <w:t>日志与审计要求</w:t>
      </w:r>
    </w:p>
    <w:p>
      <w:pPr>
        <w:pStyle w:val="ListBullet"/>
        <w:spacing w:after="40"/>
      </w:pPr>
      <w:r>
        <w:t>记录票据创建、交换、退出、失败原因、来源 IP、用户标识和会话标识。</w:t>
      </w:r>
    </w:p>
    <w:p>
      <w:pPr>
        <w:pStyle w:val="ListBullet"/>
        <w:spacing w:after="40"/>
      </w:pPr>
      <w:r>
        <w:t>所有跨平台登录行为纳入统一登录审计体系。</w:t>
      </w:r>
    </w:p>
    <w:p>
      <w:pPr>
        <w:spacing w:after="120"/>
      </w:pPr>
      <w:r>
        <w:t>可扩展设计</w:t>
      </w:r>
    </w:p>
    <w:p>
      <w:pPr>
        <w:pStyle w:val="ListBullet"/>
        <w:spacing w:after="40"/>
      </w:pPr>
      <w:r>
        <w:t>支持多身份源和多协议接入。</w:t>
      </w:r>
    </w:p>
    <w:p>
      <w:pPr>
        <w:pStyle w:val="ListBullet"/>
        <w:spacing w:after="40"/>
      </w:pPr>
      <w:r>
        <w:t>支持移动端单点登录和统一退出扩展。</w:t>
      </w:r>
    </w:p>
    <w:p>
      <w:pPr>
        <w:pStyle w:val="Heading2"/>
      </w:pPr>
      <w:r>
        <w:t>5. 核心数据对象设计</w:t>
      </w:r>
    </w:p>
    <w:p>
      <w:pPr>
        <w:pStyle w:val="ListBullet"/>
        <w:spacing w:after="40"/>
      </w:pPr>
      <w:r>
        <w:t>对接配置 platform_integration_config</w:t>
      </w:r>
    </w:p>
    <w:p>
      <w:pPr>
        <w:pStyle w:val="ListBullet"/>
        <w:spacing w:after="40"/>
      </w:pPr>
      <w:r>
        <w:t>同步任务 platform_sync_task</w:t>
      </w:r>
    </w:p>
    <w:p>
      <w:pPr>
        <w:pStyle w:val="ListBullet"/>
        <w:spacing w:after="40"/>
      </w:pPr>
      <w:r>
        <w:t>同步日志 platform_sync_log</w:t>
      </w:r>
    </w:p>
    <w:p>
      <w:pPr>
        <w:pStyle w:val="ListBullet"/>
        <w:spacing w:after="40"/>
      </w:pPr>
      <w:r>
        <w:t>轨迹接收记录 vehicle_track_point</w:t>
      </w:r>
    </w:p>
    <w:p>
      <w:pPr>
        <w:pStyle w:val="ListBullet"/>
        <w:spacing w:after="40"/>
      </w:pPr>
      <w:r>
        <w:t>围栏事件 alert_fence_event</w:t>
      </w:r>
    </w:p>
    <w:p>
      <w:pPr>
        <w:pStyle w:val="ListBullet"/>
        <w:spacing w:after="40"/>
      </w:pPr>
      <w:r>
        <w:t>视频设备 video_device</w:t>
      </w:r>
    </w:p>
    <w:p>
      <w:pPr>
        <w:pStyle w:val="ListBullet"/>
        <w:spacing w:after="40"/>
      </w:pPr>
      <w:r>
        <w:t>视频通道 video_channel</w:t>
      </w:r>
    </w:p>
    <w:p>
      <w:pPr>
        <w:pStyle w:val="ListBullet"/>
        <w:spacing w:after="40"/>
      </w:pPr>
      <w:r>
        <w:t>地磅记录 weighbridge_record</w:t>
      </w:r>
    </w:p>
    <w:p>
      <w:pPr>
        <w:pStyle w:val="ListBullet"/>
        <w:spacing w:after="40"/>
      </w:pPr>
      <w:r>
        <w:t>SSO 票据 sso_ticket</w:t>
      </w:r>
    </w:p>
    <w:p>
      <w:pPr>
        <w:pStyle w:val="Heading2"/>
      </w:pPr>
      <w:r>
        <w:t>6. 业务接口设计</w:t>
      </w:r>
    </w:p>
    <w:p>
      <w:pPr>
        <w:pStyle w:val="ListBullet"/>
        <w:spacing w:after="40"/>
      </w:pPr>
      <w:r>
        <w:t>统一使用 /api/platform-integrations/{domain}/... 作为对接域前缀，避免不同对接能力混用接口。</w:t>
      </w:r>
    </w:p>
    <w:p>
      <w:pPr>
        <w:pStyle w:val="ListBullet"/>
        <w:spacing w:after="40"/>
      </w:pPr>
      <w:r>
        <w:t>对接域建议拆分为 gov、location、video、weighbridge、sso 五类。</w:t>
      </w:r>
    </w:p>
    <w:p>
      <w:pPr>
        <w:pStyle w:val="ListBullet"/>
        <w:spacing w:after="40"/>
      </w:pPr>
      <w:r>
        <w:t>所有接口统一返回 traceId、taskId、status、message、errorCode 等字段，便于追踪。</w:t>
      </w:r>
    </w:p>
    <w:p>
      <w:pPr>
        <w:pStyle w:val="Heading2"/>
      </w:pPr>
      <w:r>
        <w:t>7. 业务流程设计</w:t>
      </w:r>
    </w:p>
    <w:p>
      <w:pPr>
        <w:pStyle w:val="ListBullet"/>
        <w:spacing w:after="40"/>
      </w:pPr>
      <w:r>
        <w:t>配置类流程：维护配置 -&gt; 测试连通 -&gt; 生效配置 -&gt; 审计留痕。</w:t>
      </w:r>
    </w:p>
    <w:p>
      <w:pPr>
        <w:pStyle w:val="ListBullet"/>
        <w:spacing w:after="40"/>
      </w:pPr>
      <w:r>
        <w:t>同步类流程：发起任务 -&gt; 接收数据 -&gt; 校验映射 -&gt; 写入中间表 -&gt; 回写业务表 -&gt; 记录日志 -&gt; 失败补偿。</w:t>
      </w:r>
    </w:p>
    <w:p>
      <w:pPr>
        <w:pStyle w:val="ListBullet"/>
        <w:spacing w:after="40"/>
      </w:pPr>
      <w:r>
        <w:t>设备类流程：设备接入 -&gt; 心跳监测 -&gt; 业务消费 -&gt; 异常告警 -&gt; 运维处理。</w:t>
      </w:r>
    </w:p>
    <w:p>
      <w:pPr>
        <w:pStyle w:val="ListBullet"/>
        <w:spacing w:after="40"/>
      </w:pPr>
      <w:r>
        <w:t>单点登录流程：创建票据 -&gt; 票据交换 -&gt; 建立会话 -&gt; 访问业务 -&gt; 统一退出。</w:t>
      </w:r>
    </w:p>
    <w:p>
      <w:pPr>
        <w:pStyle w:val="Heading2"/>
      </w:pPr>
      <w:r>
        <w:t>8. 权限与数据范围控制</w:t>
      </w:r>
    </w:p>
    <w:p>
      <w:pPr>
        <w:pStyle w:val="ListBullet"/>
        <w:spacing w:after="40"/>
      </w:pPr>
      <w:r>
        <w:t>配置、测试、重试、对账、控制指令等动作需独立按钮权限。</w:t>
      </w:r>
    </w:p>
    <w:p>
      <w:pPr>
        <w:pStyle w:val="ListBullet"/>
        <w:spacing w:after="40"/>
      </w:pPr>
      <w:r>
        <w:t>日志查询需按对接域、组织和敏感级别裁剪。</w:t>
      </w:r>
    </w:p>
    <w:p>
      <w:pPr>
        <w:pStyle w:val="ListBullet"/>
        <w:spacing w:after="40"/>
      </w:pPr>
      <w:r>
        <w:t>跨模块共享的轨迹、视频、地磅、政务数据在被业务模块消费时仍需执行本地数据范围控制。</w:t>
      </w:r>
    </w:p>
    <w:p>
      <w:pPr>
        <w:pStyle w:val="Heading2"/>
      </w:pPr>
      <w:r>
        <w:t>9. 异常处理与补偿机制</w:t>
      </w:r>
    </w:p>
    <w:p>
      <w:pPr>
        <w:pStyle w:val="ListBullet"/>
        <w:spacing w:after="40"/>
      </w:pPr>
      <w:r>
        <w:t>建立统一异常分类：连接异常、鉴权异常、协议异常、数据异常、业务映射异常、回写异常、超时异常。</w:t>
      </w:r>
    </w:p>
    <w:p>
      <w:pPr>
        <w:pStyle w:val="ListBullet"/>
        <w:spacing w:after="40"/>
      </w:pPr>
      <w:r>
        <w:t>对同步、补传、对账、播放、票据交换等任务提供自动重试和人工补偿入口。</w:t>
      </w:r>
    </w:p>
    <w:p>
      <w:pPr>
        <w:pStyle w:val="ListBullet"/>
        <w:spacing w:after="40"/>
      </w:pPr>
      <w:r>
        <w:t>对批量任务支持批次级回溯与逐条补偿，避免整批重跑。</w:t>
      </w:r>
    </w:p>
    <w:p>
      <w:pPr>
        <w:pStyle w:val="Heading2"/>
      </w:pPr>
      <w:r>
        <w:t>10. 日志审计与追溯要求</w:t>
      </w:r>
    </w:p>
    <w:p>
      <w:pPr>
        <w:pStyle w:val="ListBullet"/>
        <w:spacing w:after="40"/>
      </w:pPr>
      <w:r>
        <w:t>所有请求保留请求时间、来源、对象编号、批次号、任务号、响应结果、耗时和重试次数。</w:t>
      </w:r>
    </w:p>
    <w:p>
      <w:pPr>
        <w:pStyle w:val="ListBullet"/>
        <w:spacing w:after="40"/>
      </w:pPr>
      <w:r>
        <w:t>关键配置变更、票据交换、控制指令和人工对账必须留痕。</w:t>
      </w:r>
    </w:p>
    <w:p>
      <w:pPr>
        <w:pStyle w:val="ListBullet"/>
        <w:spacing w:after="40"/>
      </w:pPr>
      <w:r>
        <w:t>对接日志需支持按项目、场地、设备、车辆、批次、外部编码检索。</w:t>
      </w:r>
    </w:p>
    <w:p>
      <w:pPr>
        <w:pStyle w:val="Heading2"/>
      </w:pPr>
      <w:r>
        <w:t>11. 与第三方或其他模块协同方式</w:t>
      </w:r>
    </w:p>
    <w:p>
      <w:pPr>
        <w:pStyle w:val="ListBullet"/>
        <w:spacing w:after="40"/>
      </w:pPr>
      <w:r>
        <w:t>政务网数据对接与处置证、项目管理、合同结算协同。</w:t>
      </w:r>
    </w:p>
    <w:p>
      <w:pPr>
        <w:pStyle w:val="ListBullet"/>
        <w:spacing w:after="40"/>
      </w:pPr>
      <w:r>
        <w:t>定位/GPS 对接与系统预警、数据看板、信息查询、小程序协同。</w:t>
      </w:r>
    </w:p>
    <w:p>
      <w:pPr>
        <w:pStyle w:val="ListBullet"/>
        <w:spacing w:after="40"/>
      </w:pPr>
      <w:r>
        <w:t>视频和地磅与消纳场地、项目管理、事件管理协同。</w:t>
      </w:r>
    </w:p>
    <w:p>
      <w:pPr>
        <w:pStyle w:val="ListBullet"/>
        <w:spacing w:after="40"/>
      </w:pPr>
      <w:r>
        <w:t>SSO 与组织、人员、角色、消息、小程序协同。</w:t>
      </w:r>
    </w:p>
    <w:p>
      <w:pPr>
        <w:pStyle w:val="Heading2"/>
      </w:pPr>
      <w:r>
        <w:t>12. 性能与扩展性要求</w:t>
      </w:r>
    </w:p>
    <w:p>
      <w:pPr>
        <w:pStyle w:val="ListBullet"/>
        <w:spacing w:after="40"/>
      </w:pPr>
      <w:r>
        <w:t>轨迹、地磅、日志等高频数据需采用分片、归档和异步处理策略。</w:t>
      </w:r>
    </w:p>
    <w:p>
      <w:pPr>
        <w:pStyle w:val="ListBullet"/>
        <w:spacing w:after="40"/>
      </w:pPr>
      <w:r>
        <w:t>视频播放令牌和轨迹查询需支持缓存与短期会话控制。</w:t>
      </w:r>
    </w:p>
    <w:p>
      <w:pPr>
        <w:pStyle w:val="ListBullet"/>
        <w:spacing w:after="40"/>
      </w:pPr>
      <w:r>
        <w:t>对接域适配器应支持多供应商扩展和协议扩展。</w:t>
      </w:r>
    </w:p>
    <w:p>
      <w:pPr>
        <w:pStyle w:val="Heading2"/>
      </w:pPr>
      <w:r>
        <w:t>13. 本模块交付说明</w:t>
      </w:r>
    </w:p>
    <w:p>
      <w:pPr>
        <w:spacing w:after="120"/>
      </w:pPr>
      <w:r>
        <w:t>平台对接模块应作为甲方正式方案中的核心技术能力模块交付，并与《第三方系统对接专项方案》形成“模块落地 + 总体规范”的双层说明关系。</w:t>
      </w:r>
    </w:p>
    <w:p>
      <w:pPr>
        <w:sectPr>
          <w:pgSz w:w="12240" w:h="15840"/>
          <w:pgMar w:top="1440" w:right="1587" w:bottom="1440" w:left="1587" w:header="720" w:footer="720" w:gutter="0"/>
          <w:cols w:space="720"/>
          <w:docGrid w:linePitch="360"/>
        </w:sectPr>
      </w:pPr>
    </w:p>
    <w:p>
      <w:pPr>
        <w:pStyle w:val="Heading1"/>
      </w:pPr>
      <w:r>
        <w:t>消息管理技术方案</w:t>
      </w:r>
    </w:p>
    <w:p>
      <w:pPr>
        <w:pStyle w:val="Heading2"/>
      </w:pPr>
      <w:r>
        <w:t>1. 模块建设目标</w:t>
      </w:r>
    </w:p>
    <w:p>
      <w:pPr>
        <w:spacing w:after="120"/>
      </w:pPr>
      <w:r>
        <w:t>建立面向不同角色的统一消息中心与推送体系。</w:t>
      </w:r>
    </w:p>
    <w:p>
      <w:pPr>
        <w:pStyle w:val="Heading2"/>
      </w:pPr>
      <w:r>
        <w:t>2. 模块技术范围</w:t>
      </w:r>
    </w:p>
    <w:p>
      <w:pPr>
        <w:spacing w:after="120"/>
      </w:pPr>
      <w:r>
        <w:t>消息管理模块技术范围覆盖前端页面、后台接口、业务服务、数据模型、审批联动、消息通知、日志审计、导入导出、移动端或第三方对接等能力。</w:t>
      </w:r>
    </w:p>
    <w:p>
      <w:pPr>
        <w:pStyle w:val="Heading2"/>
      </w:pPr>
      <w:r>
        <w:t>3. 总体能力设计</w:t>
      </w:r>
    </w:p>
    <w:p>
      <w:pPr>
        <w:spacing w:after="120"/>
      </w:pPr>
      <w:r>
        <w:t>消息管理模块用于承接审批结果、预警事件、系统通知和移动端消息推送，强调按权限可见、按状态分类和可追溯。技术上采用统一前后端分层架构，前端负责界面编排与交互约束，后端负责业务校验、流程编排、数据存储、异步任务和接口开放。</w:t>
      </w:r>
    </w:p>
    <w:p>
      <w:pPr>
        <w:pStyle w:val="Heading2"/>
      </w:pPr>
      <w:r>
        <w:t>4. 功能点技术实现方案</w:t>
      </w:r>
    </w:p>
    <w:p>
      <w:pPr>
        <w:pStyle w:val="Heading3"/>
      </w:pPr>
      <w:r>
        <w:t>4.1 消息管理</w:t>
      </w:r>
    </w:p>
    <w:p>
      <w:pPr>
        <w:spacing w:after="120"/>
      </w:pPr>
      <w:r>
        <w:t>目标能力 建设“消息管理”的标准化服务能力，满足根据登录人员的数据权限展示自己的消息数据清单；消息按照不同的状态分类展示，并且支持时间筛选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全体业务人员、审批人员、平台管理员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/api/messages：承载“消息管理”相关的查询、提交、处理或结果获取能力。</w:t>
      </w:r>
    </w:p>
    <w:p>
      <w:pPr>
        <w:pStyle w:val="ListBullet"/>
        <w:spacing w:after="40"/>
      </w:pPr>
      <w:r>
        <w:t>GET /api/messages/{id}：承载“消息管理”相关的查询、提交、处理或结果获取能力。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4.2 消息推送</w:t>
      </w:r>
    </w:p>
    <w:p>
      <w:pPr>
        <w:spacing w:after="120"/>
      </w:pPr>
      <w:r>
        <w:t>目标能力 建设“消息推送”的标准化服务能力，满足对接短信平台，实现重点审批环节的审批结果的通知；对接推送平台，实现平台所有重点流程结果的推送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全体业务人员、审批人员、平台管理员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/api/messages：承载“消息推送”相关的查询、提交、处理或结果获取能力。</w:t>
      </w:r>
    </w:p>
    <w:p>
      <w:pPr>
        <w:pStyle w:val="ListBullet"/>
        <w:spacing w:after="40"/>
      </w:pPr>
      <w:r>
        <w:t>POST /api/messages：承载“消息推送”相关的查询、提交、处理或结果获取能力。</w:t>
      </w:r>
    </w:p>
    <w:p>
      <w:pPr>
        <w:pStyle w:val="ListBullet"/>
        <w:spacing w:after="40"/>
      </w:pPr>
      <w:r>
        <w:t>PUT /api/messages/{id}：承载“消息推送”相关的查询、提交、处理或结果获取能力。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2"/>
      </w:pPr>
      <w:r>
        <w:t>5. 核心数据对象设计</w:t>
      </w:r>
    </w:p>
    <w:p>
      <w:pPr>
        <w:pStyle w:val="ListBullet"/>
        <w:spacing w:after="40"/>
      </w:pPr>
      <w:r>
        <w:t>消息记录 MessageRecord</w:t>
      </w:r>
    </w:p>
    <w:p>
      <w:pPr>
        <w:pStyle w:val="ListBullet"/>
        <w:spacing w:after="40"/>
      </w:pPr>
      <w:r>
        <w:t>消息分类 MessageCategory</w:t>
      </w:r>
    </w:p>
    <w:p>
      <w:pPr>
        <w:pStyle w:val="ListBullet"/>
        <w:spacing w:after="40"/>
      </w:pPr>
      <w:r>
        <w:t>推送回执 PushReceipt</w:t>
      </w:r>
    </w:p>
    <w:p>
      <w:pPr>
        <w:pStyle w:val="Heading2"/>
      </w:pPr>
      <w:r>
        <w:t>6. 业务接口设计</w:t>
      </w:r>
    </w:p>
    <w:p>
      <w:pPr>
        <w:pStyle w:val="ListBullet"/>
        <w:spacing w:after="40"/>
      </w:pPr>
      <w:r>
        <w:t>统一接口前缀建议采用 /api/messages 或对应移动端、专项前缀，实现前后端接口分层清晰。</w:t>
      </w:r>
    </w:p>
    <w:p>
      <w:pPr>
        <w:pStyle w:val="ListBullet"/>
        <w:spacing w:after="40"/>
      </w:pPr>
      <w:r>
        <w:t>查询类接口支持分页、排序、条件过滤、字典翻译和状态聚合。</w:t>
      </w:r>
    </w:p>
    <w:p>
      <w:pPr>
        <w:pStyle w:val="ListBullet"/>
        <w:spacing w:after="40"/>
      </w:pPr>
      <w:r>
        <w:t>变更类接口支持幂等控制、状态校验、附件提交、审批提交流程和消息触发。</w:t>
      </w:r>
    </w:p>
    <w:p>
      <w:pPr>
        <w:pStyle w:val="Heading2"/>
      </w:pPr>
      <w:r>
        <w:t>7. 业务流程设计</w:t>
      </w:r>
    </w:p>
    <w:p>
      <w:pPr>
        <w:pStyle w:val="ListBullet"/>
        <w:spacing w:after="40"/>
      </w:pPr>
      <w:r>
        <w:t>业务流程统一遵循“发起/采集 -&gt; 校验 -&gt; 提交/处理 -&gt; 审批/同步 -&gt; 结果回写 -&gt; 留痕/通知”的流程骨架。</w:t>
      </w:r>
    </w:p>
    <w:p>
      <w:pPr>
        <w:pStyle w:val="ListBullet"/>
        <w:spacing w:after="40"/>
      </w:pPr>
      <w:r>
        <w:t>涉及统计、导出、同步、报表和预警生成的场景，采用异步任务和批处理机制降低接口阻塞风险。</w:t>
      </w:r>
    </w:p>
    <w:p>
      <w:pPr>
        <w:pStyle w:val="Heading2"/>
      </w:pPr>
      <w:r>
        <w:t>8. 权限与数据范围控制</w:t>
      </w:r>
    </w:p>
    <w:p>
      <w:pPr>
        <w:pStyle w:val="ListBullet"/>
        <w:spacing w:after="40"/>
      </w:pPr>
      <w:r>
        <w:t>统一接入组织、用户、角色和数据范围控制体系，按单位、项目、场地、车辆、合同等维度裁剪数据可见范围。</w:t>
      </w:r>
    </w:p>
    <w:p>
      <w:pPr>
        <w:pStyle w:val="ListBullet"/>
        <w:spacing w:after="40"/>
      </w:pPr>
      <w:r>
        <w:t>移动端、第三方接口和后台接口均需绑定独立的身份凭据和访问授权。</w:t>
      </w:r>
    </w:p>
    <w:p>
      <w:pPr>
        <w:pStyle w:val="Heading2"/>
      </w:pPr>
      <w:r>
        <w:t>9. 异常处理与补偿机制</w:t>
      </w:r>
    </w:p>
    <w:p>
      <w:pPr>
        <w:pStyle w:val="ListBullet"/>
        <w:spacing w:after="40"/>
      </w:pPr>
      <w:r>
        <w:t>关键接口统一返回错误码、错误信息、追踪编号和建议处理方式。</w:t>
      </w:r>
    </w:p>
    <w:p>
      <w:pPr>
        <w:pStyle w:val="ListBullet"/>
        <w:spacing w:after="40"/>
      </w:pPr>
      <w:r>
        <w:t>异步任务支持失败重试、批次追踪、人工补录、对账补偿和回滚控制。</w:t>
      </w:r>
    </w:p>
    <w:p>
      <w:pPr>
        <w:pStyle w:val="Heading2"/>
      </w:pPr>
      <w:r>
        <w:t>10. 日志审计与追溯要求</w:t>
      </w:r>
    </w:p>
    <w:p>
      <w:pPr>
        <w:pStyle w:val="ListBullet"/>
        <w:spacing w:after="40"/>
      </w:pPr>
      <w:r>
        <w:t>记录接口访问日志、业务操作日志、审批日志、同步日志、错误日志和消息推送回执。</w:t>
      </w:r>
    </w:p>
    <w:p>
      <w:pPr>
        <w:pStyle w:val="ListBullet"/>
        <w:spacing w:after="40"/>
      </w:pPr>
      <w:r>
        <w:t>关键业务对象支持按单号、主键、批次号、外部编码追溯全链路处理过程。</w:t>
      </w:r>
    </w:p>
    <w:p>
      <w:pPr>
        <w:pStyle w:val="Heading2"/>
      </w:pPr>
      <w:r>
        <w:t>11. 与第三方或其他模块协同方式</w:t>
      </w:r>
    </w:p>
    <w:p>
      <w:pPr>
        <w:pStyle w:val="ListBullet"/>
        <w:spacing w:after="40"/>
      </w:pPr>
      <w:r>
        <w:t>与组织权限体系协同实现统一身份和数据授权。</w:t>
      </w:r>
    </w:p>
    <w:p>
      <w:pPr>
        <w:pStyle w:val="ListBullet"/>
        <w:spacing w:after="40"/>
      </w:pPr>
      <w:r>
        <w:t>与审批配置、消息中心、日志中心协同实现流程驱动、消息触达和可审计治理。</w:t>
      </w:r>
    </w:p>
    <w:p>
      <w:pPr>
        <w:pStyle w:val="ListBullet"/>
        <w:spacing w:after="40"/>
      </w:pPr>
      <w:r>
        <w:t>与平台对接、小程序、统计分析、数据看板协同实现跨平台数据共享和能力复用。</w:t>
      </w:r>
    </w:p>
    <w:p>
      <w:pPr>
        <w:pStyle w:val="Heading2"/>
      </w:pPr>
      <w:r>
        <w:t>12. 性能与扩展性要求</w:t>
      </w:r>
    </w:p>
    <w:p>
      <w:pPr>
        <w:pStyle w:val="ListBullet"/>
        <w:spacing w:after="40"/>
      </w:pPr>
      <w:r>
        <w:t>列表和报表需支持分页、条件索引、聚合优化和异步导出。</w:t>
      </w:r>
    </w:p>
    <w:p>
      <w:pPr>
        <w:pStyle w:val="ListBullet"/>
        <w:spacing w:after="40"/>
      </w:pPr>
      <w:r>
        <w:t>地图、轨迹、视频、地磅、同步日志等大体量数据建议分表、归档或采用冷热分层策略。</w:t>
      </w:r>
    </w:p>
    <w:p>
      <w:pPr>
        <w:pStyle w:val="Heading2"/>
      </w:pPr>
      <w:r>
        <w:t>13. 本模块交付说明</w:t>
      </w:r>
    </w:p>
    <w:p>
      <w:pPr>
        <w:spacing w:after="120"/>
      </w:pPr>
      <w:r>
        <w:t>消息管理模块应作为独立可交付能力建设，既满足甲方当前招标要求，也为后续扩展第三方对接、移动端深化、规则引擎和经营分析能力保留扩展接口。</w:t>
      </w:r>
    </w:p>
    <w:p>
      <w:pPr>
        <w:sectPr>
          <w:pgSz w:w="12240" w:h="15840"/>
          <w:pgMar w:top="1440" w:right="1587" w:bottom="1440" w:left="1587" w:header="720" w:footer="720" w:gutter="0"/>
          <w:cols w:space="720"/>
          <w:docGrid w:linePitch="360"/>
        </w:sectPr>
      </w:pPr>
    </w:p>
    <w:p>
      <w:pPr>
        <w:pStyle w:val="Heading1"/>
      </w:pPr>
      <w:r>
        <w:t>小程序技术方案</w:t>
      </w:r>
    </w:p>
    <w:p>
      <w:pPr>
        <w:pStyle w:val="Heading2"/>
      </w:pPr>
      <w:r>
        <w:t>1. 模块建设目标</w:t>
      </w:r>
    </w:p>
    <w:p>
      <w:pPr>
        <w:spacing w:after="120"/>
      </w:pPr>
      <w:r>
        <w:t>建设覆盖移动端登录、拍照、打卡、申报、查询、学习、分享的移动业务门户。</w:t>
      </w:r>
    </w:p>
    <w:p>
      <w:pPr>
        <w:pStyle w:val="Heading2"/>
      </w:pPr>
      <w:r>
        <w:t>2. 模块技术范围</w:t>
      </w:r>
    </w:p>
    <w:p>
      <w:pPr>
        <w:spacing w:after="120"/>
      </w:pPr>
      <w:r>
        <w:t>小程序模块技术范围覆盖前端页面、后台接口、业务服务、数据模型、审批联动、消息通知、日志审计、导入导出、移动端或第三方对接等能力。</w:t>
      </w:r>
    </w:p>
    <w:p>
      <w:pPr>
        <w:pStyle w:val="Heading2"/>
      </w:pPr>
      <w:r>
        <w:t>3. 总体能力设计</w:t>
      </w:r>
    </w:p>
    <w:p>
      <w:pPr>
        <w:spacing w:after="120"/>
      </w:pPr>
      <w:r>
        <w:t>小程序模块是平台向现场和移动角色延伸的重要渠道，需要提供轻量交互、定位拍照、消息触达、离散工单和轨迹查询等能力。技术上采用统一前后端分层架构，前端负责界面编排与交互约束，后端负责业务校验、流程编排、数据存储、异步任务和接口开放。</w:t>
      </w:r>
    </w:p>
    <w:p>
      <w:pPr>
        <w:pStyle w:val="Heading2"/>
      </w:pPr>
      <w:r>
        <w:t>4. 功能点技术实现方案</w:t>
      </w:r>
    </w:p>
    <w:p>
      <w:pPr>
        <w:pStyle w:val="Heading3"/>
      </w:pPr>
      <w:r>
        <w:t>4.1 消纳清单</w:t>
      </w:r>
    </w:p>
    <w:p>
      <w:pPr>
        <w:spacing w:after="120"/>
      </w:pPr>
      <w:r>
        <w:t>目标能力 建设“消纳清单”的标准化服务能力，满足支持消纳场地人员登录，并查看消纳清单数据的功能的业务目标，并为后续审批、预警、统计、移动端和第三方联动提供统一接口支撑。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场地人员、司机、项目经办人、建设/施工单位人员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/api/mini：承载“消纳清单”相关的查询、提交、处理或结果获取能力。</w:t>
      </w:r>
    </w:p>
    <w:p>
      <w:pPr>
        <w:pStyle w:val="ListBullet"/>
        <w:spacing w:after="40"/>
      </w:pPr>
      <w:r>
        <w:t>GET /api/mini/{id}：承载“消纳清单”相关的查询、提交、处理或结果获取能力。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4.2 事件上报</w:t>
      </w:r>
    </w:p>
    <w:p>
      <w:pPr>
        <w:spacing w:after="120"/>
      </w:pPr>
      <w:r>
        <w:t>目标能力 建设“事件上报”的标准化服务能力，满足支持简易事件的人工上报，包含事件的标题、图片、内容等信息的业务目标，并为后续审批、预警、统计、移动端和第三方联动提供统一接口支撑。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场地人员、司机、项目经办人、建设/施工单位人员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/api/mini：承载“事件上报”相关的查询、提交、处理或结果获取能力。</w:t>
      </w:r>
    </w:p>
    <w:p>
      <w:pPr>
        <w:pStyle w:val="ListBullet"/>
        <w:spacing w:after="40"/>
      </w:pPr>
      <w:r>
        <w:t>POST /api/mini：承载“事件上报”相关的查询、提交、处理或结果获取能力。</w:t>
      </w:r>
    </w:p>
    <w:p>
      <w:pPr>
        <w:pStyle w:val="ListBullet"/>
        <w:spacing w:after="40"/>
      </w:pPr>
      <w:r>
        <w:t>PUT /api/mini/{id}：承载“事件上报”相关的查询、提交、处理或结果获取能力。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4.3 出土单位</w:t>
      </w:r>
    </w:p>
    <w:p>
      <w:pPr>
        <w:spacing w:after="120"/>
      </w:pPr>
      <w:r>
        <w:t>目标能力 建设“出土单位”的标准化服务能力，满足支持建设单位/施工单位登录，根据当前登录账号数据权限查看项目数据，以及项目消纳清单数据的查看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场地人员、司机、项目经办人、建设/施工单位人员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/api/mini：承载“出土单位”相关的查询、提交、处理或结果获取能力。</w:t>
      </w:r>
    </w:p>
    <w:p>
      <w:pPr>
        <w:pStyle w:val="ListBullet"/>
        <w:spacing w:after="40"/>
      </w:pPr>
      <w:r>
        <w:t>POST /api/mini：承载“出土单位”相关的查询、提交、处理或结果获取能力。</w:t>
      </w:r>
    </w:p>
    <w:p>
      <w:pPr>
        <w:pStyle w:val="ListBullet"/>
        <w:spacing w:after="40"/>
      </w:pPr>
      <w:r>
        <w:t>PUT /api/mini/{id}：承载“出土单位”相关的查询、提交、处理或结果获取能力。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4.4 出土拍照</w:t>
      </w:r>
    </w:p>
    <w:p>
      <w:pPr>
        <w:spacing w:after="120"/>
      </w:pPr>
      <w:r>
        <w:t>目标能力 建设“出土拍照”的标准化服务能力，满足支持按项目出土打卡功能、车牌拍照识别的业务目标，并为后续审批、预警、统计、移动端和第三方联动提供统一接口支撑。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场地人员、司机、项目经办人、建设/施工单位人员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POST /api/mini：承载“出土拍照”相关的查询、提交、处理或结果获取能力。</w:t>
      </w:r>
    </w:p>
    <w:p>
      <w:pPr>
        <w:pStyle w:val="ListBullet"/>
        <w:spacing w:after="40"/>
      </w:pPr>
      <w:r>
        <w:t>GET /api/mini：承载“出土拍照”相关的查询、提交、处理或结果获取能力。</w:t>
      </w:r>
    </w:p>
    <w:p>
      <w:pPr>
        <w:pStyle w:val="ListBullet"/>
        <w:spacing w:after="40"/>
      </w:pPr>
      <w:r>
        <w:t>GET /api/mini/{id}：承载“出土拍照”相关的查询、提交、处理或结果获取能力。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4.5 打卡异常申报</w:t>
      </w:r>
    </w:p>
    <w:p>
      <w:pPr>
        <w:spacing w:after="120"/>
      </w:pPr>
      <w:r>
        <w:t>目标能力 建设“打卡异常申报”的标准化服务能力，满足支持异常打卡数据和延期消纳情况申报的业务目标，并为后续审批、预警、统计、移动端和第三方联动提供统一接口支撑。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场地人员、司机、项目经办人、建设/施工单位人员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/api/mini：承载“打卡异常申报”相关的查询、提交、处理或结果获取能力。</w:t>
      </w:r>
    </w:p>
    <w:p>
      <w:pPr>
        <w:pStyle w:val="ListBullet"/>
        <w:spacing w:after="40"/>
      </w:pPr>
      <w:r>
        <w:t>POST /api/mini：承载“打卡异常申报”相关的查询、提交、处理或结果获取能力。</w:t>
      </w:r>
    </w:p>
    <w:p>
      <w:pPr>
        <w:pStyle w:val="ListBullet"/>
        <w:spacing w:after="40"/>
      </w:pPr>
      <w:r>
        <w:t>PUT /api/mini/{id}：承载“打卡异常申报”相关的查询、提交、处理或结果获取能力。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4.6 消纳场</w:t>
      </w:r>
    </w:p>
    <w:p>
      <w:pPr>
        <w:spacing w:after="120"/>
      </w:pPr>
      <w:r>
        <w:t>目标能力 建设“消纳场”的标准化服务能力，满足支持消纳场人员的登录，登录后可以查看消纳场地基础信息以及场地消纳数据的业务目标，并为后续审批、预警、统计、移动端和第三方联动提供统一接口支撑。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场地人员、司机、项目经办人、建设/施工单位人员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/api/mini：承载“消纳场”相关的查询、提交、处理或结果获取能力。</w:t>
      </w:r>
    </w:p>
    <w:p>
      <w:pPr>
        <w:pStyle w:val="ListBullet"/>
        <w:spacing w:after="40"/>
      </w:pPr>
      <w:r>
        <w:t>POST /api/mini：承载“消纳场”相关的查询、提交、处理或结果获取能力。</w:t>
      </w:r>
    </w:p>
    <w:p>
      <w:pPr>
        <w:pStyle w:val="ListBullet"/>
        <w:spacing w:after="40"/>
      </w:pPr>
      <w:r>
        <w:t>PUT /api/mini/{id}：承载“消纳场”相关的查询、提交、处理或结果获取能力。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4.7 手动消纳</w:t>
      </w:r>
    </w:p>
    <w:p>
      <w:pPr>
        <w:spacing w:after="120"/>
      </w:pPr>
      <w:r>
        <w:t>目标能力 建设“手动消纳”的标准化服务能力，满足支持当出现停电等异常情况下，消纳人员可以手动拍照消纳的业务目标，并为后续审批、预警、统计、移动端和第三方联动提供统一接口支撑。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场地人员、司机、项目经办人、建设/施工单位人员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/api/mini：承载“手动消纳”相关的查询、提交、处理或结果获取能力。</w:t>
      </w:r>
    </w:p>
    <w:p>
      <w:pPr>
        <w:pStyle w:val="ListBullet"/>
        <w:spacing w:after="40"/>
      </w:pPr>
      <w:r>
        <w:t>POST /api/mini：承载“手动消纳”相关的查询、提交、处理或结果获取能力。</w:t>
      </w:r>
    </w:p>
    <w:p>
      <w:pPr>
        <w:pStyle w:val="ListBullet"/>
        <w:spacing w:after="40"/>
      </w:pPr>
      <w:r>
        <w:t>PUT /api/mini/{id}：承载“手动消纳”相关的查询、提交、处理或结果获取能力。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4.8 延期申报</w:t>
      </w:r>
    </w:p>
    <w:p>
      <w:pPr>
        <w:spacing w:after="120"/>
      </w:pPr>
      <w:r>
        <w:t>目标能力 建设“延期申报”的标准化服务能力，满足渣土消纳运输时因不可避免的原因需要进行延期消纳的申报，支持用户进行申请上报的业务目标，并为后续审批、预警、统计、移动端和第三方联动提供统一接口支撑。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场地人员、司机、项目经办人、建设/施工单位人员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/api/mini：承载“延期申报”相关的查询、提交、处理或结果获取能力。</w:t>
      </w:r>
    </w:p>
    <w:p>
      <w:pPr>
        <w:pStyle w:val="ListBullet"/>
        <w:spacing w:after="40"/>
      </w:pPr>
      <w:r>
        <w:t>POST /api/mini：承载“延期申报”相关的查询、提交、处理或结果获取能力。</w:t>
      </w:r>
    </w:p>
    <w:p>
      <w:pPr>
        <w:pStyle w:val="ListBullet"/>
        <w:spacing w:after="40"/>
      </w:pPr>
      <w:r>
        <w:t>PUT /api/mini/{id}：承载“延期申报”相关的查询、提交、处理或结果获取能力。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4.9 统计报表</w:t>
      </w:r>
    </w:p>
    <w:p>
      <w:pPr>
        <w:spacing w:after="120"/>
      </w:pPr>
      <w:r>
        <w:t>目标能力 建设“统计报表”的标准化服务能力，满足1.支持移动端的场地报表生成、展示和分享；2.支持移动端的项目报表生成、展示和分享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场地人员、司机、项目经办人、建设/施工单位人员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/api/mini/summary：承载“统计报表”相关的查询、提交、处理或结果获取能力。</w:t>
      </w:r>
    </w:p>
    <w:p>
      <w:pPr>
        <w:pStyle w:val="ListBullet"/>
        <w:spacing w:after="40"/>
      </w:pPr>
      <w:r>
        <w:t>GET /api/mini/trend：承载“统计报表”相关的查询、提交、处理或结果获取能力。</w:t>
      </w:r>
    </w:p>
    <w:p>
      <w:pPr>
        <w:pStyle w:val="ListBullet"/>
        <w:spacing w:after="40"/>
      </w:pPr>
      <w:r>
        <w:t>POST /api/mini/export：承载“统计报表”相关的查询、提交、处理或结果获取能力。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4.10 密码修改</w:t>
      </w:r>
    </w:p>
    <w:p>
      <w:pPr>
        <w:spacing w:after="120"/>
      </w:pPr>
      <w:r>
        <w:t>目标能力 建设“密码修改”的标准化服务能力，满足支持个人密码的修改，通过旧密码校验修改和短信验证修改的业务目标，并为后续审批、预警、统计、移动端和第三方联动提供统一接口支撑。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场地人员、司机、项目经办人、建设/施工单位人员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/api/mini：承载“密码修改”相关的查询、提交、处理或结果获取能力。</w:t>
      </w:r>
    </w:p>
    <w:p>
      <w:pPr>
        <w:pStyle w:val="ListBullet"/>
        <w:spacing w:after="40"/>
      </w:pPr>
      <w:r>
        <w:t>POST /api/mini：承载“密码修改”相关的查询、提交、处理或结果获取能力。</w:t>
      </w:r>
    </w:p>
    <w:p>
      <w:pPr>
        <w:pStyle w:val="ListBullet"/>
        <w:spacing w:after="40"/>
      </w:pPr>
      <w:r>
        <w:t>PUT /api/mini/{id}：承载“密码修改”相关的查询、提交、处理或结果获取能力。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4.11 账号绑定</w:t>
      </w:r>
    </w:p>
    <w:p>
      <w:pPr>
        <w:spacing w:after="120"/>
      </w:pPr>
      <w:r>
        <w:t>目标能力 建设“账号绑定”的标准化服务能力，满足支持和微信账号绑定，实现免账号登录已经系统消息的推送的业务目标，并为后续审批、预警、统计、移动端和第三方联动提供统一接口支撑。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场地人员、司机、项目经办人、建设/施工单位人员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/api/mini：承载“账号绑定”相关的查询、提交、处理或结果获取能力。</w:t>
      </w:r>
    </w:p>
    <w:p>
      <w:pPr>
        <w:pStyle w:val="ListBullet"/>
        <w:spacing w:after="40"/>
      </w:pPr>
      <w:r>
        <w:t>POST /api/mini：承载“账号绑定”相关的查询、提交、处理或结果获取能力。</w:t>
      </w:r>
    </w:p>
    <w:p>
      <w:pPr>
        <w:pStyle w:val="ListBullet"/>
        <w:spacing w:after="40"/>
      </w:pPr>
      <w:r>
        <w:t>PUT /api/mini/{id}：承载“账号绑定”相关的查询、提交、处理或结果获取能力。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4.12 问题反馈</w:t>
      </w:r>
    </w:p>
    <w:p>
      <w:pPr>
        <w:spacing w:after="120"/>
      </w:pPr>
      <w:r>
        <w:t>目标能力 建设“问题反馈”的标准化服务能力，满足支持系统问题反馈的业务目标，并为后续审批、预警、统计、移动端和第三方联动提供统一接口支撑。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场地人员、司机、项目经办人、建设/施工单位人员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/api/mini：承载“问题反馈”相关的查询、提交、处理或结果获取能力。</w:t>
      </w:r>
    </w:p>
    <w:p>
      <w:pPr>
        <w:pStyle w:val="ListBullet"/>
        <w:spacing w:after="40"/>
      </w:pPr>
      <w:r>
        <w:t>POST /api/mini：承载“问题反馈”相关的查询、提交、处理或结果获取能力。</w:t>
      </w:r>
    </w:p>
    <w:p>
      <w:pPr>
        <w:pStyle w:val="ListBullet"/>
        <w:spacing w:after="40"/>
      </w:pPr>
      <w:r>
        <w:t>PUT /api/mini/{id}：承载“问题反馈”相关的查询、提交、处理或结果获取能力。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4.13 登录</w:t>
      </w:r>
    </w:p>
    <w:p>
      <w:pPr>
        <w:spacing w:after="120"/>
      </w:pPr>
      <w:r>
        <w:t>目标能力 建设“登录”的标准化服务能力，满足平台账号密码、手机短信二次校验的登录的业务目标，并为后续审批、预警、统计、移动端和第三方联动提供统一接口支撑。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场地人员、司机、项目经办人、建设/施工单位人员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/api/mini：承载“登录”相关的查询、提交、处理或结果获取能力。</w:t>
      </w:r>
    </w:p>
    <w:p>
      <w:pPr>
        <w:pStyle w:val="ListBullet"/>
        <w:spacing w:after="40"/>
      </w:pPr>
      <w:r>
        <w:t>POST /api/mini：承载“登录”相关的查询、提交、处理或结果获取能力。</w:t>
      </w:r>
    </w:p>
    <w:p>
      <w:pPr>
        <w:pStyle w:val="ListBullet"/>
        <w:spacing w:after="40"/>
      </w:pPr>
      <w:r>
        <w:t>PUT /api/mini/{id}：承载“登录”相关的查询、提交、处理或结果获取能力。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4.14 车辆检查</w:t>
      </w:r>
    </w:p>
    <w:p>
      <w:pPr>
        <w:spacing w:after="120"/>
      </w:pPr>
      <w:r>
        <w:t>目标能力 建设“车辆检查”的标准化服务能力，满足司机按调度指令接车后，可以通过小程序拍摄车辆状况照片及车辆必备相关证件照片上传系统留存。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场地人员、司机、项目经办人、建设/施工单位人员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POST /api/mini：承载“车辆检查”相关的查询、提交、处理或结果获取能力。</w:t>
      </w:r>
    </w:p>
    <w:p>
      <w:pPr>
        <w:pStyle w:val="ListBullet"/>
        <w:spacing w:after="40"/>
      </w:pPr>
      <w:r>
        <w:t>GET /api/mini：承载“车辆检查”相关的查询、提交、处理或结果获取能力。</w:t>
      </w:r>
    </w:p>
    <w:p>
      <w:pPr>
        <w:pStyle w:val="ListBullet"/>
        <w:spacing w:after="40"/>
      </w:pPr>
      <w:r>
        <w:t>GET /api/mini/{id}：承载“车辆检查”相关的查询、提交、处理或结果获取能力。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4.15 车辆实时查询</w:t>
      </w:r>
    </w:p>
    <w:p>
      <w:pPr>
        <w:spacing w:after="120"/>
      </w:pPr>
      <w:r>
        <w:t>目标能力 建设“车辆实时查询”的标准化服务能力，满足移动端实现车辆行驶速度、车牌号、运行状态、速度、位置信息、不同播放速度的历史轨迹回放、车辆停止信息查询、电子围栏设置，围栏半径设置、围栏名称、车辆选择、围栏警告时间、警告进出方向设置、功能使用人的权限管理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场地人员、司机、项目经办人、建设/施工单位人员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/api/mini：承载“车辆实时查询”相关的查询、提交、处理或结果获取能力。</w:t>
      </w:r>
    </w:p>
    <w:p>
      <w:pPr>
        <w:pStyle w:val="ListBullet"/>
        <w:spacing w:after="40"/>
      </w:pPr>
      <w:r>
        <w:t>GET /api/mini/{id}：承载“车辆实时查询”相关的查询、提交、处理或结果获取能力。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4.16 安全教育</w:t>
      </w:r>
    </w:p>
    <w:p>
      <w:pPr>
        <w:spacing w:after="120"/>
      </w:pPr>
      <w:r>
        <w:t>目标能力 建设“安全教育”的标准化服务能力，满足移动端人工上报简易事件，填写标题/上传图片/描述内容，快速上报、视频或者文档安全教育学习，学习过程上随机时间人脸识别验证。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场地人员、司机、项目经办人、建设/施工单位人员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/api/mini：承载“安全教育”相关的查询、提交、处理或结果获取能力。</w:t>
      </w:r>
    </w:p>
    <w:p>
      <w:pPr>
        <w:pStyle w:val="ListBullet"/>
        <w:spacing w:after="40"/>
      </w:pPr>
      <w:r>
        <w:t>POST /api/mini：承载“安全教育”相关的查询、提交、处理或结果获取能力。</w:t>
      </w:r>
    </w:p>
    <w:p>
      <w:pPr>
        <w:pStyle w:val="ListBullet"/>
        <w:spacing w:after="40"/>
      </w:pPr>
      <w:r>
        <w:t>PUT /api/mini/{id}：承载“安全教育”相关的查询、提交、处理或结果获取能力。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2"/>
      </w:pPr>
      <w:r>
        <w:t>5. 核心数据对象设计</w:t>
      </w:r>
    </w:p>
    <w:p>
      <w:pPr>
        <w:pStyle w:val="ListBullet"/>
        <w:spacing w:after="40"/>
      </w:pPr>
      <w:r>
        <w:t>小程序账户绑定 MiniUserBinding</w:t>
      </w:r>
    </w:p>
    <w:p>
      <w:pPr>
        <w:pStyle w:val="ListBullet"/>
        <w:spacing w:after="40"/>
      </w:pPr>
      <w:r>
        <w:t>移动工单 MiniWorkOrder</w:t>
      </w:r>
    </w:p>
    <w:p>
      <w:pPr>
        <w:pStyle w:val="ListBullet"/>
        <w:spacing w:after="40"/>
      </w:pPr>
      <w:r>
        <w:t>移动拍照记录 MiniPhoto</w:t>
      </w:r>
    </w:p>
    <w:p>
      <w:pPr>
        <w:pStyle w:val="ListBullet"/>
        <w:spacing w:after="40"/>
      </w:pPr>
      <w:r>
        <w:t>移动学习记录 MiniLearningRecord</w:t>
      </w:r>
    </w:p>
    <w:p>
      <w:pPr>
        <w:pStyle w:val="ListBullet"/>
        <w:spacing w:after="40"/>
      </w:pPr>
      <w:r>
        <w:t>移动围栏配置 MiniFenceConfig</w:t>
      </w:r>
    </w:p>
    <w:p>
      <w:pPr>
        <w:pStyle w:val="Heading2"/>
      </w:pPr>
      <w:r>
        <w:t>6. 业务接口设计</w:t>
      </w:r>
    </w:p>
    <w:p>
      <w:pPr>
        <w:pStyle w:val="ListBullet"/>
        <w:spacing w:after="40"/>
      </w:pPr>
      <w:r>
        <w:t>统一接口前缀建议采用 /api/mini 或对应移动端、专项前缀，实现前后端接口分层清晰。</w:t>
      </w:r>
    </w:p>
    <w:p>
      <w:pPr>
        <w:pStyle w:val="ListBullet"/>
        <w:spacing w:after="40"/>
      </w:pPr>
      <w:r>
        <w:t>查询类接口支持分页、排序、条件过滤、字典翻译和状态聚合。</w:t>
      </w:r>
    </w:p>
    <w:p>
      <w:pPr>
        <w:pStyle w:val="ListBullet"/>
        <w:spacing w:after="40"/>
      </w:pPr>
      <w:r>
        <w:t>变更类接口支持幂等控制、状态校验、附件提交、审批提交流程和消息触发。</w:t>
      </w:r>
    </w:p>
    <w:p>
      <w:pPr>
        <w:pStyle w:val="Heading2"/>
      </w:pPr>
      <w:r>
        <w:t>7. 业务流程设计</w:t>
      </w:r>
    </w:p>
    <w:p>
      <w:pPr>
        <w:pStyle w:val="ListBullet"/>
        <w:spacing w:after="40"/>
      </w:pPr>
      <w:r>
        <w:t>业务流程统一遵循“发起/采集 -&gt; 校验 -&gt; 提交/处理 -&gt; 审批/同步 -&gt; 结果回写 -&gt; 留痕/通知”的流程骨架。</w:t>
      </w:r>
    </w:p>
    <w:p>
      <w:pPr>
        <w:pStyle w:val="ListBullet"/>
        <w:spacing w:after="40"/>
      </w:pPr>
      <w:r>
        <w:t>涉及统计、导出、同步、报表和预警生成的场景，采用异步任务和批处理机制降低接口阻塞风险。</w:t>
      </w:r>
    </w:p>
    <w:p>
      <w:pPr>
        <w:pStyle w:val="Heading2"/>
      </w:pPr>
      <w:r>
        <w:t>8. 权限与数据范围控制</w:t>
      </w:r>
    </w:p>
    <w:p>
      <w:pPr>
        <w:pStyle w:val="ListBullet"/>
        <w:spacing w:after="40"/>
      </w:pPr>
      <w:r>
        <w:t>统一接入组织、用户、角色和数据范围控制体系，按单位、项目、场地、车辆、合同等维度裁剪数据可见范围。</w:t>
      </w:r>
    </w:p>
    <w:p>
      <w:pPr>
        <w:pStyle w:val="ListBullet"/>
        <w:spacing w:after="40"/>
      </w:pPr>
      <w:r>
        <w:t>移动端、第三方接口和后台接口均需绑定独立的身份凭据和访问授权。</w:t>
      </w:r>
    </w:p>
    <w:p>
      <w:pPr>
        <w:pStyle w:val="Heading2"/>
      </w:pPr>
      <w:r>
        <w:t>9. 异常处理与补偿机制</w:t>
      </w:r>
    </w:p>
    <w:p>
      <w:pPr>
        <w:pStyle w:val="ListBullet"/>
        <w:spacing w:after="40"/>
      </w:pPr>
      <w:r>
        <w:t>关键接口统一返回错误码、错误信息、追踪编号和建议处理方式。</w:t>
      </w:r>
    </w:p>
    <w:p>
      <w:pPr>
        <w:pStyle w:val="ListBullet"/>
        <w:spacing w:after="40"/>
      </w:pPr>
      <w:r>
        <w:t>异步任务支持失败重试、批次追踪、人工补录、对账补偿和回滚控制。</w:t>
      </w:r>
    </w:p>
    <w:p>
      <w:pPr>
        <w:pStyle w:val="Heading2"/>
      </w:pPr>
      <w:r>
        <w:t>10. 日志审计与追溯要求</w:t>
      </w:r>
    </w:p>
    <w:p>
      <w:pPr>
        <w:pStyle w:val="ListBullet"/>
        <w:spacing w:after="40"/>
      </w:pPr>
      <w:r>
        <w:t>记录接口访问日志、业务操作日志、审批日志、同步日志、错误日志和消息推送回执。</w:t>
      </w:r>
    </w:p>
    <w:p>
      <w:pPr>
        <w:pStyle w:val="ListBullet"/>
        <w:spacing w:after="40"/>
      </w:pPr>
      <w:r>
        <w:t>关键业务对象支持按单号、主键、批次号、外部编码追溯全链路处理过程。</w:t>
      </w:r>
    </w:p>
    <w:p>
      <w:pPr>
        <w:pStyle w:val="Heading2"/>
      </w:pPr>
      <w:r>
        <w:t>11. 与第三方或其他模块协同方式</w:t>
      </w:r>
    </w:p>
    <w:p>
      <w:pPr>
        <w:pStyle w:val="ListBullet"/>
        <w:spacing w:after="40"/>
      </w:pPr>
      <w:r>
        <w:t>与组织权限体系协同实现统一身份和数据授权。</w:t>
      </w:r>
    </w:p>
    <w:p>
      <w:pPr>
        <w:pStyle w:val="ListBullet"/>
        <w:spacing w:after="40"/>
      </w:pPr>
      <w:r>
        <w:t>与审批配置、消息中心、日志中心协同实现流程驱动、消息触达和可审计治理。</w:t>
      </w:r>
    </w:p>
    <w:p>
      <w:pPr>
        <w:pStyle w:val="ListBullet"/>
        <w:spacing w:after="40"/>
      </w:pPr>
      <w:r>
        <w:t>与平台对接、小程序、统计分析、数据看板协同实现跨平台数据共享和能力复用。</w:t>
      </w:r>
    </w:p>
    <w:p>
      <w:pPr>
        <w:pStyle w:val="Heading2"/>
      </w:pPr>
      <w:r>
        <w:t>12. 性能与扩展性要求</w:t>
      </w:r>
    </w:p>
    <w:p>
      <w:pPr>
        <w:pStyle w:val="ListBullet"/>
        <w:spacing w:after="40"/>
      </w:pPr>
      <w:r>
        <w:t>列表和报表需支持分页、条件索引、聚合优化和异步导出。</w:t>
      </w:r>
    </w:p>
    <w:p>
      <w:pPr>
        <w:pStyle w:val="ListBullet"/>
        <w:spacing w:after="40"/>
      </w:pPr>
      <w:r>
        <w:t>地图、轨迹、视频、地磅、同步日志等大体量数据建议分表、归档或采用冷热分层策略。</w:t>
      </w:r>
    </w:p>
    <w:p>
      <w:pPr>
        <w:pStyle w:val="Heading2"/>
      </w:pPr>
      <w:r>
        <w:t>13. 本模块交付说明</w:t>
      </w:r>
    </w:p>
    <w:p>
      <w:pPr>
        <w:spacing w:after="120"/>
      </w:pPr>
      <w:r>
        <w:t>小程序模块应作为独立可交付能力建设，既满足甲方当前招标要求，也为后续扩展第三方对接、移动端深化、规则引擎和经营分析能力保留扩展接口。</w:t>
      </w:r>
    </w:p>
    <w:p>
      <w:pPr>
        <w:sectPr>
          <w:pgSz w:w="12240" w:h="15840"/>
          <w:pgMar w:top="1440" w:right="1587" w:bottom="1440" w:left="1587" w:header="720" w:footer="720" w:gutter="0"/>
          <w:cols w:space="720"/>
          <w:docGrid w:linePitch="360"/>
        </w:sectPr>
      </w:pPr>
    </w:p>
    <w:p>
      <w:pPr>
        <w:pStyle w:val="Heading1"/>
      </w:pPr>
      <w:r>
        <w:t>安全管理技术方案</w:t>
      </w:r>
    </w:p>
    <w:p>
      <w:pPr>
        <w:pStyle w:val="Heading2"/>
      </w:pPr>
      <w:r>
        <w:t>1. 模块建设目标</w:t>
      </w:r>
    </w:p>
    <w:p>
      <w:pPr>
        <w:spacing w:after="120"/>
      </w:pPr>
      <w:r>
        <w:t>建立人员和车辆安全台账、检查、整改和监管报表体系。</w:t>
      </w:r>
    </w:p>
    <w:p>
      <w:pPr>
        <w:pStyle w:val="Heading2"/>
      </w:pPr>
      <w:r>
        <w:t>2. 模块技术范围</w:t>
      </w:r>
    </w:p>
    <w:p>
      <w:pPr>
        <w:spacing w:after="120"/>
      </w:pPr>
      <w:r>
        <w:t>安全管理模块技术范围覆盖前端页面、后台接口、业务服务、数据模型、审批联动、消息通知、日志审计、导入导出、移动端或第三方对接等能力。</w:t>
      </w:r>
    </w:p>
    <w:p>
      <w:pPr>
        <w:pStyle w:val="Heading2"/>
      </w:pPr>
      <w:r>
        <w:t>3. 总体能力设计</w:t>
      </w:r>
    </w:p>
    <w:p>
      <w:pPr>
        <w:spacing w:after="120"/>
      </w:pPr>
      <w:r>
        <w:t>安全管理模块聚焦生产安全和运输安全，通过台账、检查、整改闭环和培训联动支撑主管部门和企业内部管理要求。技术上采用统一前后端分层架构，前端负责界面编排与交互约束，后端负责业务校验、流程编排、数据存储、异步任务和接口开放。</w:t>
      </w:r>
    </w:p>
    <w:p>
      <w:pPr>
        <w:pStyle w:val="Heading2"/>
      </w:pPr>
      <w:r>
        <w:t>4. 功能点技术实现方案</w:t>
      </w:r>
    </w:p>
    <w:p>
      <w:pPr>
        <w:pStyle w:val="Heading3"/>
      </w:pPr>
      <w:r>
        <w:t>4.1 人员安全管理</w:t>
      </w:r>
    </w:p>
    <w:p>
      <w:pPr>
        <w:spacing w:after="120"/>
      </w:pPr>
      <w:r>
        <w:t>目标能力 建设“人员安全管理”的标准化服务能力，满足各消纳场所管理人员及专职渣土车运输司机、后勤管理人员的日常生产安全台账。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安全管理员、场地安全员、车队安全员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/api/safety：承载“人员安全管理”相关的查询、提交、处理或结果获取能力。</w:t>
      </w:r>
    </w:p>
    <w:p>
      <w:pPr>
        <w:pStyle w:val="ListBullet"/>
        <w:spacing w:after="40"/>
      </w:pPr>
      <w:r>
        <w:t>GET /api/safety/{id}：承载“人员安全管理”相关的查询、提交、处理或结果获取能力。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4.2 车辆安全管理</w:t>
      </w:r>
    </w:p>
    <w:p>
      <w:pPr>
        <w:spacing w:after="120"/>
      </w:pPr>
      <w:r>
        <w:t>目标能力 建设“车辆安全管理”的标准化服务能力，满足车辆所属单位车辆（含租赁车辆）的运营安全日志及台账（符合杭州市交运主管部门的管理需求）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安全管理员、场地安全员、车队安全员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/api/safety：承载“车辆安全管理”相关的查询、提交、处理或结果获取能力。</w:t>
      </w:r>
    </w:p>
    <w:p>
      <w:pPr>
        <w:pStyle w:val="ListBullet"/>
        <w:spacing w:after="40"/>
      </w:pPr>
      <w:r>
        <w:t>GET /api/safety/{id}：承载“车辆安全管理”相关的查询、提交、处理或结果获取能力。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2"/>
      </w:pPr>
      <w:r>
        <w:t>5. 核心数据对象设计</w:t>
      </w:r>
    </w:p>
    <w:p>
      <w:pPr>
        <w:pStyle w:val="ListBullet"/>
        <w:spacing w:after="40"/>
      </w:pPr>
      <w:r>
        <w:t>安全台账 SafetyLedger</w:t>
      </w:r>
    </w:p>
    <w:p>
      <w:pPr>
        <w:pStyle w:val="ListBullet"/>
        <w:spacing w:after="40"/>
      </w:pPr>
      <w:r>
        <w:t>安全检查记录 SafetyInspection</w:t>
      </w:r>
    </w:p>
    <w:p>
      <w:pPr>
        <w:pStyle w:val="ListBullet"/>
        <w:spacing w:after="40"/>
      </w:pPr>
      <w:r>
        <w:t>整改任务 RectificationTask</w:t>
      </w:r>
    </w:p>
    <w:p>
      <w:pPr>
        <w:pStyle w:val="Heading2"/>
      </w:pPr>
      <w:r>
        <w:t>6. 业务接口设计</w:t>
      </w:r>
    </w:p>
    <w:p>
      <w:pPr>
        <w:pStyle w:val="ListBullet"/>
        <w:spacing w:after="40"/>
      </w:pPr>
      <w:r>
        <w:t>统一接口前缀建议采用 /api/safety 或对应移动端、专项前缀，实现前后端接口分层清晰。</w:t>
      </w:r>
    </w:p>
    <w:p>
      <w:pPr>
        <w:pStyle w:val="ListBullet"/>
        <w:spacing w:after="40"/>
      </w:pPr>
      <w:r>
        <w:t>查询类接口支持分页、排序、条件过滤、字典翻译和状态聚合。</w:t>
      </w:r>
    </w:p>
    <w:p>
      <w:pPr>
        <w:pStyle w:val="ListBullet"/>
        <w:spacing w:after="40"/>
      </w:pPr>
      <w:r>
        <w:t>变更类接口支持幂等控制、状态校验、附件提交、审批提交流程和消息触发。</w:t>
      </w:r>
    </w:p>
    <w:p>
      <w:pPr>
        <w:pStyle w:val="Heading2"/>
      </w:pPr>
      <w:r>
        <w:t>7. 业务流程设计</w:t>
      </w:r>
    </w:p>
    <w:p>
      <w:pPr>
        <w:pStyle w:val="ListBullet"/>
        <w:spacing w:after="40"/>
      </w:pPr>
      <w:r>
        <w:t>业务流程统一遵循“发起/采集 -&gt; 校验 -&gt; 提交/处理 -&gt; 审批/同步 -&gt; 结果回写 -&gt; 留痕/通知”的流程骨架。</w:t>
      </w:r>
    </w:p>
    <w:p>
      <w:pPr>
        <w:pStyle w:val="ListBullet"/>
        <w:spacing w:after="40"/>
      </w:pPr>
      <w:r>
        <w:t>涉及统计、导出、同步、报表和预警生成的场景，采用异步任务和批处理机制降低接口阻塞风险。</w:t>
      </w:r>
    </w:p>
    <w:p>
      <w:pPr>
        <w:pStyle w:val="Heading2"/>
      </w:pPr>
      <w:r>
        <w:t>8. 权限与数据范围控制</w:t>
      </w:r>
    </w:p>
    <w:p>
      <w:pPr>
        <w:pStyle w:val="ListBullet"/>
        <w:spacing w:after="40"/>
      </w:pPr>
      <w:r>
        <w:t>统一接入组织、用户、角色和数据范围控制体系，按单位、项目、场地、车辆、合同等维度裁剪数据可见范围。</w:t>
      </w:r>
    </w:p>
    <w:p>
      <w:pPr>
        <w:pStyle w:val="ListBullet"/>
        <w:spacing w:after="40"/>
      </w:pPr>
      <w:r>
        <w:t>移动端、第三方接口和后台接口均需绑定独立的身份凭据和访问授权。</w:t>
      </w:r>
    </w:p>
    <w:p>
      <w:pPr>
        <w:pStyle w:val="Heading2"/>
      </w:pPr>
      <w:r>
        <w:t>9. 异常处理与补偿机制</w:t>
      </w:r>
    </w:p>
    <w:p>
      <w:pPr>
        <w:pStyle w:val="ListBullet"/>
        <w:spacing w:after="40"/>
      </w:pPr>
      <w:r>
        <w:t>关键接口统一返回错误码、错误信息、追踪编号和建议处理方式。</w:t>
      </w:r>
    </w:p>
    <w:p>
      <w:pPr>
        <w:pStyle w:val="ListBullet"/>
        <w:spacing w:after="40"/>
      </w:pPr>
      <w:r>
        <w:t>异步任务支持失败重试、批次追踪、人工补录、对账补偿和回滚控制。</w:t>
      </w:r>
    </w:p>
    <w:p>
      <w:pPr>
        <w:pStyle w:val="Heading2"/>
      </w:pPr>
      <w:r>
        <w:t>10. 日志审计与追溯要求</w:t>
      </w:r>
    </w:p>
    <w:p>
      <w:pPr>
        <w:pStyle w:val="ListBullet"/>
        <w:spacing w:after="40"/>
      </w:pPr>
      <w:r>
        <w:t>记录接口访问日志、业务操作日志、审批日志、同步日志、错误日志和消息推送回执。</w:t>
      </w:r>
    </w:p>
    <w:p>
      <w:pPr>
        <w:pStyle w:val="ListBullet"/>
        <w:spacing w:after="40"/>
      </w:pPr>
      <w:r>
        <w:t>关键业务对象支持按单号、主键、批次号、外部编码追溯全链路处理过程。</w:t>
      </w:r>
    </w:p>
    <w:p>
      <w:pPr>
        <w:pStyle w:val="Heading2"/>
      </w:pPr>
      <w:r>
        <w:t>11. 与第三方或其他模块协同方式</w:t>
      </w:r>
    </w:p>
    <w:p>
      <w:pPr>
        <w:pStyle w:val="ListBullet"/>
        <w:spacing w:after="40"/>
      </w:pPr>
      <w:r>
        <w:t>与组织权限体系协同实现统一身份和数据授权。</w:t>
      </w:r>
    </w:p>
    <w:p>
      <w:pPr>
        <w:pStyle w:val="ListBullet"/>
        <w:spacing w:after="40"/>
      </w:pPr>
      <w:r>
        <w:t>与审批配置、消息中心、日志中心协同实现流程驱动、消息触达和可审计治理。</w:t>
      </w:r>
    </w:p>
    <w:p>
      <w:pPr>
        <w:pStyle w:val="ListBullet"/>
        <w:spacing w:after="40"/>
      </w:pPr>
      <w:r>
        <w:t>与平台对接、小程序、统计分析、数据看板协同实现跨平台数据共享和能力复用。</w:t>
      </w:r>
    </w:p>
    <w:p>
      <w:pPr>
        <w:pStyle w:val="Heading2"/>
      </w:pPr>
      <w:r>
        <w:t>12. 性能与扩展性要求</w:t>
      </w:r>
    </w:p>
    <w:p>
      <w:pPr>
        <w:pStyle w:val="ListBullet"/>
        <w:spacing w:after="40"/>
      </w:pPr>
      <w:r>
        <w:t>列表和报表需支持分页、条件索引、聚合优化和异步导出。</w:t>
      </w:r>
    </w:p>
    <w:p>
      <w:pPr>
        <w:pStyle w:val="ListBullet"/>
        <w:spacing w:after="40"/>
      </w:pPr>
      <w:r>
        <w:t>地图、轨迹、视频、地磅、同步日志等大体量数据建议分表、归档或采用冷热分层策略。</w:t>
      </w:r>
    </w:p>
    <w:p>
      <w:pPr>
        <w:pStyle w:val="Heading2"/>
      </w:pPr>
      <w:r>
        <w:t>13. 本模块交付说明</w:t>
      </w:r>
    </w:p>
    <w:p>
      <w:pPr>
        <w:spacing w:after="120"/>
      </w:pPr>
      <w:r>
        <w:t>安全管理模块应作为独立可交付能力建设，既满足甲方当前招标要求，也为后续扩展第三方对接、移动端深化、规则引擎和经营分析能力保留扩展接口。</w:t>
      </w:r>
    </w:p>
    <w:p>
      <w:pPr>
        <w:sectPr>
          <w:pgSz w:w="12240" w:h="15840"/>
          <w:pgMar w:top="1440" w:right="1587" w:bottom="1440" w:left="1587" w:header="720" w:footer="720" w:gutter="0"/>
          <w:cols w:space="720"/>
          <w:docGrid w:linePitch="360"/>
        </w:sectPr>
      </w:pPr>
    </w:p>
    <w:p>
      <w:pPr>
        <w:pStyle w:val="Heading1"/>
      </w:pPr>
      <w:r>
        <w:t>车辆管理技术方案</w:t>
      </w:r>
    </w:p>
    <w:p>
      <w:pPr>
        <w:pStyle w:val="Heading2"/>
      </w:pPr>
      <w:r>
        <w:t>1. 模块建设目标</w:t>
      </w:r>
    </w:p>
    <w:p>
      <w:pPr>
        <w:spacing w:after="120"/>
      </w:pPr>
      <w:r>
        <w:t>建立覆盖车辆、维修、维保、保险、调度、油卡、人证、财务和报表的车队运营体系。</w:t>
      </w:r>
    </w:p>
    <w:p>
      <w:pPr>
        <w:pStyle w:val="Heading2"/>
      </w:pPr>
      <w:r>
        <w:t>2. 模块技术范围</w:t>
      </w:r>
    </w:p>
    <w:p>
      <w:pPr>
        <w:spacing w:after="120"/>
      </w:pPr>
      <w:r>
        <w:t>车辆管理模块技术范围覆盖前端页面、后台接口、业务服务、数据模型、审批联动、消息通知、日志审计、导入导出、移动端或第三方对接等能力。</w:t>
      </w:r>
    </w:p>
    <w:p>
      <w:pPr>
        <w:pStyle w:val="Heading2"/>
      </w:pPr>
      <w:r>
        <w:t>3. 总体能力设计</w:t>
      </w:r>
    </w:p>
    <w:p>
      <w:pPr>
        <w:spacing w:after="120"/>
      </w:pPr>
      <w:r>
        <w:t>车辆管理模块是平台运输侧经营管理中心，需要同时满足车辆全生命周期档案管理、调度管理、成本管理和安全管理要求。技术上采用统一前后端分层架构，前端负责界面编排与交互约束，后端负责业务校验、流程编排、数据存储、异步任务和接口开放。</w:t>
      </w:r>
    </w:p>
    <w:p>
      <w:pPr>
        <w:pStyle w:val="Heading2"/>
      </w:pPr>
      <w:r>
        <w:t>4. 功能点技术实现方案</w:t>
      </w:r>
    </w:p>
    <w:p>
      <w:pPr>
        <w:pStyle w:val="Heading3"/>
      </w:pPr>
      <w:r>
        <w:t>4.1 车辆信息</w:t>
      </w:r>
    </w:p>
    <w:p>
      <w:pPr>
        <w:spacing w:after="120"/>
      </w:pPr>
      <w:r>
        <w:t>目标能力 建设“车辆信息”的标准化服务能力，满足车辆类别（油车/电车）、品牌、型号、参数、轴数、自重、载重等所有车辆相关信息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车队管理员、机务管理员、调度员、财务人员、驾驶员管理人员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/api/vehicles：承载“车辆信息”相关的查询、提交、处理或结果获取能力。</w:t>
      </w:r>
    </w:p>
    <w:p>
      <w:pPr>
        <w:pStyle w:val="ListBullet"/>
        <w:spacing w:after="40"/>
      </w:pPr>
      <w:r>
        <w:t>GET /api/vehicles/{id}：承载“车辆信息”相关的查询、提交、处理或结果获取能力。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4.2 保险管理</w:t>
      </w:r>
    </w:p>
    <w:p>
      <w:pPr>
        <w:spacing w:after="120"/>
      </w:pPr>
      <w:r>
        <w:t>目标能力 建设“保险管理”的标准化服务能力，满足管理公司所有车辆（含租赁）保险信息（如承保单位，险种等），保险金额、起止时间、出险赔付相关信息数据录入，汇总、查询分析，支持自定义时间保险到期预警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车队管理员、机务管理员、调度员、财务人员、驾驶员管理人员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/api/vehicles：承载“保险管理”相关的查询、提交、处理或结果获取能力。</w:t>
      </w:r>
    </w:p>
    <w:p>
      <w:pPr>
        <w:pStyle w:val="ListBullet"/>
        <w:spacing w:after="40"/>
      </w:pPr>
      <w:r>
        <w:t>GET /api/vehicles/{id}：承载“保险管理”相关的查询、提交、处理或结果获取能力。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4.3 维修管理</w:t>
      </w:r>
    </w:p>
    <w:p>
      <w:pPr>
        <w:spacing w:after="120"/>
      </w:pPr>
      <w:r>
        <w:t>目标能力 建设“维修管理”的标准化服务能力，满足所有公司名下的车辆维修维护保养情况统计，日常车辆机务管理，定点维修企业信息统计等，相关费用登记汇总查询。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车队管理员、机务管理员、调度员、财务人员、驾驶员管理人员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/api/vehicles：承载“维修管理”相关的查询、提交、处理或结果获取能力。</w:t>
      </w:r>
    </w:p>
    <w:p>
      <w:pPr>
        <w:pStyle w:val="ListBullet"/>
        <w:spacing w:after="40"/>
      </w:pPr>
      <w:r>
        <w:t>GET /api/vehicles/{id}：承载“维修管理”相关的查询、提交、处理或结果获取能力。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4.4 维保计划</w:t>
      </w:r>
    </w:p>
    <w:p>
      <w:pPr>
        <w:spacing w:after="120"/>
      </w:pPr>
      <w:r>
        <w:t>目标能力 建设“维保计划”的标准化服务能力，满足管理人员根据车辆维保记录，制订车辆的维保计划，主要功能为维保计划的新增、修改、删除、维保登记、导出、查看历史维保记录等。支持自定义日月年维保到期预警提示。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车队管理员、机务管理员、调度员、财务人员、驾驶员管理人员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/api/vehicles：承载“维保计划”相关的查询、提交、处理或结果获取能力。</w:t>
      </w:r>
    </w:p>
    <w:p>
      <w:pPr>
        <w:pStyle w:val="ListBullet"/>
        <w:spacing w:after="40"/>
      </w:pPr>
      <w:r>
        <w:t>POST /api/vehicles：承载“维保计划”相关的查询、提交、处理或结果获取能力。</w:t>
      </w:r>
    </w:p>
    <w:p>
      <w:pPr>
        <w:pStyle w:val="ListBullet"/>
        <w:spacing w:after="40"/>
      </w:pPr>
      <w:r>
        <w:t>PUT /api/vehicles/{id}：承载“维保计划”相关的查询、提交、处理或结果获取能力。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4.5 维保信息录入</w:t>
      </w:r>
    </w:p>
    <w:p>
      <w:pPr>
        <w:spacing w:after="120"/>
      </w:pPr>
      <w:r>
        <w:t>目标能力 建设“维保信息录入”的标准化服务能力，满足全面记录车辆维修保养过程中的关键信息，确保维修过程透明、高效，并为后续保养及故障排查提供有力依据。该登记表内容需详尽，结构清晰，覆盖车辆基本信息、维修情况、维保项目、费用明细及维修人员签字等多个方面。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车队管理员、机务管理员、调度员、财务人员、驾驶员管理人员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/api/vehicles：承载“维保信息录入”相关的查询、提交、处理或结果获取能力。</w:t>
      </w:r>
    </w:p>
    <w:p>
      <w:pPr>
        <w:pStyle w:val="ListBullet"/>
        <w:spacing w:after="40"/>
      </w:pPr>
      <w:r>
        <w:t>GET /api/vehicles/{id}：承载“维保信息录入”相关的查询、提交、处理或结果获取能力。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4.6 维修申请</w:t>
      </w:r>
    </w:p>
    <w:p>
      <w:pPr>
        <w:spacing w:after="120"/>
      </w:pPr>
      <w:r>
        <w:t>目标能力 建设“维修申请”的标准化服务能力，满足车辆维护人员根据车辆使用情况（里程、年限）做出车辆维修申请计划。具有提出申请、修改、删除、导出、查询等功能。主要信息包括车牌号、车型、购置日期、行驶里程、维修原因、维修内容、费用预算、紧急程度、申请人、申请日期、审核状态等。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车队管理员、机务管理员、调度员、财务人员、驾驶员管理人员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POST /api/vehicles：承载“维修申请”相关的查询、提交、处理或结果获取能力。</w:t>
      </w:r>
    </w:p>
    <w:p>
      <w:pPr>
        <w:pStyle w:val="ListBullet"/>
        <w:spacing w:after="40"/>
      </w:pPr>
      <w:r>
        <w:t>POST /api/vehicles/{id}/submit：承载“维修申请”相关的查询、提交、处理或结果获取能力。</w:t>
      </w:r>
    </w:p>
    <w:p>
      <w:pPr>
        <w:pStyle w:val="ListBullet"/>
        <w:spacing w:after="40"/>
      </w:pPr>
      <w:r>
        <w:t>GET /api/vehicles/{id}：承载“维修申请”相关的查询、提交、处理或结果获取能力。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4.7 维修审批</w:t>
      </w:r>
    </w:p>
    <w:p>
      <w:pPr>
        <w:spacing w:after="120"/>
      </w:pPr>
      <w:r>
        <w:t>目标能力 建设“维修审批”的标准化服务能力，满足管理人员对提交的车辆维修申请，根据车辆实际情况，进行审批。具有审核、驳回、查询、导出等功能。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车队管理员、机务管理员、调度员、财务人员、驾驶员管理人员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POST /api/vehicles/{id}/submit：承载“维修审批”相关的查询、提交、处理或结果获取能力。</w:t>
      </w:r>
    </w:p>
    <w:p>
      <w:pPr>
        <w:pStyle w:val="ListBullet"/>
        <w:spacing w:after="40"/>
      </w:pPr>
      <w:r>
        <w:t>POST /api/vehicles/{id}/approve：承载“维修审批”相关的查询、提交、处理或结果获取能力。</w:t>
      </w:r>
    </w:p>
    <w:p>
      <w:pPr>
        <w:pStyle w:val="ListBullet"/>
        <w:spacing w:after="40"/>
      </w:pPr>
      <w:r>
        <w:t>POST /api/vehicles/{id}/reject：承载“维修审批”相关的查询、提交、处理或结果获取能力。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4.8 车型管理</w:t>
      </w:r>
    </w:p>
    <w:p>
      <w:pPr>
        <w:spacing w:after="120"/>
      </w:pPr>
      <w:r>
        <w:t>目标能力 建设“车型管理”的标准化服务能力，满足对车辆的车型分类管理，形成车型字典库。主要功能有新增、修改、删除等功能。主要信息包括品牌、车型、限乘人数、载重数等。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车队管理员、机务管理员、调度员、财务人员、驾驶员管理人员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/api/vehicles：承载“车型管理”相关的查询、提交、处理或结果获取能力。</w:t>
      </w:r>
    </w:p>
    <w:p>
      <w:pPr>
        <w:pStyle w:val="ListBullet"/>
        <w:spacing w:after="40"/>
      </w:pPr>
      <w:r>
        <w:t>GET /api/vehicles/{id}：承载“车型管理”相关的查询、提交、处理或结果获取能力。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4.9 车辆信息维护</w:t>
      </w:r>
    </w:p>
    <w:p>
      <w:pPr>
        <w:spacing w:after="120"/>
      </w:pPr>
      <w:r>
        <w:t>目标能力 建设“车辆信息维护”的标准化服务能力，满足管理人员维护车辆的基础信息，主要功能有新增、修改、删除等。的业务目标，并为后续审批、预警、统计、移动端和第三方联动提供统一接口支撑。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车队管理员、机务管理员、调度员、财务人员、驾驶员管理人员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/api/vehicles：承载“车辆信息维护”相关的查询、提交、处理或结果获取能力。</w:t>
      </w:r>
    </w:p>
    <w:p>
      <w:pPr>
        <w:pStyle w:val="ListBullet"/>
        <w:spacing w:after="40"/>
      </w:pPr>
      <w:r>
        <w:t>GET /api/vehicles/{id}：承载“车辆信息维护”相关的查询、提交、处理或结果获取能力。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4.10 车队信息查询</w:t>
      </w:r>
    </w:p>
    <w:p>
      <w:pPr>
        <w:spacing w:after="120"/>
      </w:pPr>
      <w:r>
        <w:t>目标能力 建设“车队信息查询”的标准化服务能力，满足分区块直观展示各车队的信息，包括车队名、队长、司机及状态，并可快捷填写出勤和排班信息。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车队管理员、机务管理员、调度员、财务人员、驾驶员管理人员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/api/vehicles：承载“车队信息查询”相关的查询、提交、处理或结果获取能力。</w:t>
      </w:r>
    </w:p>
    <w:p>
      <w:pPr>
        <w:pStyle w:val="ListBullet"/>
        <w:spacing w:after="40"/>
      </w:pPr>
      <w:r>
        <w:t>GET /api/vehicles/{id}：承载“车队信息查询”相关的查询、提交、处理或结果获取能力。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4.11 车队信息维护</w:t>
      </w:r>
    </w:p>
    <w:p>
      <w:pPr>
        <w:spacing w:after="120"/>
      </w:pPr>
      <w:r>
        <w:t>目标能力 建设“车队信息维护”的标准化服务能力，满足对车队以及司机信息维护管理，主要功能有录入、修改、删除、查看等操作。的业务目标，并为后续审批、预警、统计、移动端和第三方联动提供统一接口支撑。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车队管理员、机务管理员、调度员、财务人员、驾驶员管理人员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/api/vehicles：承载“车队信息维护”相关的查询、提交、处理或结果获取能力。</w:t>
      </w:r>
    </w:p>
    <w:p>
      <w:pPr>
        <w:pStyle w:val="ListBullet"/>
        <w:spacing w:after="40"/>
      </w:pPr>
      <w:r>
        <w:t>GET /api/vehicles/{id}：承载“车队信息维护”相关的查询、提交、处理或结果获取能力。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4.12 运输计划</w:t>
      </w:r>
    </w:p>
    <w:p>
      <w:pPr>
        <w:spacing w:after="120"/>
      </w:pPr>
      <w:r>
        <w:t>目标能力 建设“运输计划”的标准化服务能力，满足制定车队运输计划，主要功能为运输计划的新增、修改、删除、导出、查看采购计划和物资运输计划等功能。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车队管理员、机务管理员、调度员、财务人员、驾驶员管理人员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/api/vehicles：承载“运输计划”相关的查询、提交、处理或结果获取能力。</w:t>
      </w:r>
    </w:p>
    <w:p>
      <w:pPr>
        <w:pStyle w:val="ListBullet"/>
        <w:spacing w:after="40"/>
      </w:pPr>
      <w:r>
        <w:t>POST /api/vehicles：承载“运输计划”相关的查询、提交、处理或结果获取能力。</w:t>
      </w:r>
    </w:p>
    <w:p>
      <w:pPr>
        <w:pStyle w:val="ListBullet"/>
        <w:spacing w:after="40"/>
      </w:pPr>
      <w:r>
        <w:t>PUT /api/vehicles/{id}：承载“运输计划”相关的查询、提交、处理或结果获取能力。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4.13 车队调度申请</w:t>
      </w:r>
    </w:p>
    <w:p>
      <w:pPr>
        <w:spacing w:after="120"/>
      </w:pPr>
      <w:r>
        <w:t>目标能力 建设“车队调度申请”的标准化服务能力，满足根据车队运输计划，调度人员申请车队调拨。调度人员根据运输计划，提前进行车队调拨申请。主要功能有提出申请、修改、删除、导出、查询等功能。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车队管理员、机务管理员、调度员、财务人员、驾驶员管理人员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POST /api/vehicles：承载“车队调度申请”相关的查询、提交、处理或结果获取能力。</w:t>
      </w:r>
    </w:p>
    <w:p>
      <w:pPr>
        <w:pStyle w:val="ListBullet"/>
        <w:spacing w:after="40"/>
      </w:pPr>
      <w:r>
        <w:t>POST /api/vehicles/{id}/submit：承载“车队调度申请”相关的查询、提交、处理或结果获取能力。</w:t>
      </w:r>
    </w:p>
    <w:p>
      <w:pPr>
        <w:pStyle w:val="ListBullet"/>
        <w:spacing w:after="40"/>
      </w:pPr>
      <w:r>
        <w:t>GET /api/vehicles/{id}：承载“车队调度申请”相关的查询、提交、处理或结果获取能力。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4.14 车队调度审批</w:t>
      </w:r>
    </w:p>
    <w:p>
      <w:pPr>
        <w:spacing w:after="120"/>
      </w:pPr>
      <w:r>
        <w:t>目标能力 建设“车队调度审批”的标准化服务能力，满足管理人员对提交的车队调拨申请，根据实际需求，进行审批。具有审核、驳回、查询、导出等功能。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车队管理员、机务管理员、调度员、财务人员、驾驶员管理人员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POST /api/vehicles/{id}/submit：承载“车队调度审批”相关的查询、提交、处理或结果获取能力。</w:t>
      </w:r>
    </w:p>
    <w:p>
      <w:pPr>
        <w:pStyle w:val="ListBullet"/>
        <w:spacing w:after="40"/>
      </w:pPr>
      <w:r>
        <w:t>POST /api/vehicles/{id}/approve：承载“车队调度审批”相关的查询、提交、处理或结果获取能力。</w:t>
      </w:r>
    </w:p>
    <w:p>
      <w:pPr>
        <w:pStyle w:val="ListBullet"/>
        <w:spacing w:after="40"/>
      </w:pPr>
      <w:r>
        <w:t>POST /api/vehicles/{id}/reject：承载“车队调度审批”相关的查询、提交、处理或结果获取能力。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4.15 油（电）卡管理</w:t>
      </w:r>
    </w:p>
    <w:p>
      <w:pPr>
        <w:spacing w:after="120"/>
      </w:pPr>
      <w:r>
        <w:t>目标能力 建设“油（电）卡管理”的标准化服务能力，满足管理人员对油（电）卡实现统一管理，配属到车辆，进行一车一卡管理。主要功能有新增、修改、删除、余额统计、用油确认、查看等记录、统计功能。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车队管理员、机务管理员、调度员、财务人员、驾驶员管理人员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/api/vehicles：承载“油（电）卡管理”相关的查询、提交、处理或结果获取能力。</w:t>
      </w:r>
    </w:p>
    <w:p>
      <w:pPr>
        <w:pStyle w:val="ListBullet"/>
        <w:spacing w:after="40"/>
      </w:pPr>
      <w:r>
        <w:t>GET /api/vehicles/{id}：承载“油（电）卡管理”相关的查询、提交、处理或结果获取能力。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4.16 人证管理</w:t>
      </w:r>
    </w:p>
    <w:p>
      <w:pPr>
        <w:spacing w:after="120"/>
      </w:pPr>
      <w:r>
        <w:t>目标能力 建设“人证管理”的标准化服务能力，满足相关人员的信息管理（人员信息、驾驶证、营运证）及相关费用管理。的业务目标，并为后续审批、预警、统计、移动端和第三方联动提供统一接口支撑。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车队管理员、机务管理员、调度员、财务人员、驾驶员管理人员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/api/vehicles：承载“人证管理”相关的查询、提交、处理或结果获取能力。</w:t>
      </w:r>
    </w:p>
    <w:p>
      <w:pPr>
        <w:pStyle w:val="ListBullet"/>
        <w:spacing w:after="40"/>
      </w:pPr>
      <w:r>
        <w:t>GET /api/vehicles/{id}：承载“人证管理”相关的查询、提交、处理或结果获取能力。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4.17 财务管理</w:t>
      </w:r>
    </w:p>
    <w:p>
      <w:pPr>
        <w:spacing w:after="120"/>
      </w:pPr>
      <w:r>
        <w:t>目标能力 建设“财务管理”的标准化服务能力，满足根据运输合同管理相关合同款项的结算情况。的业务目标，并为后续审批、预警、统计、移动端和第三方联动提供统一接口支撑。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车队管理员、机务管理员、调度员、财务人员、驾驶员管理人员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/api/vehicles：承载“财务管理”相关的查询、提交、处理或结果获取能力。</w:t>
      </w:r>
    </w:p>
    <w:p>
      <w:pPr>
        <w:pStyle w:val="ListBullet"/>
        <w:spacing w:after="40"/>
      </w:pPr>
      <w:r>
        <w:t>GET /api/vehicles/{id}：承载“财务管理”相关的查询、提交、处理或结果获取能力。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3"/>
      </w:pPr>
      <w:r>
        <w:t>4.18 报表管理</w:t>
      </w:r>
    </w:p>
    <w:p>
      <w:pPr>
        <w:spacing w:after="120"/>
      </w:pPr>
      <w:r>
        <w:t>目标能力 建设“报表管理”的标准化服务能力，满足单车人员工资、成本、费用、利润报表，整体成本、费用利润报表。的业务目标，并为后续审批、预警、统计、移动端和第三方联动提供统一接口支撑。</w:t>
      </w:r>
    </w:p>
    <w:p>
      <w:pPr>
        <w:spacing w:after="120"/>
      </w:pPr>
      <w:r>
        <w:t>系统提供能力说明 系统需提供主数据维护、状态流转、日志留痕、接口开放、消息通知和统计汇总等能力，并支持按组织、项目、场地、车辆、合同等维度扩展查询范围。</w:t>
      </w:r>
    </w:p>
    <w:p>
      <w:pPr>
        <w:spacing w:after="120"/>
      </w:pPr>
      <w:r>
        <w:t>参与角色</w:t>
      </w:r>
    </w:p>
    <w:p>
      <w:pPr>
        <w:pStyle w:val="ListBullet"/>
        <w:spacing w:after="40"/>
      </w:pPr>
      <w:r>
        <w:t>车队管理员、机务管理员、调度员、财务人员、驾驶员管理人员</w:t>
      </w:r>
    </w:p>
    <w:p>
      <w:pPr>
        <w:spacing w:after="120"/>
      </w:pPr>
      <w:r>
        <w:t>前后端功能组成</w:t>
      </w:r>
    </w:p>
    <w:p>
      <w:pPr>
        <w:pStyle w:val="ListBullet"/>
        <w:spacing w:after="40"/>
      </w:pPr>
      <w:r>
        <w:t>前端：管理列表、详情抽屉、表单页签、流程时间线、导入导出弹窗、地图或图表视图。</w:t>
      </w:r>
    </w:p>
    <w:p>
      <w:pPr>
        <w:pStyle w:val="ListBullet"/>
        <w:spacing w:after="40"/>
      </w:pPr>
      <w:r>
        <w:t>后端：控制器接口、服务编排、规则校验、数据落库、异步任务、日志审计、消息触发。</w:t>
      </w:r>
    </w:p>
    <w:p>
      <w:pPr>
        <w:spacing w:after="120"/>
      </w:pPr>
      <w:r>
        <w:t>业务接口说明</w:t>
      </w:r>
    </w:p>
    <w:p>
      <w:pPr>
        <w:pStyle w:val="ListBullet"/>
        <w:spacing w:after="40"/>
      </w:pPr>
      <w:r>
        <w:t>GET /api/vehicles：承载“报表管理”相关的查询、提交、处理或结果获取能力。</w:t>
      </w:r>
    </w:p>
    <w:p>
      <w:pPr>
        <w:pStyle w:val="ListBullet"/>
        <w:spacing w:after="40"/>
      </w:pPr>
      <w:r>
        <w:t>GET /api/vehicles/{id}：承载“报表管理”相关的查询、提交、处理或结果获取能力。</w:t>
      </w:r>
    </w:p>
    <w:p>
      <w:pPr>
        <w:spacing w:after="120"/>
      </w:pPr>
      <w:r>
        <w:t>输入输出参数说明</w:t>
      </w:r>
    </w:p>
    <w:p>
      <w:pPr>
        <w:pStyle w:val="ListBullet"/>
        <w:spacing w:after="40"/>
      </w:pPr>
      <w:r>
        <w:t>输入：主业务对象编号、组织范围、时间范围、状态、关键业务参数、附件或现场信息。</w:t>
      </w:r>
    </w:p>
    <w:p>
      <w:pPr>
        <w:pStyle w:val="ListBullet"/>
        <w:spacing w:after="40"/>
      </w:pPr>
      <w:r>
        <w:t>输出：业务结果状态、结果数据明细、日志编号、流程节点信息、导出或下载结果。</w:t>
      </w:r>
    </w:p>
    <w:p>
      <w:pPr>
        <w:spacing w:after="120"/>
      </w:pPr>
      <w:r>
        <w:t>业务流程说明</w:t>
      </w:r>
    </w:p>
    <w:p>
      <w:pPr>
        <w:pStyle w:val="ListNumber"/>
        <w:spacing w:after="40"/>
      </w:pPr>
      <w:r>
        <w:t>前端页面或移动端提交业务请求，并携带当前用户、组织范围和业务参数。</w:t>
      </w:r>
    </w:p>
    <w:p>
      <w:pPr>
        <w:pStyle w:val="ListNumber"/>
        <w:spacing w:after="40"/>
      </w:pPr>
      <w:r>
        <w:t>接口层完成参数校验、权限校验、状态校验和幂等校验。</w:t>
      </w:r>
    </w:p>
    <w:p>
      <w:pPr>
        <w:pStyle w:val="ListNumber"/>
        <w:spacing w:after="40"/>
      </w:pPr>
      <w:r>
        <w:t>服务层执行业务规则计算、状态流转、关联对象更新和消息触发。</w:t>
      </w:r>
    </w:p>
    <w:p>
      <w:pPr>
        <w:pStyle w:val="ListNumber"/>
        <w:spacing w:after="40"/>
      </w:pPr>
      <w:r>
        <w:t>数据层完成主表、明细表、关联表、日志表和统计快照写入。</w:t>
      </w:r>
    </w:p>
    <w:p>
      <w:pPr>
        <w:pStyle w:val="ListNumber"/>
        <w:spacing w:after="40"/>
      </w:pPr>
      <w:r>
        <w:t>异步任务根据需要执行导出、同步、推送、回调、报表汇总或预警生成。</w:t>
      </w:r>
    </w:p>
    <w:p>
      <w:pPr>
        <w:spacing w:after="120"/>
      </w:pPr>
      <w:r>
        <w:t>数据存储与状态流转</w:t>
      </w:r>
    </w:p>
    <w:p>
      <w:pPr>
        <w:pStyle w:val="ListBullet"/>
        <w:spacing w:after="40"/>
      </w:pPr>
      <w:r>
        <w:t>主业务数据写入模块主表，明细、附件、流程、消息、日志分别写入关联表或扩展表。</w:t>
      </w:r>
    </w:p>
    <w:p>
      <w:pPr>
        <w:pStyle w:val="ListBullet"/>
        <w:spacing w:after="40"/>
      </w:pPr>
      <w:r>
        <w:t>状态流转需统一采用状态机控制，至少覆盖“草稿、已提交、处理中、已完成、已退回、已关闭/已作废”等状态组合中的适用状态。</w:t>
      </w:r>
    </w:p>
    <w:p>
      <w:pPr>
        <w:spacing w:after="120"/>
      </w:pPr>
      <w:r>
        <w:t>权限控制</w:t>
      </w:r>
    </w:p>
    <w:p>
      <w:pPr>
        <w:pStyle w:val="ListBullet"/>
        <w:spacing w:after="40"/>
      </w:pPr>
      <w:r>
        <w:t>接口级权限控制：按菜单、按钮、角色和组织范围控制访问。</w:t>
      </w:r>
    </w:p>
    <w:p>
      <w:pPr>
        <w:pStyle w:val="ListBullet"/>
        <w:spacing w:after="40"/>
      </w:pPr>
      <w:r>
        <w:t>数据级权限控制：按用户所属组织、授权场地、授权项目、授权车辆或合同范围过滤结果。</w:t>
      </w:r>
    </w:p>
    <w:p>
      <w:pPr>
        <w:spacing w:after="120"/>
      </w:pPr>
      <w:r>
        <w:t>异常处理机制</w:t>
      </w:r>
    </w:p>
    <w:p>
      <w:pPr>
        <w:pStyle w:val="ListBullet"/>
        <w:spacing w:after="40"/>
      </w:pPr>
      <w:r>
        <w:t>接口参数校验失败返回统一错误码与字段定位信息。</w:t>
      </w:r>
    </w:p>
    <w:p>
      <w:pPr>
        <w:pStyle w:val="ListBullet"/>
        <w:spacing w:after="40"/>
      </w:pPr>
      <w:r>
        <w:t>权限不足或数据越权时直接拒绝，并记录安全审计日志。</w:t>
      </w:r>
    </w:p>
    <w:p>
      <w:pPr>
        <w:pStyle w:val="ListBullet"/>
        <w:spacing w:after="40"/>
      </w:pPr>
      <w:r>
        <w:t>并发提交或重复处理时通过幂等键、状态机或唯一约束防止重复写入。</w:t>
      </w:r>
    </w:p>
    <w:p>
      <w:pPr>
        <w:spacing w:after="120"/>
      </w:pPr>
      <w:r>
        <w:t>日志与审计要求</w:t>
      </w:r>
    </w:p>
    <w:p>
      <w:pPr>
        <w:pStyle w:val="ListBullet"/>
        <w:spacing w:after="40"/>
      </w:pPr>
      <w:r>
        <w:t>记录请求来源、操作人、操作时间、关键参数、前后状态和处理结果。</w:t>
      </w:r>
    </w:p>
    <w:p>
      <w:pPr>
        <w:pStyle w:val="ListBullet"/>
        <w:spacing w:after="40"/>
      </w:pPr>
      <w:r>
        <w:t>涉及审批、推送、同步、导入导出、删除、解禁等动作时需保留完整审计链。</w:t>
      </w:r>
    </w:p>
    <w:p>
      <w:pPr>
        <w:spacing w:after="120"/>
      </w:pPr>
      <w:r>
        <w:t>可扩展设计</w:t>
      </w:r>
    </w:p>
    <w:p>
      <w:pPr>
        <w:pStyle w:val="ListBullet"/>
        <w:spacing w:after="40"/>
      </w:pPr>
      <w:r>
        <w:t>接口层预留版本控制、扩展字段和第三方回调适配能力。</w:t>
      </w:r>
    </w:p>
    <w:p>
      <w:pPr>
        <w:pStyle w:val="ListBullet"/>
        <w:spacing w:after="40"/>
      </w:pPr>
      <w:r>
        <w:t>数据层预留编码、来源平台、批次号、同步标识和外部对象编号等扩展字段。</w:t>
      </w:r>
    </w:p>
    <w:p>
      <w:pPr>
        <w:pStyle w:val="Heading2"/>
      </w:pPr>
      <w:r>
        <w:t>5. 核心数据对象设计</w:t>
      </w:r>
    </w:p>
    <w:p>
      <w:pPr>
        <w:pStyle w:val="ListBullet"/>
        <w:spacing w:after="40"/>
      </w:pPr>
      <w:r>
        <w:t>车辆主档 Vehicle</w:t>
      </w:r>
    </w:p>
    <w:p>
      <w:pPr>
        <w:pStyle w:val="ListBullet"/>
        <w:spacing w:after="40"/>
      </w:pPr>
      <w:r>
        <w:t>车辆保险 VehicleInsurance</w:t>
      </w:r>
    </w:p>
    <w:p>
      <w:pPr>
        <w:pStyle w:val="ListBullet"/>
        <w:spacing w:after="40"/>
      </w:pPr>
      <w:r>
        <w:t>维修申请 RepairRequest</w:t>
      </w:r>
    </w:p>
    <w:p>
      <w:pPr>
        <w:pStyle w:val="ListBullet"/>
        <w:spacing w:after="40"/>
      </w:pPr>
      <w:r>
        <w:t>维保计划 MaintenancePlan</w:t>
      </w:r>
    </w:p>
    <w:p>
      <w:pPr>
        <w:pStyle w:val="ListBullet"/>
        <w:spacing w:after="40"/>
      </w:pPr>
      <w:r>
        <w:t>车队档案 Fleet</w:t>
      </w:r>
    </w:p>
    <w:p>
      <w:pPr>
        <w:pStyle w:val="ListBullet"/>
        <w:spacing w:after="40"/>
      </w:pPr>
      <w:r>
        <w:t>调度申请 DispatchRequest</w:t>
      </w:r>
    </w:p>
    <w:p>
      <w:pPr>
        <w:pStyle w:val="ListBullet"/>
        <w:spacing w:after="40"/>
      </w:pPr>
      <w:r>
        <w:t>油电卡 FuelCard</w:t>
      </w:r>
    </w:p>
    <w:p>
      <w:pPr>
        <w:pStyle w:val="ListBullet"/>
        <w:spacing w:after="40"/>
      </w:pPr>
      <w:r>
        <w:t>人证台账 PersonnelCertificate</w:t>
      </w:r>
    </w:p>
    <w:p>
      <w:pPr>
        <w:pStyle w:val="Heading2"/>
      </w:pPr>
      <w:r>
        <w:t>6. 业务接口设计</w:t>
      </w:r>
    </w:p>
    <w:p>
      <w:pPr>
        <w:pStyle w:val="ListBullet"/>
        <w:spacing w:after="40"/>
      </w:pPr>
      <w:r>
        <w:t>统一接口前缀建议采用 /api/vehicles 或对应移动端、专项前缀，实现前后端接口分层清晰。</w:t>
      </w:r>
    </w:p>
    <w:p>
      <w:pPr>
        <w:pStyle w:val="ListBullet"/>
        <w:spacing w:after="40"/>
      </w:pPr>
      <w:r>
        <w:t>查询类接口支持分页、排序、条件过滤、字典翻译和状态聚合。</w:t>
      </w:r>
    </w:p>
    <w:p>
      <w:pPr>
        <w:pStyle w:val="ListBullet"/>
        <w:spacing w:after="40"/>
      </w:pPr>
      <w:r>
        <w:t>变更类接口支持幂等控制、状态校验、附件提交、审批提交流程和消息触发。</w:t>
      </w:r>
    </w:p>
    <w:p>
      <w:pPr>
        <w:pStyle w:val="Heading2"/>
      </w:pPr>
      <w:r>
        <w:t>7. 业务流程设计</w:t>
      </w:r>
    </w:p>
    <w:p>
      <w:pPr>
        <w:pStyle w:val="ListBullet"/>
        <w:spacing w:after="40"/>
      </w:pPr>
      <w:r>
        <w:t>业务流程统一遵循“发起/采集 -&gt; 校验 -&gt; 提交/处理 -&gt; 审批/同步 -&gt; 结果回写 -&gt; 留痕/通知”的流程骨架。</w:t>
      </w:r>
    </w:p>
    <w:p>
      <w:pPr>
        <w:pStyle w:val="ListBullet"/>
        <w:spacing w:after="40"/>
      </w:pPr>
      <w:r>
        <w:t>涉及统计、导出、同步、报表和预警生成的场景，采用异步任务和批处理机制降低接口阻塞风险。</w:t>
      </w:r>
    </w:p>
    <w:p>
      <w:pPr>
        <w:pStyle w:val="Heading2"/>
      </w:pPr>
      <w:r>
        <w:t>8. 权限与数据范围控制</w:t>
      </w:r>
    </w:p>
    <w:p>
      <w:pPr>
        <w:pStyle w:val="ListBullet"/>
        <w:spacing w:after="40"/>
      </w:pPr>
      <w:r>
        <w:t>统一接入组织、用户、角色和数据范围控制体系，按单位、项目、场地、车辆、合同等维度裁剪数据可见范围。</w:t>
      </w:r>
    </w:p>
    <w:p>
      <w:pPr>
        <w:pStyle w:val="ListBullet"/>
        <w:spacing w:after="40"/>
      </w:pPr>
      <w:r>
        <w:t>移动端、第三方接口和后台接口均需绑定独立的身份凭据和访问授权。</w:t>
      </w:r>
    </w:p>
    <w:p>
      <w:pPr>
        <w:pStyle w:val="Heading2"/>
      </w:pPr>
      <w:r>
        <w:t>9. 异常处理与补偿机制</w:t>
      </w:r>
    </w:p>
    <w:p>
      <w:pPr>
        <w:pStyle w:val="ListBullet"/>
        <w:spacing w:after="40"/>
      </w:pPr>
      <w:r>
        <w:t>关键接口统一返回错误码、错误信息、追踪编号和建议处理方式。</w:t>
      </w:r>
    </w:p>
    <w:p>
      <w:pPr>
        <w:pStyle w:val="ListBullet"/>
        <w:spacing w:after="40"/>
      </w:pPr>
      <w:r>
        <w:t>异步任务支持失败重试、批次追踪、人工补录、对账补偿和回滚控制。</w:t>
      </w:r>
    </w:p>
    <w:p>
      <w:pPr>
        <w:pStyle w:val="Heading2"/>
      </w:pPr>
      <w:r>
        <w:t>10. 日志审计与追溯要求</w:t>
      </w:r>
    </w:p>
    <w:p>
      <w:pPr>
        <w:pStyle w:val="ListBullet"/>
        <w:spacing w:after="40"/>
      </w:pPr>
      <w:r>
        <w:t>记录接口访问日志、业务操作日志、审批日志、同步日志、错误日志和消息推送回执。</w:t>
      </w:r>
    </w:p>
    <w:p>
      <w:pPr>
        <w:pStyle w:val="ListBullet"/>
        <w:spacing w:after="40"/>
      </w:pPr>
      <w:r>
        <w:t>关键业务对象支持按单号、主键、批次号、外部编码追溯全链路处理过程。</w:t>
      </w:r>
    </w:p>
    <w:p>
      <w:pPr>
        <w:pStyle w:val="Heading2"/>
      </w:pPr>
      <w:r>
        <w:t>11. 与第三方或其他模块协同方式</w:t>
      </w:r>
    </w:p>
    <w:p>
      <w:pPr>
        <w:pStyle w:val="ListBullet"/>
        <w:spacing w:after="40"/>
      </w:pPr>
      <w:r>
        <w:t>与组织权限体系协同实现统一身份和数据授权。</w:t>
      </w:r>
    </w:p>
    <w:p>
      <w:pPr>
        <w:pStyle w:val="ListBullet"/>
        <w:spacing w:after="40"/>
      </w:pPr>
      <w:r>
        <w:t>与审批配置、消息中心、日志中心协同实现流程驱动、消息触达和可审计治理。</w:t>
      </w:r>
    </w:p>
    <w:p>
      <w:pPr>
        <w:pStyle w:val="ListBullet"/>
        <w:spacing w:after="40"/>
      </w:pPr>
      <w:r>
        <w:t>与平台对接、小程序、统计分析、数据看板协同实现跨平台数据共享和能力复用。</w:t>
      </w:r>
    </w:p>
    <w:p>
      <w:pPr>
        <w:pStyle w:val="Heading2"/>
      </w:pPr>
      <w:r>
        <w:t>12. 性能与扩展性要求</w:t>
      </w:r>
    </w:p>
    <w:p>
      <w:pPr>
        <w:pStyle w:val="ListBullet"/>
        <w:spacing w:after="40"/>
      </w:pPr>
      <w:r>
        <w:t>列表和报表需支持分页、条件索引、聚合优化和异步导出。</w:t>
      </w:r>
    </w:p>
    <w:p>
      <w:pPr>
        <w:pStyle w:val="ListBullet"/>
        <w:spacing w:after="40"/>
      </w:pPr>
      <w:r>
        <w:t>地图、轨迹、视频、地磅、同步日志等大体量数据建议分表、归档或采用冷热分层策略。</w:t>
      </w:r>
    </w:p>
    <w:p>
      <w:pPr>
        <w:pStyle w:val="Heading2"/>
      </w:pPr>
      <w:r>
        <w:t>13. 本模块交付说明</w:t>
      </w:r>
    </w:p>
    <w:p>
      <w:pPr>
        <w:spacing w:after="120"/>
      </w:pPr>
      <w:r>
        <w:t>车辆管理模块应作为独立可交付能力建设，既满足甲方当前招标要求，也为后续扩展第三方对接、移动端深化、规则引擎和经营分析能力保留扩展接口。</w:t>
      </w:r>
    </w:p>
    <w:sectPr w:rsidR="00FC693F" w:rsidRPr="0006063C" w:rsidSect="00034616">
      <w:pgSz w:w="12240" w:h="15840"/>
      <w:pgMar w:top="1440" w:right="1587"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fldSimple>
    <w:fldSimple w:instr="PAGE">
      <w:r/>
    </w:fldSimple>
    <w:fldSimple w:instr="PAGE">
      <w:r/>
    </w:fldSimple>
    <w:fldSimple w:instr="PAGE">
      <w:r/>
    </w:fldSimple>
    <w:fldSimple w:instr="PAGE">
      <w:r/>
    </w:fldSimple>
    <w:fldSimple w:instr="PAGE">
      <w:r/>
    </w:fldSimple>
    <w:fldSimple w:instr="PAGE">
      <w:r/>
    </w:fldSimple>
    <w:fldSimple w:instr="PAGE">
      <w:r/>
    </w:fldSimple>
    <w:fldSimple w:instr="PAGE">
      <w:r/>
    </w:fldSimple>
    <w:fldSimple w:instr="PAGE">
      <w:r/>
    </w:fldSimple>
    <w:fldSimple w:instr="PAGE">
      <w:r/>
    </w:fldSimple>
    <w:fldSimple w:instr="PAGE">
      <w:r/>
    </w:fldSimple>
    <w:fldSimple w:instr="PAGE">
      <w:r/>
    </w:fldSimple>
    <w:fldSimple w:instr="PAGE">
      <w:r/>
    </w:fldSimple>
    <w:fldSimple w:instr="PAGE">
      <w:r/>
    </w:fldSimple>
    <w:fldSimple w:instr="PAGE">
      <w:r/>
    </w:fldSimple>
    <w:fldSimple w:instr="PAGE">
      <w:r/>
    </w:fldSimple>
    <w:fldSimple w:instr="PAGE">
      <w:r/>
    </w:fldSimple>
    <w:fldSimple w:instr="PAGE">
      <w:r/>
    </w:fldSimple>
    <w:fldSimple w:instr="PAGE">
      <w:r/>
    </w:fldSimple>
    <w:fldSimple w:instr="PAGE">
      <w:r/>
    </w:fldSimple>
    <w:fldSimple w:instr="PAGE">
      <w:r/>
    </w:fldSimple>
    <w:fldSimple w:instr="PAGE">
      <w:r/>
    </w:fldSimple>
    <w:fldSimple w:instr="PAGE">
      <w:r/>
    </w:fldSimple>
    <w:fldSimple w:instr="PAGE">
      <w:r/>
    </w:fldSimple>
    <w:fldSimple w:instr="PAGE">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渣土运输与消纳监管平台技术方案</dc:title>
  <dc:subject>甲方版技术方案</dc:subject>
  <dc:creator>项目投标方案编制组</dc:creator>
  <cp:keywords/>
  <dc:description>generated by python-docx</dc:description>
  <cp:lastModifiedBy/>
  <cp:revision>1</cp:revision>
  <dcterms:created xsi:type="dcterms:W3CDTF">2013-12-23T23:15:00Z</dcterms:created>
  <dcterms:modified xsi:type="dcterms:W3CDTF">2013-12-23T23:15:00Z</dcterms:modified>
  <cp:category/>
</cp:coreProperties>
</file>