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渣土运输与消纳监管平台需求方案</w:t>
      </w:r>
    </w:p>
    <w:p>
      <w:pPr>
        <w:spacing w:before="360"/>
        <w:jc w:val="center"/>
      </w:pPr>
      <w:r>
        <w:rPr>
          <w:rFonts w:ascii="Microsoft YaHei" w:hAnsi="Microsoft YaHei" w:eastAsia="Microsoft YaHei"/>
          <w:sz w:val="28"/>
        </w:rPr>
        <w:t>甲方版需求方案</w:t>
      </w:r>
    </w:p>
    <w:p>
      <w:pPr>
        <w:spacing w:before="5200"/>
        <w:jc w:val="center"/>
      </w:pPr>
      <w:r>
        <w:rPr>
          <w:rFonts w:ascii="Microsoft YaHei" w:hAnsi="Microsoft YaHei" w:eastAsia="Microsoft YaHei"/>
          <w:sz w:val="24"/>
        </w:rPr>
        <w:t>导出日期：2026-04-08</w:t>
      </w:r>
    </w:p>
    <w:p>
      <w:r>
        <w:br w:type="page"/>
      </w:r>
    </w:p>
    <w:p>
      <w:pPr>
        <w:jc w:val="left"/>
      </w:pPr>
      <w:r>
        <w:rPr>
          <w:rFonts w:ascii="Microsoft YaHei" w:hAnsi="Microsoft YaHei" w:eastAsia="Microsoft YaHei"/>
          <w:b/>
          <w:sz w:val="32"/>
        </w:rPr>
        <w:t>目录</w:t>
      </w:r>
    </w:p>
    <w:p>
      <w:fldSimple w:instr="TOC \o &quot;1-3&quot; \h \z \u"/>
    </w:p>
    <w:p>
      <w:pPr>
        <w:spacing w:after="160"/>
      </w:pPr>
      <w:r>
        <w:t>说明：如目录未自动刷新，可在 Word 中全选后更新域。</w:t>
      </w:r>
    </w:p>
    <w:p>
      <w:pPr>
        <w:pStyle w:val="Heading1"/>
      </w:pPr>
      <w:r>
        <w:t>需求方案总目录</w:t>
      </w:r>
    </w:p>
    <w:p>
      <w:pPr>
        <w:pStyle w:val="Heading2"/>
      </w:pPr>
      <w:r>
        <w:t>1. 编制说明</w:t>
      </w:r>
    </w:p>
    <w:p>
      <w:pPr>
        <w:spacing w:after="120"/>
      </w:pPr>
      <w:r>
        <w:t>本目录用于汇总甲方版需求方案文件，全部按招标文件一级模块逐项展开，确保甲方可直接对应招标模块进行核验。</w:t>
      </w:r>
    </w:p>
    <w:p>
      <w:pPr>
        <w:pStyle w:val="Heading2"/>
      </w:pPr>
      <w:r>
        <w:t>2. 文件清单</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pPr>
              <w:spacing w:after="40"/>
            </w:pPr>
            <w:r/>
            <w:r>
              <w:rPr>
                <w:rFonts w:ascii="Microsoft YaHei" w:hAnsi="Microsoft YaHei" w:eastAsia="Microsoft YaHei"/>
                <w:sz w:val="21"/>
              </w:rPr>
              <w:t>序号</w:t>
            </w:r>
          </w:p>
        </w:tc>
        <w:tc>
          <w:tcPr>
            <w:tcW w:type="dxa" w:w="2266"/>
          </w:tcPr>
          <w:p>
            <w:pPr>
              <w:spacing w:after="40"/>
            </w:pPr>
            <w:r/>
            <w:r>
              <w:rPr>
                <w:rFonts w:ascii="Microsoft YaHei" w:hAnsi="Microsoft YaHei" w:eastAsia="Microsoft YaHei"/>
                <w:sz w:val="21"/>
              </w:rPr>
              <w:t>模块</w:t>
            </w:r>
          </w:p>
        </w:tc>
        <w:tc>
          <w:tcPr>
            <w:tcW w:type="dxa" w:w="2266"/>
          </w:tcPr>
          <w:p>
            <w:pPr>
              <w:spacing w:after="40"/>
            </w:pPr>
            <w:r/>
            <w:r>
              <w:rPr>
                <w:rFonts w:ascii="Microsoft YaHei" w:hAnsi="Microsoft YaHei" w:eastAsia="Microsoft YaHei"/>
                <w:sz w:val="21"/>
              </w:rPr>
              <w:t>文件</w:t>
            </w:r>
          </w:p>
        </w:tc>
        <w:tc>
          <w:tcPr>
            <w:tcW w:type="dxa" w:w="2266"/>
          </w:tcPr>
          <w:p>
            <w:pPr>
              <w:spacing w:after="40"/>
            </w:pPr>
            <w:r/>
            <w:r>
              <w:rPr>
                <w:rFonts w:ascii="Microsoft YaHei" w:hAnsi="Microsoft YaHei" w:eastAsia="Microsoft YaHei"/>
                <w:sz w:val="21"/>
              </w:rPr>
              <w:t>功能点数量</w:t>
            </w:r>
          </w:p>
        </w:tc>
      </w:tr>
      <w:tr>
        <w:tc>
          <w:tcPr>
            <w:tcW w:type="dxa" w:w="2266"/>
          </w:tcPr>
          <w:p>
            <w:pPr>
              <w:spacing w:after="40"/>
            </w:pPr>
            <w:r/>
            <w:r>
              <w:rPr>
                <w:rFonts w:ascii="Microsoft YaHei" w:hAnsi="Microsoft YaHei" w:eastAsia="Microsoft YaHei"/>
                <w:sz w:val="21"/>
              </w:rPr>
              <w:t>1</w:t>
            </w:r>
          </w:p>
        </w:tc>
        <w:tc>
          <w:tcPr>
            <w:tcW w:type="dxa" w:w="2266"/>
          </w:tcPr>
          <w:p>
            <w:pPr>
              <w:spacing w:after="40"/>
            </w:pPr>
            <w:r/>
            <w:r>
              <w:rPr>
                <w:rFonts w:ascii="Microsoft YaHei" w:hAnsi="Microsoft YaHei" w:eastAsia="Microsoft YaHei"/>
                <w:sz w:val="21"/>
              </w:rPr>
              <w:t>合同结算</w:t>
            </w:r>
          </w:p>
        </w:tc>
        <w:tc>
          <w:tcPr>
            <w:tcW w:type="dxa" w:w="2266"/>
          </w:tcPr>
          <w:p>
            <w:pPr>
              <w:spacing w:after="40"/>
            </w:pPr>
            <w:r/>
            <w:r>
              <w:rPr>
                <w:rFonts w:ascii="Microsoft YaHei" w:hAnsi="Microsoft YaHei" w:eastAsia="Microsoft YaHei"/>
                <w:sz w:val="21"/>
              </w:rPr>
              <w:t>01_合同结算需求方案.md</w:t>
            </w:r>
          </w:p>
        </w:tc>
        <w:tc>
          <w:tcPr>
            <w:tcW w:type="dxa" w:w="2266"/>
          </w:tcPr>
          <w:p>
            <w:pPr>
              <w:spacing w:after="40"/>
            </w:pPr>
            <w:r/>
            <w:r>
              <w:rPr>
                <w:rFonts w:ascii="Microsoft YaHei" w:hAnsi="Microsoft YaHei" w:eastAsia="Microsoft YaHei"/>
                <w:sz w:val="21"/>
              </w:rPr>
              <w:t>15</w:t>
            </w:r>
          </w:p>
        </w:tc>
      </w:tr>
      <w:tr>
        <w:tc>
          <w:tcPr>
            <w:tcW w:type="dxa" w:w="2266"/>
          </w:tcPr>
          <w:p>
            <w:pPr>
              <w:spacing w:after="40"/>
            </w:pPr>
            <w:r/>
            <w:r>
              <w:rPr>
                <w:rFonts w:ascii="Microsoft YaHei" w:hAnsi="Microsoft YaHei" w:eastAsia="Microsoft YaHei"/>
                <w:sz w:val="21"/>
              </w:rPr>
              <w:t>2</w:t>
            </w:r>
          </w:p>
        </w:tc>
        <w:tc>
          <w:tcPr>
            <w:tcW w:type="dxa" w:w="2266"/>
          </w:tcPr>
          <w:p>
            <w:pPr>
              <w:spacing w:after="40"/>
            </w:pPr>
            <w:r/>
            <w:r>
              <w:rPr>
                <w:rFonts w:ascii="Microsoft YaHei" w:hAnsi="Microsoft YaHei" w:eastAsia="Microsoft YaHei"/>
                <w:sz w:val="21"/>
              </w:rPr>
              <w:t>单位管理</w:t>
            </w:r>
          </w:p>
        </w:tc>
        <w:tc>
          <w:tcPr>
            <w:tcW w:type="dxa" w:w="2266"/>
          </w:tcPr>
          <w:p>
            <w:pPr>
              <w:spacing w:after="40"/>
            </w:pPr>
            <w:r/>
            <w:r>
              <w:rPr>
                <w:rFonts w:ascii="Microsoft YaHei" w:hAnsi="Microsoft YaHei" w:eastAsia="Microsoft YaHei"/>
                <w:sz w:val="21"/>
              </w:rPr>
              <w:t>02_单位管理需求方案.md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3</w:t>
            </w:r>
          </w:p>
        </w:tc>
        <w:tc>
          <w:tcPr>
            <w:tcW w:type="dxa" w:w="2266"/>
          </w:tcPr>
          <w:p>
            <w:pPr>
              <w:spacing w:after="40"/>
            </w:pPr>
            <w:r/>
            <w:r>
              <w:rPr>
                <w:rFonts w:ascii="Microsoft YaHei" w:hAnsi="Microsoft YaHei" w:eastAsia="Microsoft YaHei"/>
                <w:sz w:val="21"/>
              </w:rPr>
              <w:t>项目管理</w:t>
            </w:r>
          </w:p>
        </w:tc>
        <w:tc>
          <w:tcPr>
            <w:tcW w:type="dxa" w:w="2266"/>
          </w:tcPr>
          <w:p>
            <w:pPr>
              <w:spacing w:after="40"/>
            </w:pPr>
            <w:r/>
            <w:r>
              <w:rPr>
                <w:rFonts w:ascii="Microsoft YaHei" w:hAnsi="Microsoft YaHei" w:eastAsia="Microsoft YaHei"/>
                <w:sz w:val="21"/>
              </w:rPr>
              <w:t>03_项目管理需求方案.md</w:t>
            </w:r>
          </w:p>
        </w:tc>
        <w:tc>
          <w:tcPr>
            <w:tcW w:type="dxa" w:w="2266"/>
          </w:tcPr>
          <w:p>
            <w:pPr>
              <w:spacing w:after="40"/>
            </w:pPr>
            <w:r/>
            <w:r>
              <w:rPr>
                <w:rFonts w:ascii="Microsoft YaHei" w:hAnsi="Microsoft YaHei" w:eastAsia="Microsoft YaHei"/>
                <w:sz w:val="21"/>
              </w:rPr>
              <w:t>13</w:t>
            </w:r>
          </w:p>
        </w:tc>
      </w:tr>
      <w:tr>
        <w:tc>
          <w:tcPr>
            <w:tcW w:type="dxa" w:w="2266"/>
          </w:tcPr>
          <w:p>
            <w:pPr>
              <w:spacing w:after="40"/>
            </w:pPr>
            <w:r/>
            <w:r>
              <w:rPr>
                <w:rFonts w:ascii="Microsoft YaHei" w:hAnsi="Microsoft YaHei" w:eastAsia="Microsoft YaHei"/>
                <w:sz w:val="21"/>
              </w:rPr>
              <w:t>4</w:t>
            </w:r>
          </w:p>
        </w:tc>
        <w:tc>
          <w:tcPr>
            <w:tcW w:type="dxa" w:w="2266"/>
          </w:tcPr>
          <w:p>
            <w:pPr>
              <w:spacing w:after="40"/>
            </w:pPr>
            <w:r/>
            <w:r>
              <w:rPr>
                <w:rFonts w:ascii="Microsoft YaHei" w:hAnsi="Microsoft YaHei" w:eastAsia="Microsoft YaHei"/>
                <w:sz w:val="21"/>
              </w:rPr>
              <w:t>处置证</w:t>
            </w:r>
          </w:p>
        </w:tc>
        <w:tc>
          <w:tcPr>
            <w:tcW w:type="dxa" w:w="2266"/>
          </w:tcPr>
          <w:p>
            <w:pPr>
              <w:spacing w:after="40"/>
            </w:pPr>
            <w:r/>
            <w:r>
              <w:rPr>
                <w:rFonts w:ascii="Microsoft YaHei" w:hAnsi="Microsoft YaHei" w:eastAsia="Microsoft YaHei"/>
                <w:sz w:val="21"/>
              </w:rPr>
              <w:t>04_处置证需求方案.md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5</w:t>
            </w:r>
          </w:p>
        </w:tc>
        <w:tc>
          <w:tcPr>
            <w:tcW w:type="dxa" w:w="2266"/>
          </w:tcPr>
          <w:p>
            <w:pPr>
              <w:spacing w:after="40"/>
            </w:pPr>
            <w:r/>
            <w:r>
              <w:rPr>
                <w:rFonts w:ascii="Microsoft YaHei" w:hAnsi="Microsoft YaHei" w:eastAsia="Microsoft YaHei"/>
                <w:sz w:val="21"/>
              </w:rPr>
              <w:t>消纳场地</w:t>
            </w:r>
          </w:p>
        </w:tc>
        <w:tc>
          <w:tcPr>
            <w:tcW w:type="dxa" w:w="2266"/>
          </w:tcPr>
          <w:p>
            <w:pPr>
              <w:spacing w:after="40"/>
            </w:pPr>
            <w:r/>
            <w:r>
              <w:rPr>
                <w:rFonts w:ascii="Microsoft YaHei" w:hAnsi="Microsoft YaHei" w:eastAsia="Microsoft YaHei"/>
                <w:sz w:val="21"/>
              </w:rPr>
              <w:t>05_消纳场地需求方案.md</w:t>
            </w:r>
          </w:p>
        </w:tc>
        <w:tc>
          <w:tcPr>
            <w:tcW w:type="dxa" w:w="2266"/>
          </w:tcPr>
          <w:p>
            <w:pPr>
              <w:spacing w:after="40"/>
            </w:pPr>
            <w:r/>
            <w:r>
              <w:rPr>
                <w:rFonts w:ascii="Microsoft YaHei" w:hAnsi="Microsoft YaHei" w:eastAsia="Microsoft YaHei"/>
                <w:sz w:val="21"/>
              </w:rPr>
              <w:t>13</w:t>
            </w:r>
          </w:p>
        </w:tc>
      </w:tr>
      <w:tr>
        <w:tc>
          <w:tcPr>
            <w:tcW w:type="dxa" w:w="2266"/>
          </w:tcPr>
          <w:p>
            <w:pPr>
              <w:spacing w:after="40"/>
            </w:pPr>
            <w:r/>
            <w:r>
              <w:rPr>
                <w:rFonts w:ascii="Microsoft YaHei" w:hAnsi="Microsoft YaHei" w:eastAsia="Microsoft YaHei"/>
                <w:sz w:val="21"/>
              </w:rPr>
              <w:t>6</w:t>
            </w:r>
          </w:p>
        </w:tc>
        <w:tc>
          <w:tcPr>
            <w:tcW w:type="dxa" w:w="2266"/>
          </w:tcPr>
          <w:p>
            <w:pPr>
              <w:spacing w:after="40"/>
            </w:pPr>
            <w:r/>
            <w:r>
              <w:rPr>
                <w:rFonts w:ascii="Microsoft YaHei" w:hAnsi="Microsoft YaHei" w:eastAsia="Microsoft YaHei"/>
                <w:sz w:val="21"/>
              </w:rPr>
              <w:t>违规车辆清单</w:t>
            </w:r>
          </w:p>
        </w:tc>
        <w:tc>
          <w:tcPr>
            <w:tcW w:type="dxa" w:w="2266"/>
          </w:tcPr>
          <w:p>
            <w:pPr>
              <w:spacing w:after="40"/>
            </w:pPr>
            <w:r/>
            <w:r>
              <w:rPr>
                <w:rFonts w:ascii="Microsoft YaHei" w:hAnsi="Microsoft YaHei" w:eastAsia="Microsoft YaHei"/>
                <w:sz w:val="21"/>
              </w:rPr>
              <w:t>06_违规车辆清单需求方案.md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7</w:t>
            </w:r>
          </w:p>
        </w:tc>
        <w:tc>
          <w:tcPr>
            <w:tcW w:type="dxa" w:w="2266"/>
          </w:tcPr>
          <w:p>
            <w:pPr>
              <w:spacing w:after="40"/>
            </w:pPr>
            <w:r/>
            <w:r>
              <w:rPr>
                <w:rFonts w:ascii="Microsoft YaHei" w:hAnsi="Microsoft YaHei" w:eastAsia="Microsoft YaHei"/>
                <w:sz w:val="21"/>
              </w:rPr>
              <w:t>事件管理</w:t>
            </w:r>
          </w:p>
        </w:tc>
        <w:tc>
          <w:tcPr>
            <w:tcW w:type="dxa" w:w="2266"/>
          </w:tcPr>
          <w:p>
            <w:pPr>
              <w:spacing w:after="40"/>
            </w:pPr>
            <w:r/>
            <w:r>
              <w:rPr>
                <w:rFonts w:ascii="Microsoft YaHei" w:hAnsi="Microsoft YaHei" w:eastAsia="Microsoft YaHei"/>
                <w:sz w:val="21"/>
              </w:rPr>
              <w:t>07_事件管理需求方案.md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8</w:t>
            </w:r>
          </w:p>
        </w:tc>
        <w:tc>
          <w:tcPr>
            <w:tcW w:type="dxa" w:w="2266"/>
          </w:tcPr>
          <w:p>
            <w:pPr>
              <w:spacing w:after="40"/>
            </w:pPr>
            <w:r/>
            <w:r>
              <w:rPr>
                <w:rFonts w:ascii="Microsoft YaHei" w:hAnsi="Microsoft YaHei" w:eastAsia="Microsoft YaHei"/>
                <w:sz w:val="21"/>
              </w:rPr>
              <w:t>系统预警</w:t>
            </w:r>
          </w:p>
        </w:tc>
        <w:tc>
          <w:tcPr>
            <w:tcW w:type="dxa" w:w="2266"/>
          </w:tcPr>
          <w:p>
            <w:pPr>
              <w:spacing w:after="40"/>
            </w:pPr>
            <w:r/>
            <w:r>
              <w:rPr>
                <w:rFonts w:ascii="Microsoft YaHei" w:hAnsi="Microsoft YaHei" w:eastAsia="Microsoft YaHei"/>
                <w:sz w:val="21"/>
              </w:rPr>
              <w:t>08_系统预警需求方案.md</w:t>
            </w:r>
          </w:p>
        </w:tc>
        <w:tc>
          <w:tcPr>
            <w:tcW w:type="dxa" w:w="2266"/>
          </w:tcPr>
          <w:p>
            <w:pPr>
              <w:spacing w:after="40"/>
            </w:pPr>
            <w:r/>
            <w:r>
              <w:rPr>
                <w:rFonts w:ascii="Microsoft YaHei" w:hAnsi="Microsoft YaHei" w:eastAsia="Microsoft YaHei"/>
                <w:sz w:val="21"/>
              </w:rPr>
              <w:t>5</w:t>
            </w:r>
          </w:p>
        </w:tc>
      </w:tr>
      <w:tr>
        <w:tc>
          <w:tcPr>
            <w:tcW w:type="dxa" w:w="2266"/>
          </w:tcPr>
          <w:p>
            <w:pPr>
              <w:spacing w:after="40"/>
            </w:pPr>
            <w:r/>
            <w:r>
              <w:rPr>
                <w:rFonts w:ascii="Microsoft YaHei" w:hAnsi="Microsoft YaHei" w:eastAsia="Microsoft YaHei"/>
                <w:sz w:val="21"/>
              </w:rPr>
              <w:t>9</w:t>
            </w:r>
          </w:p>
        </w:tc>
        <w:tc>
          <w:tcPr>
            <w:tcW w:type="dxa" w:w="2266"/>
          </w:tcPr>
          <w:p>
            <w:pPr>
              <w:spacing w:after="40"/>
            </w:pPr>
            <w:r/>
            <w:r>
              <w:rPr>
                <w:rFonts w:ascii="Microsoft YaHei" w:hAnsi="Microsoft YaHei" w:eastAsia="Microsoft YaHei"/>
                <w:sz w:val="21"/>
              </w:rPr>
              <w:t>预警配置</w:t>
            </w:r>
          </w:p>
        </w:tc>
        <w:tc>
          <w:tcPr>
            <w:tcW w:type="dxa" w:w="2266"/>
          </w:tcPr>
          <w:p>
            <w:pPr>
              <w:spacing w:after="40"/>
            </w:pPr>
            <w:r/>
            <w:r>
              <w:rPr>
                <w:rFonts w:ascii="Microsoft YaHei" w:hAnsi="Microsoft YaHei" w:eastAsia="Microsoft YaHei"/>
                <w:sz w:val="21"/>
              </w:rPr>
              <w:t>09_预警配置需求方案.md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10</w:t>
            </w:r>
          </w:p>
        </w:tc>
        <w:tc>
          <w:tcPr>
            <w:tcW w:type="dxa" w:w="2266"/>
          </w:tcPr>
          <w:p>
            <w:pPr>
              <w:spacing w:after="40"/>
            </w:pPr>
            <w:r/>
            <w:r>
              <w:rPr>
                <w:rFonts w:ascii="Microsoft YaHei" w:hAnsi="Microsoft YaHei" w:eastAsia="Microsoft YaHei"/>
                <w:sz w:val="21"/>
              </w:rPr>
              <w:t>违规车辆研判模型</w:t>
            </w:r>
          </w:p>
        </w:tc>
        <w:tc>
          <w:tcPr>
            <w:tcW w:type="dxa" w:w="2266"/>
          </w:tcPr>
          <w:p>
            <w:pPr>
              <w:spacing w:after="40"/>
            </w:pPr>
            <w:r/>
            <w:r>
              <w:rPr>
                <w:rFonts w:ascii="Microsoft YaHei" w:hAnsi="Microsoft YaHei" w:eastAsia="Microsoft YaHei"/>
                <w:sz w:val="21"/>
              </w:rPr>
              <w:t>10_违规车辆研判模型需求方案.md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11</w:t>
            </w:r>
          </w:p>
        </w:tc>
        <w:tc>
          <w:tcPr>
            <w:tcW w:type="dxa" w:w="2266"/>
          </w:tcPr>
          <w:p>
            <w:pPr>
              <w:spacing w:after="40"/>
            </w:pPr>
            <w:r/>
            <w:r>
              <w:rPr>
                <w:rFonts w:ascii="Microsoft YaHei" w:hAnsi="Microsoft YaHei" w:eastAsia="Microsoft YaHei"/>
                <w:sz w:val="21"/>
              </w:rPr>
              <w:t>信息查询</w:t>
            </w:r>
          </w:p>
        </w:tc>
        <w:tc>
          <w:tcPr>
            <w:tcW w:type="dxa" w:w="2266"/>
          </w:tcPr>
          <w:p>
            <w:pPr>
              <w:spacing w:after="40"/>
            </w:pPr>
            <w:r/>
            <w:r>
              <w:rPr>
                <w:rFonts w:ascii="Microsoft YaHei" w:hAnsi="Microsoft YaHei" w:eastAsia="Microsoft YaHei"/>
                <w:sz w:val="21"/>
              </w:rPr>
              <w:t>11_信息查询需求方案.md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12</w:t>
            </w:r>
          </w:p>
        </w:tc>
        <w:tc>
          <w:tcPr>
            <w:tcW w:type="dxa" w:w="2266"/>
          </w:tcPr>
          <w:p>
            <w:pPr>
              <w:spacing w:after="40"/>
            </w:pPr>
            <w:r/>
            <w:r>
              <w:rPr>
                <w:rFonts w:ascii="Microsoft YaHei" w:hAnsi="Microsoft YaHei" w:eastAsia="Microsoft YaHei"/>
                <w:sz w:val="21"/>
              </w:rPr>
              <w:t>组织管理</w:t>
            </w:r>
          </w:p>
        </w:tc>
        <w:tc>
          <w:tcPr>
            <w:tcW w:type="dxa" w:w="2266"/>
          </w:tcPr>
          <w:p>
            <w:pPr>
              <w:spacing w:after="40"/>
            </w:pPr>
            <w:r/>
            <w:r>
              <w:rPr>
                <w:rFonts w:ascii="Microsoft YaHei" w:hAnsi="Microsoft YaHei" w:eastAsia="Microsoft YaHei"/>
                <w:sz w:val="21"/>
              </w:rPr>
              <w:t>12_组织管理需求方案.md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13</w:t>
            </w:r>
          </w:p>
        </w:tc>
        <w:tc>
          <w:tcPr>
            <w:tcW w:type="dxa" w:w="2266"/>
          </w:tcPr>
          <w:p>
            <w:pPr>
              <w:spacing w:after="40"/>
            </w:pPr>
            <w:r/>
            <w:r>
              <w:rPr>
                <w:rFonts w:ascii="Microsoft YaHei" w:hAnsi="Microsoft YaHei" w:eastAsia="Microsoft YaHei"/>
                <w:sz w:val="21"/>
              </w:rPr>
              <w:t>组织人员管理</w:t>
            </w:r>
          </w:p>
        </w:tc>
        <w:tc>
          <w:tcPr>
            <w:tcW w:type="dxa" w:w="2266"/>
          </w:tcPr>
          <w:p>
            <w:pPr>
              <w:spacing w:after="40"/>
            </w:pPr>
            <w:r/>
            <w:r>
              <w:rPr>
                <w:rFonts w:ascii="Microsoft YaHei" w:hAnsi="Microsoft YaHei" w:eastAsia="Microsoft YaHei"/>
                <w:sz w:val="21"/>
              </w:rPr>
              <w:t>13_组织人员管理需求方案.md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14</w:t>
            </w:r>
          </w:p>
        </w:tc>
        <w:tc>
          <w:tcPr>
            <w:tcW w:type="dxa" w:w="2266"/>
          </w:tcPr>
          <w:p>
            <w:pPr>
              <w:spacing w:after="40"/>
            </w:pPr>
            <w:r/>
            <w:r>
              <w:rPr>
                <w:rFonts w:ascii="Microsoft YaHei" w:hAnsi="Microsoft YaHei" w:eastAsia="Microsoft YaHei"/>
                <w:sz w:val="21"/>
              </w:rPr>
              <w:t>角色管理</w:t>
            </w:r>
          </w:p>
        </w:tc>
        <w:tc>
          <w:tcPr>
            <w:tcW w:type="dxa" w:w="2266"/>
          </w:tcPr>
          <w:p>
            <w:pPr>
              <w:spacing w:after="40"/>
            </w:pPr>
            <w:r/>
            <w:r>
              <w:rPr>
                <w:rFonts w:ascii="Microsoft YaHei" w:hAnsi="Microsoft YaHei" w:eastAsia="Microsoft YaHei"/>
                <w:sz w:val="21"/>
              </w:rPr>
              <w:t>14_角色管理需求方案.md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15</w:t>
            </w:r>
          </w:p>
        </w:tc>
        <w:tc>
          <w:tcPr>
            <w:tcW w:type="dxa" w:w="2266"/>
          </w:tcPr>
          <w:p>
            <w:pPr>
              <w:spacing w:after="40"/>
            </w:pPr>
            <w:r/>
            <w:r>
              <w:rPr>
                <w:rFonts w:ascii="Microsoft YaHei" w:hAnsi="Microsoft YaHei" w:eastAsia="Microsoft YaHei"/>
                <w:sz w:val="21"/>
              </w:rPr>
              <w:t>系统日志</w:t>
            </w:r>
          </w:p>
        </w:tc>
        <w:tc>
          <w:tcPr>
            <w:tcW w:type="dxa" w:w="2266"/>
          </w:tcPr>
          <w:p>
            <w:pPr>
              <w:spacing w:after="40"/>
            </w:pPr>
            <w:r/>
            <w:r>
              <w:rPr>
                <w:rFonts w:ascii="Microsoft YaHei" w:hAnsi="Microsoft YaHei" w:eastAsia="Microsoft YaHei"/>
                <w:sz w:val="21"/>
              </w:rPr>
              <w:t>15_系统日志需求方案.md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16</w:t>
            </w:r>
          </w:p>
        </w:tc>
        <w:tc>
          <w:tcPr>
            <w:tcW w:type="dxa" w:w="2266"/>
          </w:tcPr>
          <w:p>
            <w:pPr>
              <w:spacing w:after="40"/>
            </w:pPr>
            <w:r/>
            <w:r>
              <w:rPr>
                <w:rFonts w:ascii="Microsoft YaHei" w:hAnsi="Microsoft YaHei" w:eastAsia="Microsoft YaHei"/>
                <w:sz w:val="21"/>
              </w:rPr>
              <w:t>审核审批配置</w:t>
            </w:r>
          </w:p>
        </w:tc>
        <w:tc>
          <w:tcPr>
            <w:tcW w:type="dxa" w:w="2266"/>
          </w:tcPr>
          <w:p>
            <w:pPr>
              <w:spacing w:after="40"/>
            </w:pPr>
            <w:r/>
            <w:r>
              <w:rPr>
                <w:rFonts w:ascii="Microsoft YaHei" w:hAnsi="Microsoft YaHei" w:eastAsia="Microsoft YaHei"/>
                <w:sz w:val="21"/>
              </w:rPr>
              <w:t>16_审核审批配置需求方案.md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17</w:t>
            </w:r>
          </w:p>
        </w:tc>
        <w:tc>
          <w:tcPr>
            <w:tcW w:type="dxa" w:w="2266"/>
          </w:tcPr>
          <w:p>
            <w:pPr>
              <w:spacing w:after="40"/>
            </w:pPr>
            <w:r/>
            <w:r>
              <w:rPr>
                <w:rFonts w:ascii="Microsoft YaHei" w:hAnsi="Microsoft YaHei" w:eastAsia="Microsoft YaHei"/>
                <w:sz w:val="21"/>
              </w:rPr>
              <w:t>数据字典</w:t>
            </w:r>
          </w:p>
        </w:tc>
        <w:tc>
          <w:tcPr>
            <w:tcW w:type="dxa" w:w="2266"/>
          </w:tcPr>
          <w:p>
            <w:pPr>
              <w:spacing w:after="40"/>
            </w:pPr>
            <w:r/>
            <w:r>
              <w:rPr>
                <w:rFonts w:ascii="Microsoft YaHei" w:hAnsi="Microsoft YaHei" w:eastAsia="Microsoft YaHei"/>
                <w:sz w:val="21"/>
              </w:rPr>
              <w:t>17_数据字典需求方案.md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18</w:t>
            </w:r>
          </w:p>
        </w:tc>
        <w:tc>
          <w:tcPr>
            <w:tcW w:type="dxa" w:w="2266"/>
          </w:tcPr>
          <w:p>
            <w:pPr>
              <w:spacing w:after="40"/>
            </w:pPr>
            <w:r/>
            <w:r>
              <w:rPr>
                <w:rFonts w:ascii="Microsoft YaHei" w:hAnsi="Microsoft YaHei" w:eastAsia="Microsoft YaHei"/>
                <w:sz w:val="21"/>
              </w:rPr>
              <w:t>系统参数配置</w:t>
            </w:r>
          </w:p>
        </w:tc>
        <w:tc>
          <w:tcPr>
            <w:tcW w:type="dxa" w:w="2266"/>
          </w:tcPr>
          <w:p>
            <w:pPr>
              <w:spacing w:after="40"/>
            </w:pPr>
            <w:r/>
            <w:r>
              <w:rPr>
                <w:rFonts w:ascii="Microsoft YaHei" w:hAnsi="Microsoft YaHei" w:eastAsia="Microsoft YaHei"/>
                <w:sz w:val="21"/>
              </w:rPr>
              <w:t>18_系统参数配置需求方案.md</w:t>
            </w:r>
          </w:p>
        </w:tc>
        <w:tc>
          <w:tcPr>
            <w:tcW w:type="dxa" w:w="2266"/>
          </w:tcPr>
          <w:p>
            <w:pPr>
              <w:spacing w:after="40"/>
            </w:pPr>
            <w:r/>
            <w:r>
              <w:rPr>
                <w:rFonts w:ascii="Microsoft YaHei" w:hAnsi="Microsoft YaHei" w:eastAsia="Microsoft YaHei"/>
                <w:sz w:val="21"/>
              </w:rPr>
              <w:t>1</w:t>
            </w:r>
          </w:p>
        </w:tc>
      </w:tr>
      <w:tr>
        <w:tc>
          <w:tcPr>
            <w:tcW w:type="dxa" w:w="2266"/>
          </w:tcPr>
          <w:p>
            <w:pPr>
              <w:spacing w:after="40"/>
            </w:pPr>
            <w:r/>
            <w:r>
              <w:rPr>
                <w:rFonts w:ascii="Microsoft YaHei" w:hAnsi="Microsoft YaHei" w:eastAsia="Microsoft YaHei"/>
                <w:sz w:val="21"/>
              </w:rPr>
              <w:t>19</w:t>
            </w:r>
          </w:p>
        </w:tc>
        <w:tc>
          <w:tcPr>
            <w:tcW w:type="dxa" w:w="2266"/>
          </w:tcPr>
          <w:p>
            <w:pPr>
              <w:spacing w:after="40"/>
            </w:pPr>
            <w:r/>
            <w:r>
              <w:rPr>
                <w:rFonts w:ascii="Microsoft YaHei" w:hAnsi="Microsoft YaHei" w:eastAsia="Microsoft YaHei"/>
                <w:sz w:val="21"/>
              </w:rPr>
              <w:t>统计分析</w:t>
            </w:r>
          </w:p>
        </w:tc>
        <w:tc>
          <w:tcPr>
            <w:tcW w:type="dxa" w:w="2266"/>
          </w:tcPr>
          <w:p>
            <w:pPr>
              <w:spacing w:after="40"/>
            </w:pPr>
            <w:r/>
            <w:r>
              <w:rPr>
                <w:rFonts w:ascii="Microsoft YaHei" w:hAnsi="Microsoft YaHei" w:eastAsia="Microsoft YaHei"/>
                <w:sz w:val="21"/>
              </w:rPr>
              <w:t>19_统计分析需求方案.md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20</w:t>
            </w:r>
          </w:p>
        </w:tc>
        <w:tc>
          <w:tcPr>
            <w:tcW w:type="dxa" w:w="2266"/>
          </w:tcPr>
          <w:p>
            <w:pPr>
              <w:spacing w:after="40"/>
            </w:pPr>
            <w:r/>
            <w:r>
              <w:rPr>
                <w:rFonts w:ascii="Microsoft YaHei" w:hAnsi="Microsoft YaHei" w:eastAsia="Microsoft YaHei"/>
                <w:sz w:val="21"/>
              </w:rPr>
              <w:t>数据看板</w:t>
            </w:r>
          </w:p>
        </w:tc>
        <w:tc>
          <w:tcPr>
            <w:tcW w:type="dxa" w:w="2266"/>
          </w:tcPr>
          <w:p>
            <w:pPr>
              <w:spacing w:after="40"/>
            </w:pPr>
            <w:r/>
            <w:r>
              <w:rPr>
                <w:rFonts w:ascii="Microsoft YaHei" w:hAnsi="Microsoft YaHei" w:eastAsia="Microsoft YaHei"/>
                <w:sz w:val="21"/>
              </w:rPr>
              <w:t>20_数据看板需求方案.md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21</w:t>
            </w:r>
          </w:p>
        </w:tc>
        <w:tc>
          <w:tcPr>
            <w:tcW w:type="dxa" w:w="2266"/>
          </w:tcPr>
          <w:p>
            <w:pPr>
              <w:spacing w:after="40"/>
            </w:pPr>
            <w:r/>
            <w:r>
              <w:rPr>
                <w:rFonts w:ascii="Microsoft YaHei" w:hAnsi="Microsoft YaHei" w:eastAsia="Microsoft YaHei"/>
                <w:sz w:val="21"/>
              </w:rPr>
              <w:t>平台对接</w:t>
            </w:r>
          </w:p>
        </w:tc>
        <w:tc>
          <w:tcPr>
            <w:tcW w:type="dxa" w:w="2266"/>
          </w:tcPr>
          <w:p>
            <w:pPr>
              <w:spacing w:after="40"/>
            </w:pPr>
            <w:r/>
            <w:r>
              <w:rPr>
                <w:rFonts w:ascii="Microsoft YaHei" w:hAnsi="Microsoft YaHei" w:eastAsia="Microsoft YaHei"/>
                <w:sz w:val="21"/>
              </w:rPr>
              <w:t>21_平台对接需求方案.md</w:t>
            </w:r>
          </w:p>
        </w:tc>
        <w:tc>
          <w:tcPr>
            <w:tcW w:type="dxa" w:w="2266"/>
          </w:tcPr>
          <w:p>
            <w:pPr>
              <w:spacing w:after="40"/>
            </w:pPr>
            <w:r/>
            <w:r>
              <w:rPr>
                <w:rFonts w:ascii="Microsoft YaHei" w:hAnsi="Microsoft YaHei" w:eastAsia="Microsoft YaHei"/>
                <w:sz w:val="21"/>
              </w:rPr>
              <w:t>5</w:t>
            </w:r>
          </w:p>
        </w:tc>
      </w:tr>
      <w:tr>
        <w:tc>
          <w:tcPr>
            <w:tcW w:type="dxa" w:w="2266"/>
          </w:tcPr>
          <w:p>
            <w:pPr>
              <w:spacing w:after="40"/>
            </w:pPr>
            <w:r/>
            <w:r>
              <w:rPr>
                <w:rFonts w:ascii="Microsoft YaHei" w:hAnsi="Microsoft YaHei" w:eastAsia="Microsoft YaHei"/>
                <w:sz w:val="21"/>
              </w:rPr>
              <w:t>22</w:t>
            </w:r>
          </w:p>
        </w:tc>
        <w:tc>
          <w:tcPr>
            <w:tcW w:type="dxa" w:w="2266"/>
          </w:tcPr>
          <w:p>
            <w:pPr>
              <w:spacing w:after="40"/>
            </w:pPr>
            <w:r/>
            <w:r>
              <w:rPr>
                <w:rFonts w:ascii="Microsoft YaHei" w:hAnsi="Microsoft YaHei" w:eastAsia="Microsoft YaHei"/>
                <w:sz w:val="21"/>
              </w:rPr>
              <w:t>消息管理</w:t>
            </w:r>
          </w:p>
        </w:tc>
        <w:tc>
          <w:tcPr>
            <w:tcW w:type="dxa" w:w="2266"/>
          </w:tcPr>
          <w:p>
            <w:pPr>
              <w:spacing w:after="40"/>
            </w:pPr>
            <w:r/>
            <w:r>
              <w:rPr>
                <w:rFonts w:ascii="Microsoft YaHei" w:hAnsi="Microsoft YaHei" w:eastAsia="Microsoft YaHei"/>
                <w:sz w:val="21"/>
              </w:rPr>
              <w:t>22_消息管理需求方案.md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23</w:t>
            </w:r>
          </w:p>
        </w:tc>
        <w:tc>
          <w:tcPr>
            <w:tcW w:type="dxa" w:w="2266"/>
          </w:tcPr>
          <w:p>
            <w:pPr>
              <w:spacing w:after="40"/>
            </w:pPr>
            <w:r/>
            <w:r>
              <w:rPr>
                <w:rFonts w:ascii="Microsoft YaHei" w:hAnsi="Microsoft YaHei" w:eastAsia="Microsoft YaHei"/>
                <w:sz w:val="21"/>
              </w:rPr>
              <w:t>小程序</w:t>
            </w:r>
          </w:p>
        </w:tc>
        <w:tc>
          <w:tcPr>
            <w:tcW w:type="dxa" w:w="2266"/>
          </w:tcPr>
          <w:p>
            <w:pPr>
              <w:spacing w:after="40"/>
            </w:pPr>
            <w:r/>
            <w:r>
              <w:rPr>
                <w:rFonts w:ascii="Microsoft YaHei" w:hAnsi="Microsoft YaHei" w:eastAsia="Microsoft YaHei"/>
                <w:sz w:val="21"/>
              </w:rPr>
              <w:t>23_小程序需求方案.md</w:t>
            </w:r>
          </w:p>
        </w:tc>
        <w:tc>
          <w:tcPr>
            <w:tcW w:type="dxa" w:w="2266"/>
          </w:tcPr>
          <w:p>
            <w:pPr>
              <w:spacing w:after="40"/>
            </w:pPr>
            <w:r/>
            <w:r>
              <w:rPr>
                <w:rFonts w:ascii="Microsoft YaHei" w:hAnsi="Microsoft YaHei" w:eastAsia="Microsoft YaHei"/>
                <w:sz w:val="21"/>
              </w:rPr>
              <w:t>16</w:t>
            </w:r>
          </w:p>
        </w:tc>
      </w:tr>
      <w:tr>
        <w:tc>
          <w:tcPr>
            <w:tcW w:type="dxa" w:w="2266"/>
          </w:tcPr>
          <w:p>
            <w:pPr>
              <w:spacing w:after="40"/>
            </w:pPr>
            <w:r/>
            <w:r>
              <w:rPr>
                <w:rFonts w:ascii="Microsoft YaHei" w:hAnsi="Microsoft YaHei" w:eastAsia="Microsoft YaHei"/>
                <w:sz w:val="21"/>
              </w:rPr>
              <w:t>24</w:t>
            </w:r>
          </w:p>
        </w:tc>
        <w:tc>
          <w:tcPr>
            <w:tcW w:type="dxa" w:w="2266"/>
          </w:tcPr>
          <w:p>
            <w:pPr>
              <w:spacing w:after="40"/>
            </w:pPr>
            <w:r/>
            <w:r>
              <w:rPr>
                <w:rFonts w:ascii="Microsoft YaHei" w:hAnsi="Microsoft YaHei" w:eastAsia="Microsoft YaHei"/>
                <w:sz w:val="21"/>
              </w:rPr>
              <w:t>安全管理</w:t>
            </w:r>
          </w:p>
        </w:tc>
        <w:tc>
          <w:tcPr>
            <w:tcW w:type="dxa" w:w="2266"/>
          </w:tcPr>
          <w:p>
            <w:pPr>
              <w:spacing w:after="40"/>
            </w:pPr>
            <w:r/>
            <w:r>
              <w:rPr>
                <w:rFonts w:ascii="Microsoft YaHei" w:hAnsi="Microsoft YaHei" w:eastAsia="Microsoft YaHei"/>
                <w:sz w:val="21"/>
              </w:rPr>
              <w:t>24_安全管理需求方案.md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25</w:t>
            </w:r>
          </w:p>
        </w:tc>
        <w:tc>
          <w:tcPr>
            <w:tcW w:type="dxa" w:w="2266"/>
          </w:tcPr>
          <w:p>
            <w:pPr>
              <w:spacing w:after="40"/>
            </w:pPr>
            <w:r/>
            <w:r>
              <w:rPr>
                <w:rFonts w:ascii="Microsoft YaHei" w:hAnsi="Microsoft YaHei" w:eastAsia="Microsoft YaHei"/>
                <w:sz w:val="21"/>
              </w:rPr>
              <w:t>车辆管理</w:t>
            </w:r>
          </w:p>
        </w:tc>
        <w:tc>
          <w:tcPr>
            <w:tcW w:type="dxa" w:w="2266"/>
          </w:tcPr>
          <w:p>
            <w:pPr>
              <w:spacing w:after="40"/>
            </w:pPr>
            <w:r/>
            <w:r>
              <w:rPr>
                <w:rFonts w:ascii="Microsoft YaHei" w:hAnsi="Microsoft YaHei" w:eastAsia="Microsoft YaHei"/>
                <w:sz w:val="21"/>
              </w:rPr>
              <w:t>25_车辆管理需求方案.md</w:t>
            </w:r>
          </w:p>
        </w:tc>
        <w:tc>
          <w:tcPr>
            <w:tcW w:type="dxa" w:w="2266"/>
          </w:tcPr>
          <w:p>
            <w:pPr>
              <w:spacing w:after="40"/>
            </w:pPr>
            <w:r/>
            <w:r>
              <w:rPr>
                <w:rFonts w:ascii="Microsoft YaHei" w:hAnsi="Microsoft YaHei" w:eastAsia="Microsoft YaHei"/>
                <w:sz w:val="21"/>
              </w:rPr>
              <w:t>18</w:t>
            </w:r>
          </w:p>
        </w:tc>
      </w:tr>
    </w:tbl>
    <w:p/>
    <w:p>
      <w:pPr>
        <w:sectPr>
          <w:footerReference w:type="default" r:id="rId9"/>
          <w:pgSz w:w="12240" w:h="15840"/>
          <w:pgMar w:top="1440" w:right="1587" w:bottom="1440" w:left="1587" w:header="720" w:footer="720" w:gutter="0"/>
          <w:cols w:space="720"/>
          <w:docGrid w:linePitch="360"/>
        </w:sectPr>
      </w:pPr>
    </w:p>
    <w:p>
      <w:pPr>
        <w:pStyle w:val="Heading1"/>
      </w:pPr>
      <w:r>
        <w:t>合同结算需求方案</w:t>
      </w:r>
    </w:p>
    <w:p>
      <w:pPr>
        <w:pStyle w:val="Heading2"/>
      </w:pPr>
      <w:r>
        <w:t>1. 模块建设目标</w:t>
      </w:r>
    </w:p>
    <w:p>
      <w:pPr>
        <w:spacing w:after="120"/>
      </w:pPr>
      <w:r>
        <w:t>构建覆盖合同申请、审批、入账、结算、统计的合同全生命周期管理体系。</w:t>
      </w:r>
    </w:p>
    <w:p>
      <w:pPr>
        <w:pStyle w:val="Heading2"/>
      </w:pPr>
      <w:r>
        <w:t>2. 模块业务定位</w:t>
      </w:r>
    </w:p>
    <w:p>
      <w:pPr>
        <w:spacing w:after="120"/>
      </w:pPr>
      <w:r>
        <w:t>合同结算模块承担平台经营闭环和业务合规闭环双重职责，既服务项目、场地、单位之间的业务协同，也承接财务入账、合同履约、审批留痕和结算清分等核心管理要求。</w:t>
      </w:r>
    </w:p>
    <w:p>
      <w:pPr>
        <w:pStyle w:val="Heading2"/>
      </w:pPr>
      <w:r>
        <w:t>3. 适用角色与使用场景</w:t>
      </w:r>
    </w:p>
    <w:p>
      <w:pPr>
        <w:spacing w:after="120"/>
      </w:pPr>
      <w:r>
        <w:t>适用角色：建设单位经办人、施工单位经办人、运输单位经办人、财务人员、审批人员、平台管理员。 典型场景：构建覆盖合同申请、审批、入账、结算、统计的合同全生命周期管理体系。模块共包含 15 个核心功能点，覆盖合同清单、合同详情、合同入账、合同导出等业务场景，面向建设单位经办人、施工单位经办人、运输单位经办人等角色提供业务支撑。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合同清单</w:t>
            </w:r>
          </w:p>
        </w:tc>
        <w:tc>
          <w:tcPr>
            <w:tcW w:type="dxa" w:w="3022"/>
          </w:tcPr>
          <w:p>
            <w:pPr>
              <w:spacing w:after="40"/>
            </w:pPr>
            <w:r/>
            <w:r>
              <w:rPr>
                <w:rFonts w:ascii="Microsoft YaHei" w:hAnsi="Microsoft YaHei" w:eastAsia="Microsoft YaHei"/>
                <w:sz w:val="21"/>
              </w:rPr>
              <w:t>支持合同列表清单查看，可以通过多条件筛选合同清单数据；消纳合同、处置合同、车辆租赁合同、用工人员合同、其他相关合同。</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合同详情</w:t>
            </w:r>
          </w:p>
        </w:tc>
        <w:tc>
          <w:tcPr>
            <w:tcW w:type="dxa" w:w="3022"/>
          </w:tcPr>
          <w:p>
            <w:pPr>
              <w:spacing w:after="40"/>
            </w:pPr>
            <w:r/>
            <w:r>
              <w:rPr>
                <w:rFonts w:ascii="Microsoft YaHei" w:hAnsi="Microsoft YaHei" w:eastAsia="Microsoft YaHei"/>
                <w:sz w:val="21"/>
              </w:rPr>
              <w:t>在合同基础信息页面增加展示合同的审核审批流程、办事材料、历史发票信息以及历史领票记录。</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合同入账</w:t>
            </w:r>
          </w:p>
        </w:tc>
        <w:tc>
          <w:tcPr>
            <w:tcW w:type="dxa" w:w="3022"/>
          </w:tcPr>
          <w:p>
            <w:pPr>
              <w:spacing w:after="40"/>
            </w:pPr>
            <w:r/>
            <w:r>
              <w:rPr>
                <w:rFonts w:ascii="Microsoft YaHei" w:hAnsi="Microsoft YaHei" w:eastAsia="Microsoft YaHei"/>
                <w:sz w:val="21"/>
              </w:rPr>
              <w:t>支持合同的入账确认，同时支持一个合同的分次入账确认；</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合同导出</w:t>
            </w:r>
          </w:p>
        </w:tc>
        <w:tc>
          <w:tcPr>
            <w:tcW w:type="dxa" w:w="3022"/>
          </w:tcPr>
          <w:p>
            <w:pPr>
              <w:spacing w:after="40"/>
            </w:pPr>
            <w:r/>
            <w:r>
              <w:rPr>
                <w:rFonts w:ascii="Microsoft YaHei" w:hAnsi="Microsoft YaHei" w:eastAsia="Microsoft YaHei"/>
                <w:sz w:val="21"/>
              </w:rPr>
              <w:t>支持平台合同数据按照筛选条件导出；</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合同导入</w:t>
            </w:r>
          </w:p>
        </w:tc>
        <w:tc>
          <w:tcPr>
            <w:tcW w:type="dxa" w:w="3022"/>
          </w:tcPr>
          <w:p>
            <w:pPr>
              <w:spacing w:after="40"/>
            </w:pPr>
            <w:r/>
            <w:r>
              <w:rPr>
                <w:rFonts w:ascii="Microsoft YaHei" w:hAnsi="Microsoft YaHei" w:eastAsia="Microsoft YaHei"/>
                <w:sz w:val="21"/>
              </w:rPr>
              <w:t>支持历史合同数据的批量添加；</w:t>
            </w:r>
          </w:p>
        </w:tc>
      </w:tr>
      <w:tr>
        <w:tc>
          <w:tcPr>
            <w:tcW w:type="dxa" w:w="3022"/>
          </w:tcPr>
          <w:p>
            <w:pPr>
              <w:spacing w:after="40"/>
            </w:pPr>
            <w:r/>
            <w:r>
              <w:rPr>
                <w:rFonts w:ascii="Microsoft YaHei" w:hAnsi="Microsoft YaHei" w:eastAsia="Microsoft YaHei"/>
                <w:sz w:val="21"/>
              </w:rPr>
              <w:t>6</w:t>
            </w:r>
          </w:p>
        </w:tc>
        <w:tc>
          <w:tcPr>
            <w:tcW w:type="dxa" w:w="3022"/>
          </w:tcPr>
          <w:p>
            <w:pPr>
              <w:spacing w:after="40"/>
            </w:pPr>
            <w:r/>
            <w:r>
              <w:rPr>
                <w:rFonts w:ascii="Microsoft YaHei" w:hAnsi="Microsoft YaHei" w:eastAsia="Microsoft YaHei"/>
                <w:sz w:val="21"/>
              </w:rPr>
              <w:t>线下合同录入</w:t>
            </w:r>
          </w:p>
        </w:tc>
        <w:tc>
          <w:tcPr>
            <w:tcW w:type="dxa" w:w="3022"/>
          </w:tcPr>
          <w:p>
            <w:pPr>
              <w:spacing w:after="40"/>
            </w:pPr>
            <w:r/>
            <w:r>
              <w:rPr>
                <w:rFonts w:ascii="Microsoft YaHei" w:hAnsi="Microsoft YaHei" w:eastAsia="Microsoft YaHei"/>
                <w:sz w:val="21"/>
              </w:rPr>
              <w:t>实现非在线申请普通合同的登记补录，支持编号、项目名称、单位等信息的录入；实现非在线三方合同信息的登记补录；支持编号、项目名称、三方单位的信息录入与关联；在线合同申请与线下合同补录功能支持同场地，不同区域价格的配置，实现区内单价和区外单价区分计算；</w:t>
            </w:r>
          </w:p>
        </w:tc>
      </w:tr>
      <w:tr>
        <w:tc>
          <w:tcPr>
            <w:tcW w:type="dxa" w:w="3022"/>
          </w:tcPr>
          <w:p>
            <w:pPr>
              <w:spacing w:after="40"/>
            </w:pPr>
            <w:r/>
            <w:r>
              <w:rPr>
                <w:rFonts w:ascii="Microsoft YaHei" w:hAnsi="Microsoft YaHei" w:eastAsia="Microsoft YaHei"/>
                <w:sz w:val="21"/>
              </w:rPr>
              <w:t>7</w:t>
            </w:r>
          </w:p>
        </w:tc>
        <w:tc>
          <w:tcPr>
            <w:tcW w:type="dxa" w:w="3022"/>
          </w:tcPr>
          <w:p>
            <w:pPr>
              <w:spacing w:after="40"/>
            </w:pPr>
            <w:r/>
            <w:r>
              <w:rPr>
                <w:rFonts w:ascii="Microsoft YaHei" w:hAnsi="Microsoft YaHei" w:eastAsia="Microsoft YaHei"/>
                <w:sz w:val="21"/>
              </w:rPr>
              <w:t>月报统计</w:t>
            </w:r>
          </w:p>
        </w:tc>
        <w:tc>
          <w:tcPr>
            <w:tcW w:type="dxa" w:w="3022"/>
          </w:tcPr>
          <w:p>
            <w:pPr>
              <w:spacing w:after="40"/>
            </w:pPr>
            <w:r/>
            <w:r>
              <w:rPr>
                <w:rFonts w:ascii="Microsoft YaHei" w:hAnsi="Microsoft YaHei" w:eastAsia="Microsoft YaHei"/>
                <w:sz w:val="21"/>
              </w:rPr>
              <w:t>支持日、月、年合同数据的统计计算功能，支持自定义结算日期统计计算功能；</w:t>
            </w:r>
          </w:p>
        </w:tc>
      </w:tr>
      <w:tr>
        <w:tc>
          <w:tcPr>
            <w:tcW w:type="dxa" w:w="3022"/>
          </w:tcPr>
          <w:p>
            <w:pPr>
              <w:spacing w:after="40"/>
            </w:pPr>
            <w:r/>
            <w:r>
              <w:rPr>
                <w:rFonts w:ascii="Microsoft YaHei" w:hAnsi="Microsoft YaHei" w:eastAsia="Microsoft YaHei"/>
                <w:sz w:val="21"/>
              </w:rPr>
              <w:t>8</w:t>
            </w:r>
          </w:p>
        </w:tc>
        <w:tc>
          <w:tcPr>
            <w:tcW w:type="dxa" w:w="3022"/>
          </w:tcPr>
          <w:p>
            <w:pPr>
              <w:spacing w:after="40"/>
            </w:pPr>
            <w:r/>
            <w:r>
              <w:rPr>
                <w:rFonts w:ascii="Microsoft YaHei" w:hAnsi="Microsoft YaHei" w:eastAsia="Microsoft YaHei"/>
                <w:sz w:val="21"/>
              </w:rPr>
              <w:t>单位统计</w:t>
            </w:r>
          </w:p>
        </w:tc>
        <w:tc>
          <w:tcPr>
            <w:tcW w:type="dxa" w:w="3022"/>
          </w:tcPr>
          <w:p>
            <w:pPr>
              <w:spacing w:after="40"/>
            </w:pPr>
            <w:r/>
            <w:r>
              <w:rPr>
                <w:rFonts w:ascii="Microsoft YaHei" w:hAnsi="Microsoft YaHei" w:eastAsia="Microsoft YaHei"/>
                <w:sz w:val="21"/>
              </w:rPr>
              <w:t>支持统计单位的详情数据查看；详情展示单位的项目列表，项目列表可以查看合同明细，并且合同明细要按照消纳场地进行汇总；</w:t>
            </w:r>
          </w:p>
        </w:tc>
      </w:tr>
      <w:tr>
        <w:tc>
          <w:tcPr>
            <w:tcW w:type="dxa" w:w="3022"/>
          </w:tcPr>
          <w:p>
            <w:pPr>
              <w:spacing w:after="40"/>
            </w:pPr>
            <w:r/>
            <w:r>
              <w:rPr>
                <w:rFonts w:ascii="Microsoft YaHei" w:hAnsi="Microsoft YaHei" w:eastAsia="Microsoft YaHei"/>
                <w:sz w:val="21"/>
              </w:rPr>
              <w:t>9</w:t>
            </w:r>
          </w:p>
        </w:tc>
        <w:tc>
          <w:tcPr>
            <w:tcW w:type="dxa" w:w="3022"/>
          </w:tcPr>
          <w:p>
            <w:pPr>
              <w:spacing w:after="40"/>
            </w:pPr>
            <w:r/>
            <w:r>
              <w:rPr>
                <w:rFonts w:ascii="Microsoft YaHei" w:hAnsi="Microsoft YaHei" w:eastAsia="Microsoft YaHei"/>
                <w:sz w:val="21"/>
              </w:rPr>
              <w:t>合同审批</w:t>
            </w:r>
          </w:p>
        </w:tc>
        <w:tc>
          <w:tcPr>
            <w:tcW w:type="dxa" w:w="3022"/>
          </w:tcPr>
          <w:p>
            <w:pPr>
              <w:spacing w:after="40"/>
            </w:pPr>
            <w:r/>
            <w:r>
              <w:rPr>
                <w:rFonts w:ascii="Microsoft YaHei" w:hAnsi="Microsoft YaHei" w:eastAsia="Microsoft YaHei"/>
                <w:sz w:val="21"/>
              </w:rPr>
              <w:t>支持合同在线审核审批流程，以及合同文书的在线生成；</w:t>
            </w:r>
          </w:p>
        </w:tc>
      </w:tr>
      <w:tr>
        <w:tc>
          <w:tcPr>
            <w:tcW w:type="dxa" w:w="3022"/>
          </w:tcPr>
          <w:p>
            <w:pPr>
              <w:spacing w:after="40"/>
            </w:pPr>
            <w:r/>
            <w:r>
              <w:rPr>
                <w:rFonts w:ascii="Microsoft YaHei" w:hAnsi="Microsoft YaHei" w:eastAsia="Microsoft YaHei"/>
                <w:sz w:val="21"/>
              </w:rPr>
              <w:t>10</w:t>
            </w:r>
          </w:p>
        </w:tc>
        <w:tc>
          <w:tcPr>
            <w:tcW w:type="dxa" w:w="3022"/>
          </w:tcPr>
          <w:p>
            <w:pPr>
              <w:spacing w:after="40"/>
            </w:pPr>
            <w:r/>
            <w:r>
              <w:rPr>
                <w:rFonts w:ascii="Microsoft YaHei" w:hAnsi="Microsoft YaHei" w:eastAsia="Microsoft YaHei"/>
                <w:sz w:val="21"/>
              </w:rPr>
              <w:t>消纳合同发起</w:t>
            </w:r>
          </w:p>
        </w:tc>
        <w:tc>
          <w:tcPr>
            <w:tcW w:type="dxa" w:w="3022"/>
          </w:tcPr>
          <w:p>
            <w:pPr>
              <w:spacing w:after="40"/>
            </w:pPr>
            <w:r/>
            <w:r>
              <w:rPr>
                <w:rFonts w:ascii="Microsoft YaHei" w:hAnsi="Microsoft YaHei" w:eastAsia="Microsoft YaHei"/>
                <w:sz w:val="21"/>
              </w:rPr>
              <w:t>支持渣土消纳合同（正常合同和三方合同）在线申请；审批退回后支持退回原因的填写并告知申请人员；</w:t>
            </w:r>
          </w:p>
        </w:tc>
      </w:tr>
      <w:tr>
        <w:tc>
          <w:tcPr>
            <w:tcW w:type="dxa" w:w="3022"/>
          </w:tcPr>
          <w:p>
            <w:pPr>
              <w:spacing w:after="40"/>
            </w:pPr>
            <w:r/>
            <w:r>
              <w:rPr>
                <w:rFonts w:ascii="Microsoft YaHei" w:hAnsi="Microsoft YaHei" w:eastAsia="Microsoft YaHei"/>
                <w:sz w:val="21"/>
              </w:rPr>
              <w:t>11</w:t>
            </w:r>
          </w:p>
        </w:tc>
        <w:tc>
          <w:tcPr>
            <w:tcW w:type="dxa" w:w="3022"/>
          </w:tcPr>
          <w:p>
            <w:pPr>
              <w:spacing w:after="40"/>
            </w:pPr>
            <w:r/>
            <w:r>
              <w:rPr>
                <w:rFonts w:ascii="Microsoft YaHei" w:hAnsi="Microsoft YaHei" w:eastAsia="Microsoft YaHei"/>
                <w:sz w:val="21"/>
              </w:rPr>
              <w:t>变更合同发起</w:t>
            </w:r>
          </w:p>
        </w:tc>
        <w:tc>
          <w:tcPr>
            <w:tcW w:type="dxa" w:w="3022"/>
          </w:tcPr>
          <w:p>
            <w:pPr>
              <w:spacing w:after="40"/>
            </w:pPr>
            <w:r/>
            <w:r>
              <w:rPr>
                <w:rFonts w:ascii="Microsoft YaHei" w:hAnsi="Microsoft YaHei" w:eastAsia="Microsoft YaHei"/>
                <w:sz w:val="21"/>
              </w:rPr>
              <w:t>1.支持渣土消纳合同（正常合同和三方合同）场地变更的在线申请2.场地支持部分方量变更；3.更新场地变更的方量计算方式，变更场地变更运算逻辑；</w:t>
            </w:r>
          </w:p>
        </w:tc>
      </w:tr>
      <w:tr>
        <w:tc>
          <w:tcPr>
            <w:tcW w:type="dxa" w:w="3022"/>
          </w:tcPr>
          <w:p>
            <w:pPr>
              <w:spacing w:after="40"/>
            </w:pPr>
            <w:r/>
            <w:r>
              <w:rPr>
                <w:rFonts w:ascii="Microsoft YaHei" w:hAnsi="Microsoft YaHei" w:eastAsia="Microsoft YaHei"/>
                <w:sz w:val="21"/>
              </w:rPr>
              <w:t>12</w:t>
            </w:r>
          </w:p>
        </w:tc>
        <w:tc>
          <w:tcPr>
            <w:tcW w:type="dxa" w:w="3022"/>
          </w:tcPr>
          <w:p>
            <w:pPr>
              <w:spacing w:after="40"/>
            </w:pPr>
            <w:r/>
            <w:r>
              <w:rPr>
                <w:rFonts w:ascii="Microsoft YaHei" w:hAnsi="Microsoft YaHei" w:eastAsia="Microsoft YaHei"/>
                <w:sz w:val="21"/>
              </w:rPr>
              <w:t>消纳延期</w:t>
            </w:r>
          </w:p>
        </w:tc>
        <w:tc>
          <w:tcPr>
            <w:tcW w:type="dxa" w:w="3022"/>
          </w:tcPr>
          <w:p>
            <w:pPr>
              <w:spacing w:after="40"/>
            </w:pPr>
            <w:r/>
            <w:r>
              <w:rPr>
                <w:rFonts w:ascii="Microsoft YaHei" w:hAnsi="Microsoft YaHei" w:eastAsia="Microsoft YaHei"/>
                <w:sz w:val="21"/>
              </w:rPr>
              <w:t>支持项目延期单数据的自动统计并生成相应的文书材料；</w:t>
            </w:r>
          </w:p>
        </w:tc>
      </w:tr>
      <w:tr>
        <w:tc>
          <w:tcPr>
            <w:tcW w:type="dxa" w:w="3022"/>
          </w:tcPr>
          <w:p>
            <w:pPr>
              <w:spacing w:after="40"/>
            </w:pPr>
            <w:r/>
            <w:r>
              <w:rPr>
                <w:rFonts w:ascii="Microsoft YaHei" w:hAnsi="Microsoft YaHei" w:eastAsia="Microsoft YaHei"/>
                <w:sz w:val="21"/>
              </w:rPr>
              <w:t>13</w:t>
            </w:r>
          </w:p>
        </w:tc>
        <w:tc>
          <w:tcPr>
            <w:tcW w:type="dxa" w:w="3022"/>
          </w:tcPr>
          <w:p>
            <w:pPr>
              <w:spacing w:after="40"/>
            </w:pPr>
            <w:r/>
            <w:r>
              <w:rPr>
                <w:rFonts w:ascii="Microsoft YaHei" w:hAnsi="Microsoft YaHei" w:eastAsia="Microsoft YaHei"/>
                <w:sz w:val="21"/>
              </w:rPr>
              <w:t>内拨申请</w:t>
            </w:r>
          </w:p>
        </w:tc>
        <w:tc>
          <w:tcPr>
            <w:tcW w:type="dxa" w:w="3022"/>
          </w:tcPr>
          <w:p>
            <w:pPr>
              <w:spacing w:after="40"/>
            </w:pPr>
            <w:r/>
            <w:r>
              <w:rPr>
                <w:rFonts w:ascii="Microsoft YaHei" w:hAnsi="Microsoft YaHei" w:eastAsia="Microsoft YaHei"/>
                <w:sz w:val="21"/>
              </w:rPr>
              <w:t>支持用户发起短距离的场地间土方的调拨，自主申请；</w:t>
            </w:r>
          </w:p>
        </w:tc>
      </w:tr>
      <w:tr>
        <w:tc>
          <w:tcPr>
            <w:tcW w:type="dxa" w:w="3022"/>
          </w:tcPr>
          <w:p>
            <w:pPr>
              <w:spacing w:after="40"/>
            </w:pPr>
            <w:r/>
            <w:r>
              <w:rPr>
                <w:rFonts w:ascii="Microsoft YaHei" w:hAnsi="Microsoft YaHei" w:eastAsia="Microsoft YaHei"/>
                <w:sz w:val="21"/>
              </w:rPr>
              <w:t>14</w:t>
            </w:r>
          </w:p>
        </w:tc>
        <w:tc>
          <w:tcPr>
            <w:tcW w:type="dxa" w:w="3022"/>
          </w:tcPr>
          <w:p>
            <w:pPr>
              <w:spacing w:after="40"/>
            </w:pPr>
            <w:r/>
            <w:r>
              <w:rPr>
                <w:rFonts w:ascii="Microsoft YaHei" w:hAnsi="Microsoft YaHei" w:eastAsia="Microsoft YaHei"/>
                <w:sz w:val="21"/>
              </w:rPr>
              <w:t>项目结算</w:t>
            </w:r>
          </w:p>
        </w:tc>
        <w:tc>
          <w:tcPr>
            <w:tcW w:type="dxa" w:w="3022"/>
          </w:tcPr>
          <w:p>
            <w:pPr>
              <w:spacing w:after="40"/>
            </w:pPr>
            <w:r/>
            <w:r>
              <w:rPr>
                <w:rFonts w:ascii="Microsoft YaHei" w:hAnsi="Microsoft YaHei" w:eastAsia="Microsoft YaHei"/>
                <w:sz w:val="21"/>
              </w:rPr>
              <w:t>支持项目的结算，可以按照关联的合同进行汇总展示，并进行消纳数据的结算；</w:t>
            </w:r>
          </w:p>
        </w:tc>
      </w:tr>
      <w:tr>
        <w:tc>
          <w:tcPr>
            <w:tcW w:type="dxa" w:w="3022"/>
          </w:tcPr>
          <w:p>
            <w:pPr>
              <w:spacing w:after="40"/>
            </w:pPr>
            <w:r/>
            <w:r>
              <w:rPr>
                <w:rFonts w:ascii="Microsoft YaHei" w:hAnsi="Microsoft YaHei" w:eastAsia="Microsoft YaHei"/>
                <w:sz w:val="21"/>
              </w:rPr>
              <w:t>15</w:t>
            </w:r>
          </w:p>
        </w:tc>
        <w:tc>
          <w:tcPr>
            <w:tcW w:type="dxa" w:w="3022"/>
          </w:tcPr>
          <w:p>
            <w:pPr>
              <w:spacing w:after="40"/>
            </w:pPr>
            <w:r/>
            <w:r>
              <w:rPr>
                <w:rFonts w:ascii="Microsoft YaHei" w:hAnsi="Microsoft YaHei" w:eastAsia="Microsoft YaHei"/>
                <w:sz w:val="21"/>
              </w:rPr>
              <w:t>场地结算</w:t>
            </w:r>
          </w:p>
        </w:tc>
        <w:tc>
          <w:tcPr>
            <w:tcW w:type="dxa" w:w="3022"/>
          </w:tcPr>
          <w:p>
            <w:pPr>
              <w:spacing w:after="40"/>
            </w:pPr>
            <w:r/>
            <w:r>
              <w:rPr>
                <w:rFonts w:ascii="Microsoft YaHei" w:hAnsi="Microsoft YaHei" w:eastAsia="Microsoft YaHei"/>
                <w:sz w:val="21"/>
              </w:rPr>
              <w:t>支持场地的结算，可以按照关联的合同进行汇总展示，并进行消纳数据的结算；</w:t>
            </w:r>
          </w:p>
        </w:tc>
      </w:tr>
    </w:tbl>
    <w:p/>
    <w:p>
      <w:pPr>
        <w:pStyle w:val="Heading2"/>
      </w:pPr>
      <w:r>
        <w:t>5. 功能需求逐项说明</w:t>
      </w:r>
    </w:p>
    <w:p>
      <w:pPr>
        <w:pStyle w:val="Heading3"/>
      </w:pPr>
      <w:r>
        <w:t>5.1 合同清单</w:t>
      </w:r>
    </w:p>
    <w:p>
      <w:pPr>
        <w:spacing w:after="120"/>
      </w:pPr>
      <w:r>
        <w:t>功能需求理解 支持合同列表清单查看，可以通过多条件筛选合同清单数据；消纳合同、处置合同、车辆租赁合同、用工人员合同、其他相关合同。该功能需支撑业务主体在标准流程、异常场景和监管抽查场景下完成统一办理，并保证数据可追溯、结果可核验。</w:t>
      </w:r>
    </w:p>
    <w:p>
      <w:pPr>
        <w:spacing w:after="120"/>
      </w:pPr>
      <w:r>
        <w:t>业务分析 “合同清单”不仅服务单点操作，还需要与上游主数据、审批规则、消息通知和统计分析形成联动，确保业务从发起、处理、反馈到归档全程留痕。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核心展示内容至少覆盖：支持合同列表清单查看，可以通过多条件筛选合同清单数据；消纳合同、处置合同、车辆租赁合同、用工人员合同、其他相关合同。</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“合同清单”应以合同结算模块的业务对象为主，不替代其他模块的主数据维护职责。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合同详情</w:t>
      </w:r>
    </w:p>
    <w:p>
      <w:pPr>
        <w:spacing w:after="120"/>
      </w:pPr>
      <w:r>
        <w:t>功能需求理解 在合同基础信息页面增加展示合同的审核审批流程、办事材料、历史发票信息以及历史领票记录。该功能需支撑业务主体在标准流程、异常场景和监管抽查场景下完成统一办理，并保证数据可追溯、结果可核验。</w:t>
      </w:r>
    </w:p>
    <w:p>
      <w:pPr>
        <w:spacing w:after="120"/>
      </w:pPr>
      <w:r>
        <w:t>业务分析 “合同详情”不仅服务单点操作，还需要与上游主数据、审批规则、消息通知和统计分析形成联动，确保业务从发起、处理、反馈到归档全程留痕。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用户进入“合同详情”功能页面，按角色权限选择查询范围或业务对象。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校验通过后，系统执行“合同详情”对应的业务处理、状态流转或统计计算。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核心展示内容至少覆盖：在合同基础信息页面增加展示合同的审核审批流程、办事材料、历史发票信息以及历史领票记录。</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查看详情：打开详情页或详情抽屉，展示全量业务信息、流程轨迹、附件和历史记录。</w:t>
      </w:r>
    </w:p>
    <w:p>
      <w:pPr>
        <w:pStyle w:val="ListBullet"/>
        <w:spacing w:after="40"/>
      </w:pPr>
      <w:r>
        <w:t>下载附件：触发对应业务动作，并根据当前状态返回处理结果或失败提示。</w:t>
      </w:r>
    </w:p>
    <w:p>
      <w:pPr>
        <w:pStyle w:val="ListBullet"/>
        <w:spacing w:after="40"/>
      </w:pPr>
      <w:r>
        <w:t>打印：触发对应业务动作，并根据当前状态返回处理结果或失败提示。</w:t>
      </w:r>
    </w:p>
    <w:p>
      <w:pPr>
        <w:pStyle w:val="ListBullet"/>
        <w:spacing w:after="40"/>
      </w:pPr>
      <w:r>
        <w:t>关闭：触发对应业务动作，并根据当前状态返回处理结果或失败提示。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“合同详情”应以合同结算模块的业务对象为主，不替代其他模块的主数据维护职责。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合同入账</w:t>
      </w:r>
    </w:p>
    <w:p>
      <w:pPr>
        <w:spacing w:after="120"/>
      </w:pPr>
      <w:r>
        <w:t>功能需求理解 支持合同的入账确认，同时支持一个合同的分次入账确认；该功能需支撑业务主体在标准流程、异常场景和监管抽查场景下完成统一办理，并保证数据可追溯、结果可核验。</w:t>
      </w:r>
    </w:p>
    <w:p>
      <w:pPr>
        <w:spacing w:after="120"/>
      </w:pPr>
      <w:r>
        <w:t>业务分析 “合同入账”不仅服务单点操作，还需要与上游主数据、审批规则、消息通知和统计分析形成联动，确保业务从发起、处理、反馈到归档全程留痕。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用户进入“合同入账”功能页面，按角色权限选择查询范围或业务对象。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校验通过后，系统执行“合同入账”对应的业务处理、状态流转或统计计算。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核心展示内容至少覆盖：支持合同的入账确认，同时支持一个合同的分次入账确认。</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“合同入账”应以合同结算模块的业务对象为主，不替代其他模块的主数据维护职责。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合同导出</w:t>
      </w:r>
    </w:p>
    <w:p>
      <w:pPr>
        <w:spacing w:after="120"/>
      </w:pPr>
      <w:r>
        <w:t>功能需求理解 支持平台合同数据按照筛选条件导出；该功能需支撑业务主体在标准流程、异常场景和监管抽查场景下完成统一办理，并保证数据可追溯、结果可核验。</w:t>
      </w:r>
    </w:p>
    <w:p>
      <w:pPr>
        <w:spacing w:after="120"/>
      </w:pPr>
      <w:r>
        <w:t>业务分析 “合同导出”不仅服务单点操作，还需要与上游主数据、审批规则、消息通知和统计分析形成联动，确保业务从发起、处理、反馈到归档全程留痕。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用户进入“合同导出”功能页面，按角色权限选择查询范围或业务对象。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校验通过后，系统执行“合同导出”对应的业务处理、状态流转或统计计算。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核心展示内容至少覆盖：支持平台合同数据按照筛选条件导出。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导出：仅在用户具备导出权限且当前结果集不为空时显示，点击后生成导出任务并返回任务编号。</w:t>
      </w:r>
    </w:p>
    <w:p>
      <w:pPr>
        <w:pStyle w:val="ListBullet"/>
        <w:spacing w:after="40"/>
      </w:pPr>
      <w:r>
        <w:t>下载文件：下载当前导出文件或附件文件，失败时需展示失败原因并支持重新下载。</w:t>
      </w:r>
    </w:p>
    <w:p>
      <w:pPr>
        <w:pStyle w:val="ListBullet"/>
        <w:spacing w:after="40"/>
      </w:pPr>
      <w:r>
        <w:t>查看任务：查看导出、同步或批处理任务状态、开始时间、完成时间和失败原因。</w:t>
      </w:r>
    </w:p>
    <w:p>
      <w:pPr>
        <w:pStyle w:val="ListBullet"/>
        <w:spacing w:after="40"/>
      </w:pPr>
      <w:r>
        <w:t>取消：取消当前任务或关闭当前操作，取消前需二次确认。</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输出导出任务、文件下载地址、下载状态及失败原因说明。</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pStyle w:val="ListBullet"/>
        <w:spacing w:after="40"/>
      </w:pPr>
      <w:r>
        <w:t>文件处理失败时需返回批次号、失败原因、失败记录定位信息和可重新处理入口。</w:t>
      </w:r>
    </w:p>
    <w:p>
      <w:pPr>
        <w:spacing w:after="120"/>
      </w:pPr>
      <w:r>
        <w:t>边界说明</w:t>
      </w:r>
    </w:p>
    <w:p>
      <w:pPr>
        <w:pStyle w:val="ListBullet"/>
        <w:spacing w:after="40"/>
      </w:pPr>
      <w:r>
        <w:t>“合同导出”应以合同结算模块的业务对象为主，不替代其他模块的主数据维护职责。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5.5 合同导入</w:t>
      </w:r>
    </w:p>
    <w:p>
      <w:pPr>
        <w:spacing w:after="120"/>
      </w:pPr>
      <w:r>
        <w:t>功能需求理解 支持历史合同数据的批量添加；该功能需支撑业务主体在标准流程、异常场景和监管抽查场景下完成统一办理，并保证数据可追溯、结果可核验。</w:t>
      </w:r>
    </w:p>
    <w:p>
      <w:pPr>
        <w:spacing w:after="120"/>
      </w:pPr>
      <w:r>
        <w:t>业务分析 “合同导入”不仅服务单点操作，还需要与上游主数据、审批规则、消息通知和统计分析形成联动，确保业务从发起、处理、反馈到归档全程留痕。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用户进入“合同导入”功能页面，按角色权限选择查询范围或业务对象。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校验通过后，系统执行“合同导入”对应的业务处理、状态流转或统计计算。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核心展示内容至少覆盖：支持历史合同数据的批量添加。</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下载模板：触发对应业务动作，并根据当前状态返回处理结果或失败提示。</w:t>
      </w:r>
    </w:p>
    <w:p>
      <w:pPr>
        <w:pStyle w:val="ListBullet"/>
        <w:spacing w:after="40"/>
      </w:pPr>
      <w:r>
        <w:t>上传文件：触发对应业务动作，并根据当前状态返回处理结果或失败提示。</w:t>
      </w:r>
    </w:p>
    <w:p>
      <w:pPr>
        <w:pStyle w:val="ListBullet"/>
        <w:spacing w:after="40"/>
      </w:pPr>
      <w:r>
        <w:t>预校验：触发对应业务动作，并根据当前状态返回处理结果或失败提示。</w:t>
      </w:r>
    </w:p>
    <w:p>
      <w:pPr>
        <w:pStyle w:val="ListBullet"/>
        <w:spacing w:after="40"/>
      </w:pPr>
      <w:r>
        <w:t>导入确认：触发对应业务动作，并根据当前状态返回处理结果或失败提示。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输出导入结果摘要、失败明细、成功写入数量及批次追踪信息。</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pStyle w:val="ListBullet"/>
        <w:spacing w:after="40"/>
      </w:pPr>
      <w:r>
        <w:t>文件处理失败时需返回批次号、失败原因、失败记录定位信息和可重新处理入口。</w:t>
      </w:r>
    </w:p>
    <w:p>
      <w:pPr>
        <w:spacing w:after="120"/>
      </w:pPr>
      <w:r>
        <w:t>边界说明</w:t>
      </w:r>
    </w:p>
    <w:p>
      <w:pPr>
        <w:pStyle w:val="ListBullet"/>
        <w:spacing w:after="40"/>
      </w:pPr>
      <w:r>
        <w:t>“合同导入”应以合同结算模块的业务对象为主，不替代其他模块的主数据维护职责。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5.6 线下合同录入</w:t>
      </w:r>
    </w:p>
    <w:p>
      <w:pPr>
        <w:spacing w:after="120"/>
      </w:pPr>
      <w:r>
        <w:t>功能需求理解 实现非在线申请普通合同的登记补录，支持编号、项目名称、单位等信息的录入；实现非在线三方合同信息的登记补录；支持编号、项目名称、三方单位的信息录入与关联；在线合同申请与线下合同补录功能支持同场地，不同区域价格的配置，实现区内单价和区外单价区分计算；该功能需支撑业务主体在标准流程、异常场景和监管抽查场景下完成统一办理，并保证数据可追溯、结果可核验。</w:t>
      </w:r>
    </w:p>
    <w:p>
      <w:pPr>
        <w:spacing w:after="120"/>
      </w:pPr>
      <w:r>
        <w:t>业务分析 “线下合同录入”不仅服务单点操作，还需要与上游主数据、审批规则、消息通知和统计分析形成联动，确保业务从发起、处理、反馈到归档全程留痕。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用户进入“线下合同录入”功能页面，按角色权限选择查询范围或业务对象。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校验通过后，系统执行“线下合同录入”对应的业务处理、状态流转或统计计算。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非在线申请普通合同的登记补录，支持编号、项目名称、单位等信息的录入；实现非在线三方合同信息的登记补录；支持编号、项目名称、三方单位的信息录入与关联；在线合同申请与线下合同补录功能支持同场地，不同区域价格的配置，实现区内单价和区外单价区分计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“线下合同录入”应以合同结算模块的业务对象为主，不替代其他模块的主数据维护职责。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5.7 月报统计</w:t>
      </w:r>
    </w:p>
    <w:p>
      <w:pPr>
        <w:spacing w:after="120"/>
      </w:pPr>
      <w:r>
        <w:t>功能需求理解 支持日、月、年合同数据的统计计算功能，支持自定义结算日期统计计算功能；该功能需支撑业务主体在标准流程、异常场景和监管抽查场景下完成统一办理，并保证数据可追溯、结果可核验。</w:t>
      </w:r>
    </w:p>
    <w:p>
      <w:pPr>
        <w:spacing w:after="120"/>
      </w:pPr>
      <w:r>
        <w:t>业务分析 “月报统计”不仅服务单点操作，还需要与上游主数据、审批规则、消息通知和统计分析形成联动，确保业务从发起、处理、反馈到归档全程留痕。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用户进入“月报统计”功能页面，按角色权限选择查询范围或业务对象。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校验通过后，系统执行“月报统计”对应的业务处理、状态流转或统计计算。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核心展示内容至少覆盖：支持日、月、年合同数据的统计计算功能，支持自定义结算日期统计计算功能。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查看明细：触发对应业务动作，并根据当前状态返回处理结果或失败提示。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“月报统计”应以合同结算模块的业务对象为主，不替代其他模块的主数据维护职责。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5.8 单位统计</w:t>
      </w:r>
    </w:p>
    <w:p>
      <w:pPr>
        <w:spacing w:after="120"/>
      </w:pPr>
      <w:r>
        <w:t>功能需求理解 支持统计单位的详情数据查看；详情展示单位的项目列表，项目列表可以查看合同明细，并且合同明细要按照消纳场地进行汇总；该功能需支撑业务主体在标准流程、异常场景和监管抽查场景下完成统一办理，并保证数据可追溯、结果可核验。</w:t>
      </w:r>
    </w:p>
    <w:p>
      <w:pPr>
        <w:spacing w:after="120"/>
      </w:pPr>
      <w:r>
        <w:t>业务分析 “单位统计”不仅服务单点操作，还需要与上游主数据、审批规则、消息通知和统计分析形成联动，确保业务从发起、处理、反馈到归档全程留痕。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用户进入“单位统计”功能页面，按角色权限选择查询范围或业务对象。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校验通过后，系统执行“单位统计”对应的业务处理、状态流转或统计计算。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核心展示内容至少覆盖：支持统计单位的详情数据查看；详情展示单位的项目列表，项目列表可以查看合同明细，并且合同明细要按照消纳场地进行汇总。</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查看明细：触发对应业务动作，并根据当前状态返回处理结果或失败提示。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“单位统计”应以合同结算模块的业务对象为主，不替代其他模块的主数据维护职责。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5.9 合同审批</w:t>
      </w:r>
    </w:p>
    <w:p>
      <w:pPr>
        <w:spacing w:after="120"/>
      </w:pPr>
      <w:r>
        <w:t>功能需求理解 支持合同在线审核审批流程，以及合同文书的在线生成；该功能需支撑业务主体在标准流程、异常场景和监管抽查场景下完成统一办理，并保证数据可追溯、结果可核验。</w:t>
      </w:r>
    </w:p>
    <w:p>
      <w:pPr>
        <w:spacing w:after="120"/>
      </w:pPr>
      <w:r>
        <w:t>业务分析 “合同审批”不仅服务单点操作，还需要与上游主数据、审批规则、消息通知和统计分析形成联动，确保业务从发起、处理、反馈到归档全程留痕。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用户进入“合同审批”功能页面，按角色权限选择查询范围或业务对象。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校验通过后，系统执行“合同审批”对应的业务处理、状态流转或统计计算。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核心展示内容至少覆盖：支持合同在线审核审批流程，以及合同文书的在线生成。</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提交审批：校验必填材料和业务状态后发起审批，提交成功后进入审批流。</w:t>
      </w:r>
    </w:p>
    <w:p>
      <w:pPr>
        <w:pStyle w:val="ListBullet"/>
        <w:spacing w:after="40"/>
      </w:pPr>
      <w:r>
        <w:t>通过：审核通过当前事项并进入下一节点或办理完成，需记录审批意见。</w:t>
      </w:r>
    </w:p>
    <w:p>
      <w:pPr>
        <w:pStyle w:val="ListBullet"/>
        <w:spacing w:after="40"/>
      </w:pPr>
      <w:r>
        <w:t>退回：填写退回原因后将事项退回上一步或发起人，并触发消息通知。</w:t>
      </w:r>
    </w:p>
    <w:p>
      <w:pPr>
        <w:pStyle w:val="ListBullet"/>
        <w:spacing w:after="40"/>
      </w:pPr>
      <w:r>
        <w:t>查看流程：查看流程节点、当前处理人、历史意见和处理时间。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输出审批结果、审批意见、审批轨迹及消息通知结果，并同步更新业务状态。</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“合同审批”应以合同结算模块的业务对象为主，不替代其他模块的主数据维护职责。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5.10 消纳合同发起</w:t>
      </w:r>
    </w:p>
    <w:p>
      <w:pPr>
        <w:spacing w:after="120"/>
      </w:pPr>
      <w:r>
        <w:t>功能需求理解 支持渣土消纳合同（正常合同和三方合同）在线申请；审批退回后支持退回原因的填写并告知申请人员；该功能需支撑业务主体在标准流程、异常场景和监管抽查场景下完成统一办理，并保证数据可追溯、结果可核验。</w:t>
      </w:r>
    </w:p>
    <w:p>
      <w:pPr>
        <w:spacing w:after="120"/>
      </w:pPr>
      <w:r>
        <w:t>业务分析 “消纳合同发起”不仅服务单点操作，还需要与上游主数据、审批规则、消息通知和统计分析形成联动，确保业务从发起、处理、反馈到归档全程留痕。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用户进入“消纳合同发起”功能页面，按角色权限选择查询范围或业务对象。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校验通过后，系统执行“消纳合同发起”对应的业务处理、状态流转或统计计算。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核心展示内容至少覆盖：支持渣土消纳合同（正常合同和三方合同）在线申请；审批退回后支持退回原因的填写并告知申请人员。</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新建申请：打开申请单表单，支持录入基础信息、附件和办理说明。</w:t>
      </w:r>
    </w:p>
    <w:p>
      <w:pPr>
        <w:pStyle w:val="ListBullet"/>
        <w:spacing w:after="40"/>
      </w:pPr>
      <w:r>
        <w:t>暂存：保存当前录入内容为草稿，不触发审批、推送或同步流程。</w:t>
      </w:r>
    </w:p>
    <w:p>
      <w:pPr>
        <w:pStyle w:val="ListBullet"/>
        <w:spacing w:after="40"/>
      </w:pPr>
      <w:r>
        <w:t>提交：完成校验后正式提交，进入后续处理、审批或同步流程。</w:t>
      </w:r>
    </w:p>
    <w:p>
      <w:pPr>
        <w:pStyle w:val="ListBullet"/>
        <w:spacing w:after="40"/>
      </w:pPr>
      <w:r>
        <w:t>撤回：在尚未受理或尚未审批完成前允许撤回，撤回后恢复可编辑状态并记录原因。</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“消纳合同发起”应以合同结算模块的业务对象为主，不替代其他模块的主数据维护职责。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5.11 变更合同发起</w:t>
      </w:r>
    </w:p>
    <w:p>
      <w:pPr>
        <w:spacing w:after="120"/>
      </w:pPr>
      <w:r>
        <w:t>功能需求理解 1.支持渣土消纳合同（正常合同和三方合同）场地变更的在线申请2.场地支持部分方量变更；3.更新场地变更的方量计算方式，变更场地变更运算逻辑；该功能需支撑业务主体在标准流程、异常场景和监管抽查场景下完成统一办理，并保证数据可追溯、结果可核验。</w:t>
      </w:r>
    </w:p>
    <w:p>
      <w:pPr>
        <w:spacing w:after="120"/>
      </w:pPr>
      <w:r>
        <w:t>业务分析 “变更合同发起”不仅服务单点操作，还需要与上游主数据、审批规则、消息通知和统计分析形成联动，确保业务从发起、处理、反馈到归档全程留痕。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用户进入“变更合同发起”功能页面，按角色权限选择查询范围或业务对象。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校验通过后，系统执行“变更合同发起”对应的业务处理、状态流转或统计计算。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核心展示内容至少覆盖：1.支持渣土消纳合同（正常合同和三方合同）场地变更的在线申请2.场地支持部分方量变更；3.更新场地变更的方量计算方式，变更场地变更运算逻辑。</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新建申请：打开申请单表单，支持录入基础信息、附件和办理说明。</w:t>
      </w:r>
    </w:p>
    <w:p>
      <w:pPr>
        <w:pStyle w:val="ListBullet"/>
        <w:spacing w:after="40"/>
      </w:pPr>
      <w:r>
        <w:t>暂存：保存当前录入内容为草稿，不触发审批、推送或同步流程。</w:t>
      </w:r>
    </w:p>
    <w:p>
      <w:pPr>
        <w:pStyle w:val="ListBullet"/>
        <w:spacing w:after="40"/>
      </w:pPr>
      <w:r>
        <w:t>提交：完成校验后正式提交，进入后续处理、审批或同步流程。</w:t>
      </w:r>
    </w:p>
    <w:p>
      <w:pPr>
        <w:pStyle w:val="ListBullet"/>
        <w:spacing w:after="40"/>
      </w:pPr>
      <w:r>
        <w:t>撤回：在尚未受理或尚未审批完成前允许撤回，撤回后恢复可编辑状态并记录原因。</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“变更合同发起”应以合同结算模块的业务对象为主，不替代其他模块的主数据维护职责。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5.12 消纳延期</w:t>
      </w:r>
    </w:p>
    <w:p>
      <w:pPr>
        <w:spacing w:after="120"/>
      </w:pPr>
      <w:r>
        <w:t>功能需求理解 支持项目延期单数据的自动统计并生成相应的文书材料；该功能需支撑业务主体在标准流程、异常场景和监管抽查场景下完成统一办理，并保证数据可追溯、结果可核验。</w:t>
      </w:r>
    </w:p>
    <w:p>
      <w:pPr>
        <w:spacing w:after="120"/>
      </w:pPr>
      <w:r>
        <w:t>业务分析 “消纳延期”不仅服务单点操作，还需要与上游主数据、审批规则、消息通知和统计分析形成联动，确保业务从发起、处理、反馈到归档全程留痕。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用户进入“消纳延期”功能页面，按角色权限选择查询范围或业务对象。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校验通过后，系统执行“消纳延期”对应的业务处理、状态流转或统计计算。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核心展示内容至少覆盖：支持项目延期单数据的自动统计并生成相应的文书材料。</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“消纳延期”应以合同结算模块的业务对象为主，不替代其他模块的主数据维护职责。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5.13 内拨申请</w:t>
      </w:r>
    </w:p>
    <w:p>
      <w:pPr>
        <w:spacing w:after="120"/>
      </w:pPr>
      <w:r>
        <w:t>功能需求理解 支持用户发起短距离的场地间土方的调拨，自主申请；该功能需支撑业务主体在标准流程、异常场景和监管抽查场景下完成统一办理，并保证数据可追溯、结果可核验。</w:t>
      </w:r>
    </w:p>
    <w:p>
      <w:pPr>
        <w:spacing w:after="120"/>
      </w:pPr>
      <w:r>
        <w:t>业务分析 “内拨申请”不仅服务单点操作，还需要与上游主数据、审批规则、消息通知和统计分析形成联动，确保业务从发起、处理、反馈到归档全程留痕。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用户进入“内拨申请”功能页面，按角色权限选择查询范围或业务对象。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校验通过后，系统执行“内拨申请”对应的业务处理、状态流转或统计计算。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核心展示内容至少覆盖：支持用户发起短距离的场地间土方的调拨，自主申请。</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新建申请：打开申请单表单，支持录入基础信息、附件和办理说明。</w:t>
      </w:r>
    </w:p>
    <w:p>
      <w:pPr>
        <w:pStyle w:val="ListBullet"/>
        <w:spacing w:after="40"/>
      </w:pPr>
      <w:r>
        <w:t>暂存：保存当前录入内容为草稿，不触发审批、推送或同步流程。</w:t>
      </w:r>
    </w:p>
    <w:p>
      <w:pPr>
        <w:pStyle w:val="ListBullet"/>
        <w:spacing w:after="40"/>
      </w:pPr>
      <w:r>
        <w:t>提交：完成校验后正式提交，进入后续处理、审批或同步流程。</w:t>
      </w:r>
    </w:p>
    <w:p>
      <w:pPr>
        <w:pStyle w:val="ListBullet"/>
        <w:spacing w:after="40"/>
      </w:pPr>
      <w:r>
        <w:t>查看进度：查看申请单当前状态、办理节点、处理时限和历史轨迹。</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“内拨申请”应以合同结算模块的业务对象为主，不替代其他模块的主数据维护职责。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5.14 项目结算</w:t>
      </w:r>
    </w:p>
    <w:p>
      <w:pPr>
        <w:spacing w:after="120"/>
      </w:pPr>
      <w:r>
        <w:t>功能需求理解 支持项目的结算，可以按照关联的合同进行汇总展示，并进行消纳数据的结算；该功能需支撑业务主体在标准流程、异常场景和监管抽查场景下完成统一办理，并保证数据可追溯、结果可核验。</w:t>
      </w:r>
    </w:p>
    <w:p>
      <w:pPr>
        <w:spacing w:after="120"/>
      </w:pPr>
      <w:r>
        <w:t>业务分析 “项目结算”不仅服务单点操作，还需要与上游主数据、审批规则、消息通知和统计分析形成联动，确保业务从发起、处理、反馈到归档全程留痕。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用户进入“项目结算”功能页面，按角色权限选择查询范围或业务对象。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校验通过后，系统执行“项目结算”对应的业务处理、状态流转或统计计算。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核心展示内容至少覆盖：支持项目的结算，可以按照关联的合同进行汇总展示，并进行消纳数据的结算。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“项目结算”应以合同结算模块的业务对象为主，不替代其他模块的主数据维护职责。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5.15 场地结算</w:t>
      </w:r>
    </w:p>
    <w:p>
      <w:pPr>
        <w:spacing w:after="120"/>
      </w:pPr>
      <w:r>
        <w:t>功能需求理解 支持场地的结算，可以按照关联的合同进行汇总展示，并进行消纳数据的结算；该功能需支撑业务主体在标准流程、异常场景和监管抽查场景下完成统一办理，并保证数据可追溯、结果可核验。</w:t>
      </w:r>
    </w:p>
    <w:p>
      <w:pPr>
        <w:spacing w:after="120"/>
      </w:pPr>
      <w:r>
        <w:t>业务分析 “场地结算”不仅服务单点操作，还需要与上游主数据、审批规则、消息通知和统计分析形成联动，确保业务从发起、处理、反馈到归档全程留痕。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建设单位经办人、施工单位经办人、运输单位经办人、财务人员、审批人员、平台管理员</w:t>
      </w:r>
    </w:p>
    <w:p>
      <w:pPr>
        <w:spacing w:after="120"/>
      </w:pPr>
      <w:r>
        <w:t>业务前置条件</w:t>
      </w:r>
    </w:p>
    <w:p>
      <w:pPr>
        <w:pStyle w:val="ListBullet"/>
        <w:spacing w:after="40"/>
      </w:pPr>
      <w:r>
        <w:t>已完成合同结算相关主数据建档并通过角色授权。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用户进入“场地结算”功能页面，按角色权限选择查询范围或业务对象。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校验通过后，系统执行“场地结算”对应的业务处理、状态流转或统计计算。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核心展示内容至少覆盖：支持场地的结算，可以按照关联的合同进行汇总展示，并进行消纳数据的结算。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“场地结算”应以合同结算模块的业务对象为主，不替代其他模块的主数据维护职责。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涉及金额、单价、数量、方量、重量等经营性数据时，必须统一精度、汇总规则和对账规则。</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合同结算模块建设完成后，可显著提升业务办理规范性、过程透明度、数据可追溯性和监管支撑能力，为平台整体经营管理和风险管控提供稳定基础。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单位管理需求方案</w:t>
      </w:r>
    </w:p>
    <w:p>
      <w:pPr>
        <w:pStyle w:val="Heading2"/>
      </w:pPr>
      <w:r>
        <w:t>1. 模块建设目标</w:t>
      </w:r>
    </w:p>
    <w:p>
      <w:pPr>
        <w:spacing w:after="120"/>
      </w:pPr>
      <w:r>
        <w:t>建立建设单位、施工单位、运输单位一体化主数据中心。</w:t>
      </w:r>
    </w:p>
    <w:p>
      <w:pPr>
        <w:pStyle w:val="Heading2"/>
      </w:pPr>
      <w:r>
        <w:t>2. 模块业务定位</w:t>
      </w:r>
    </w:p>
    <w:p>
      <w:pPr>
        <w:spacing w:after="120"/>
      </w:pPr>
      <w:r>
        <w:t>单位管理模块是项目、合同、车辆、人员等业务对象的组织基础，负责统一维护业务单位身份、资质属性、关联关系和统计口径。</w:t>
      </w:r>
    </w:p>
    <w:p>
      <w:pPr>
        <w:pStyle w:val="Heading2"/>
      </w:pPr>
      <w:r>
        <w:t>3. 适用角色与使用场景</w:t>
      </w:r>
    </w:p>
    <w:p>
      <w:pPr>
        <w:spacing w:after="120"/>
      </w:pPr>
      <w:r>
        <w:t>适用角色：平台管理员、单位管理员、业务主管、数据维护人员。 典型场景：建立建设单位、施工单位、运输单位一体化主数据中心。模块共包含 4 个核心功能点，覆盖单位管理、建设单位、施工单位、运输单位等业务场景，面向平台管理员、单位管理员、业务主管等角色提供业务支撑。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单位管理</w:t>
            </w:r>
          </w:p>
        </w:tc>
        <w:tc>
          <w:tcPr>
            <w:tcW w:type="dxa" w:w="3022"/>
          </w:tcPr>
          <w:p>
            <w:pPr>
              <w:spacing w:after="40"/>
            </w:pPr>
            <w:r/>
            <w:r>
              <w:rPr>
                <w:rFonts w:ascii="Microsoft YaHei" w:hAnsi="Microsoft YaHei" w:eastAsia="Microsoft YaHei"/>
                <w:sz w:val="21"/>
              </w:rPr>
              <w:t>支持所有单位信息汇总展示功能，即系统可将建设单位、施工单位、运输单位均可以作为出土单位进行使用；</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建设单位</w:t>
            </w:r>
          </w:p>
        </w:tc>
        <w:tc>
          <w:tcPr>
            <w:tcW w:type="dxa" w:w="3022"/>
          </w:tcPr>
          <w:p>
            <w:pPr>
              <w:spacing w:after="40"/>
            </w:pPr>
            <w:r/>
            <w:r>
              <w:rPr>
                <w:rFonts w:ascii="Microsoft YaHei" w:hAnsi="Microsoft YaHei" w:eastAsia="Microsoft YaHei"/>
                <w:sz w:val="21"/>
              </w:rPr>
              <w:t>支持对建设单位进行维护管理功能；</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施工单位</w:t>
            </w:r>
          </w:p>
        </w:tc>
        <w:tc>
          <w:tcPr>
            <w:tcW w:type="dxa" w:w="3022"/>
          </w:tcPr>
          <w:p>
            <w:pPr>
              <w:spacing w:after="40"/>
            </w:pPr>
            <w:r/>
            <w:r>
              <w:rPr>
                <w:rFonts w:ascii="Microsoft YaHei" w:hAnsi="Microsoft YaHei" w:eastAsia="Microsoft YaHei"/>
                <w:sz w:val="21"/>
              </w:rPr>
              <w:t>支持对施工单位进行维护管理功能；</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运输单位</w:t>
            </w:r>
          </w:p>
        </w:tc>
        <w:tc>
          <w:tcPr>
            <w:tcW w:type="dxa" w:w="3022"/>
          </w:tcPr>
          <w:p>
            <w:pPr>
              <w:spacing w:after="40"/>
            </w:pPr>
            <w:r/>
            <w:r>
              <w:rPr>
                <w:rFonts w:ascii="Microsoft YaHei" w:hAnsi="Microsoft YaHei" w:eastAsia="Microsoft YaHei"/>
                <w:sz w:val="21"/>
              </w:rPr>
              <w:t>支持对运输单位进行维护管理功能；同时支持对运输单位下的车辆进行管理功能；</w:t>
            </w:r>
          </w:p>
        </w:tc>
      </w:tr>
    </w:tbl>
    <w:p/>
    <w:p>
      <w:pPr>
        <w:pStyle w:val="Heading2"/>
      </w:pPr>
      <w:r>
        <w:t>5. 功能需求逐项说明</w:t>
      </w:r>
    </w:p>
    <w:p>
      <w:pPr>
        <w:pStyle w:val="Heading3"/>
      </w:pPr>
      <w:r>
        <w:t>5.1 单位管理</w:t>
      </w:r>
    </w:p>
    <w:p>
      <w:pPr>
        <w:spacing w:after="120"/>
      </w:pPr>
      <w:r>
        <w:t>功能需求理解 支持所有单位信息汇总展示功能，即系统可将建设单位、施工单位、运输单位均可以作为出土单位进行使用；该功能需支撑业务主体在标准流程、异常场景和监管抽查场景下完成统一办理，并保证数据可追溯、结果可核验。</w:t>
      </w:r>
    </w:p>
    <w:p>
      <w:pPr>
        <w:spacing w:after="120"/>
      </w:pPr>
      <w:r>
        <w:t>业务分析 “单位管理”不仅服务单点操作，还需要与上游主数据、审批规则、消息通知和统计分析形成联动，确保业务从发起、处理、反馈到归档全程留痕。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平台管理员、单位管理员、业务主管、数据维护人员</w:t>
      </w:r>
    </w:p>
    <w:p>
      <w:pPr>
        <w:spacing w:after="120"/>
      </w:pPr>
      <w:r>
        <w:t>业务前置条件</w:t>
      </w:r>
    </w:p>
    <w:p>
      <w:pPr>
        <w:pStyle w:val="ListBullet"/>
        <w:spacing w:after="40"/>
      </w:pPr>
      <w:r>
        <w:t>已完成单位管理相关主数据建档并通过角色授权。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用户进入“单位管理”功能页面，按角色权限选择查询范围或业务对象。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校验通过后，系统执行“单位管理”对应的业务处理、状态流转或统计计算。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核心展示内容至少覆盖：支持所有单位信息汇总展示功能，即系统可将建设单位、施工单位、运输单位均可以作为出土单位进行使用。</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“单位管理”应以单位管理模块的业务对象为主，不替代其他模块的主数据维护职责。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建设单位</w:t>
      </w:r>
    </w:p>
    <w:p>
      <w:pPr>
        <w:spacing w:after="120"/>
      </w:pPr>
      <w:r>
        <w:t>功能需求理解 支持对建设单位进行维护管理功能；该功能需支撑业务主体在标准流程、异常场景和监管抽查场景下完成统一办理，并保证数据可追溯、结果可核验。</w:t>
      </w:r>
    </w:p>
    <w:p>
      <w:pPr>
        <w:spacing w:after="120"/>
      </w:pPr>
      <w:r>
        <w:t>业务分析 “建设单位”不仅服务单点操作，还需要与上游主数据、审批规则、消息通知和统计分析形成联动，确保业务从发起、处理、反馈到归档全程留痕。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平台管理员、单位管理员、业务主管、数据维护人员</w:t>
      </w:r>
    </w:p>
    <w:p>
      <w:pPr>
        <w:spacing w:after="120"/>
      </w:pPr>
      <w:r>
        <w:t>业务前置条件</w:t>
      </w:r>
    </w:p>
    <w:p>
      <w:pPr>
        <w:pStyle w:val="ListBullet"/>
        <w:spacing w:after="40"/>
      </w:pPr>
      <w:r>
        <w:t>已完成单位管理相关主数据建档并通过角色授权。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用户进入“建设单位”功能页面，按角色权限选择查询范围或业务对象。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校验通过后，系统执行“建设单位”对应的业务处理、状态流转或统计计算。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核心展示内容至少覆盖：支持对建设单位进行维护管理功能。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“建设单位”应以单位管理模块的业务对象为主，不替代其他模块的主数据维护职责。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施工单位</w:t>
      </w:r>
    </w:p>
    <w:p>
      <w:pPr>
        <w:spacing w:after="120"/>
      </w:pPr>
      <w:r>
        <w:t>功能需求理解 支持对施工单位进行维护管理功能；该功能需支撑业务主体在标准流程、异常场景和监管抽查场景下完成统一办理，并保证数据可追溯、结果可核验。</w:t>
      </w:r>
    </w:p>
    <w:p>
      <w:pPr>
        <w:spacing w:after="120"/>
      </w:pPr>
      <w:r>
        <w:t>业务分析 “施工单位”不仅服务单点操作，还需要与上游主数据、审批规则、消息通知和统计分析形成联动，确保业务从发起、处理、反馈到归档全程留痕。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平台管理员、单位管理员、业务主管、数据维护人员</w:t>
      </w:r>
    </w:p>
    <w:p>
      <w:pPr>
        <w:spacing w:after="120"/>
      </w:pPr>
      <w:r>
        <w:t>业务前置条件</w:t>
      </w:r>
    </w:p>
    <w:p>
      <w:pPr>
        <w:pStyle w:val="ListBullet"/>
        <w:spacing w:after="40"/>
      </w:pPr>
      <w:r>
        <w:t>已完成单位管理相关主数据建档并通过角色授权。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用户进入“施工单位”功能页面，按角色权限选择查询范围或业务对象。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校验通过后，系统执行“施工单位”对应的业务处理、状态流转或统计计算。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核心展示内容至少覆盖：支持对施工单位进行维护管理功能。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“施工单位”应以单位管理模块的业务对象为主，不替代其他模块的主数据维护职责。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运输单位</w:t>
      </w:r>
    </w:p>
    <w:p>
      <w:pPr>
        <w:spacing w:after="120"/>
      </w:pPr>
      <w:r>
        <w:t>功能需求理解 支持对运输单位进行维护管理功能；同时支持对运输单位下的车辆进行管理功能；该功能需支撑业务主体在标准流程、异常场景和监管抽查场景下完成统一办理，并保证数据可追溯、结果可核验。</w:t>
      </w:r>
    </w:p>
    <w:p>
      <w:pPr>
        <w:spacing w:after="120"/>
      </w:pPr>
      <w:r>
        <w:t>业务分析 “运输单位”不仅服务单点操作，还需要与上游主数据、审批规则、消息通知和统计分析形成联动，确保业务从发起、处理、反馈到归档全程留痕。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平台管理员、单位管理员、业务主管、数据维护人员</w:t>
      </w:r>
    </w:p>
    <w:p>
      <w:pPr>
        <w:spacing w:after="120"/>
      </w:pPr>
      <w:r>
        <w:t>业务前置条件</w:t>
      </w:r>
    </w:p>
    <w:p>
      <w:pPr>
        <w:pStyle w:val="ListBullet"/>
        <w:spacing w:after="40"/>
      </w:pPr>
      <w:r>
        <w:t>已完成单位管理相关主数据建档并通过角色授权。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用户进入“运输单位”功能页面，按角色权限选择查询范围或业务对象。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校验通过后，系统执行“运输单位”对应的业务处理、状态流转或统计计算。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核心展示内容至少覆盖：支持对运输单位进行维护管理功能；同时支持对运输单位下的车辆进行管理功能。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“运输单位”应以单位管理模块的业务对象为主，不替代其他模块的主数据维护职责。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单位管理模块建设完成后，可显著提升业务办理规范性、过程透明度、数据可追溯性和监管支撑能力，为平台整体经营管理和风险管控提供稳定基础。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项目管理需求方案</w:t>
      </w:r>
    </w:p>
    <w:p>
      <w:pPr>
        <w:pStyle w:val="Heading2"/>
      </w:pPr>
      <w:r>
        <w:t>1. 模块建设目标</w:t>
      </w:r>
    </w:p>
    <w:p>
      <w:pPr>
        <w:spacing w:after="120"/>
      </w:pPr>
      <w:r>
        <w:t>建立从项目立项、消纳配置、处置证绑定、报表统计到项目结算的全流程管理能力。</w:t>
      </w:r>
    </w:p>
    <w:p>
      <w:pPr>
        <w:pStyle w:val="Heading2"/>
      </w:pPr>
      <w:r>
        <w:t>2. 模块业务定位</w:t>
      </w:r>
    </w:p>
    <w:p>
      <w:pPr>
        <w:spacing w:after="120"/>
      </w:pPr>
      <w:r>
        <w:t>项目管理是平台串联出土、运输、消纳、监管的核心业务枢纽，负责组织项目清单、场地关系、线路规则、打卡控制、处置证挂接和项目级经营分析。</w:t>
      </w:r>
    </w:p>
    <w:p>
      <w:pPr>
        <w:pStyle w:val="Heading2"/>
      </w:pPr>
      <w:r>
        <w:t>3. 适用角色与使用场景</w:t>
      </w:r>
    </w:p>
    <w:p>
      <w:pPr>
        <w:spacing w:after="120"/>
      </w:pPr>
      <w:r>
        <w:t>适用角色：项目经理、建设单位经办人、施工单位经办人、运输单位经办人、执法人员、平台运营人员。 典型场景：建立从项目立项、消纳配置、处置证绑定、报表统计到项目结算的全流程管理能力。模块共包含 13 个核心功能点，覆盖项目清单、交款数据、合同清单、场地清单等业务场景，面向项目经理、建设单位经办人、施工单位经办人等角色提供业务支撑。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项目清单</w:t>
            </w:r>
          </w:p>
        </w:tc>
        <w:tc>
          <w:tcPr>
            <w:tcW w:type="dxa" w:w="3022"/>
          </w:tcPr>
          <w:p>
            <w:pPr>
              <w:spacing w:after="40"/>
            </w:pPr>
            <w:r/>
            <w:r>
              <w:rPr>
                <w:rFonts w:ascii="Microsoft YaHei" w:hAnsi="Microsoft YaHei" w:eastAsia="Microsoft YaHei"/>
                <w:sz w:val="21"/>
              </w:rPr>
              <w:t>支持项目列表清单查看，可以通过多条件筛选合同清单数据；</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交款数据</w:t>
            </w:r>
          </w:p>
        </w:tc>
        <w:tc>
          <w:tcPr>
            <w:tcW w:type="dxa" w:w="3022"/>
          </w:tcPr>
          <w:p>
            <w:pPr>
              <w:spacing w:after="40"/>
            </w:pPr>
            <w:r/>
            <w:r>
              <w:rPr>
                <w:rFonts w:ascii="Microsoft YaHei" w:hAnsi="Microsoft YaHei" w:eastAsia="Microsoft YaHei"/>
                <w:sz w:val="21"/>
              </w:rPr>
              <w:t>支持项目的交款数据维护管理功能，可以按照场地以及场地下关联的合同进行汇总展示，并进行消纳数据的结算；</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合同清单</w:t>
            </w:r>
          </w:p>
        </w:tc>
        <w:tc>
          <w:tcPr>
            <w:tcW w:type="dxa" w:w="3022"/>
          </w:tcPr>
          <w:p>
            <w:pPr>
              <w:spacing w:after="40"/>
            </w:pPr>
            <w:r/>
            <w:r>
              <w:rPr>
                <w:rFonts w:ascii="Microsoft YaHei" w:hAnsi="Microsoft YaHei" w:eastAsia="Microsoft YaHei"/>
                <w:sz w:val="21"/>
              </w:rPr>
              <w:t>项目场地清单展示，展示当前项目在不同消纳场地的消纳参数，场地的合同量、已消纳量和剩余量等信息；</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场地清单</w:t>
            </w:r>
          </w:p>
        </w:tc>
        <w:tc>
          <w:tcPr>
            <w:tcW w:type="dxa" w:w="3022"/>
          </w:tcPr>
          <w:p>
            <w:pPr>
              <w:spacing w:after="40"/>
            </w:pPr>
            <w:r/>
            <w:r>
              <w:rPr>
                <w:rFonts w:ascii="Microsoft YaHei" w:hAnsi="Microsoft YaHei" w:eastAsia="Microsoft YaHei"/>
                <w:sz w:val="21"/>
              </w:rPr>
              <w:t>根据项目的消纳场地进行展示项目在各个消纳场的工程量、已消纳量等数据；</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处置证清单</w:t>
            </w:r>
          </w:p>
        </w:tc>
        <w:tc>
          <w:tcPr>
            <w:tcW w:type="dxa" w:w="3022"/>
          </w:tcPr>
          <w:p>
            <w:pPr>
              <w:spacing w:after="40"/>
            </w:pPr>
            <w:r/>
            <w:r>
              <w:rPr>
                <w:rFonts w:ascii="Microsoft YaHei" w:hAnsi="Microsoft YaHei" w:eastAsia="Microsoft YaHei"/>
                <w:sz w:val="21"/>
              </w:rPr>
              <w:t>支持处置证和合同关联关系的展示，车辆的消纳数据和处置证绑定；</w:t>
            </w:r>
          </w:p>
        </w:tc>
      </w:tr>
      <w:tr>
        <w:tc>
          <w:tcPr>
            <w:tcW w:type="dxa" w:w="3022"/>
          </w:tcPr>
          <w:p>
            <w:pPr>
              <w:spacing w:after="40"/>
            </w:pPr>
            <w:r/>
            <w:r>
              <w:rPr>
                <w:rFonts w:ascii="Microsoft YaHei" w:hAnsi="Microsoft YaHei" w:eastAsia="Microsoft YaHei"/>
                <w:sz w:val="21"/>
              </w:rPr>
              <w:t>6</w:t>
            </w:r>
          </w:p>
        </w:tc>
        <w:tc>
          <w:tcPr>
            <w:tcW w:type="dxa" w:w="3022"/>
          </w:tcPr>
          <w:p>
            <w:pPr>
              <w:spacing w:after="40"/>
            </w:pPr>
            <w:r/>
            <w:r>
              <w:rPr>
                <w:rFonts w:ascii="Microsoft YaHei" w:hAnsi="Microsoft YaHei" w:eastAsia="Microsoft YaHei"/>
                <w:sz w:val="21"/>
              </w:rPr>
              <w:t>项目日报</w:t>
            </w:r>
          </w:p>
        </w:tc>
        <w:tc>
          <w:tcPr>
            <w:tcW w:type="dxa" w:w="3022"/>
          </w:tcPr>
          <w:p>
            <w:pPr>
              <w:spacing w:after="40"/>
            </w:pPr>
            <w:r/>
            <w:r>
              <w:rPr>
                <w:rFonts w:ascii="Microsoft YaHei" w:hAnsi="Microsoft YaHei" w:eastAsia="Microsoft YaHei"/>
                <w:sz w:val="21"/>
              </w:rPr>
              <w:t>增加项目自定义日月年消纳情况自动生成，并支持文本数据的导出；</w:t>
            </w:r>
          </w:p>
        </w:tc>
      </w:tr>
      <w:tr>
        <w:tc>
          <w:tcPr>
            <w:tcW w:type="dxa" w:w="3022"/>
          </w:tcPr>
          <w:p>
            <w:pPr>
              <w:spacing w:after="40"/>
            </w:pPr>
            <w:r/>
            <w:r>
              <w:rPr>
                <w:rFonts w:ascii="Microsoft YaHei" w:hAnsi="Microsoft YaHei" w:eastAsia="Microsoft YaHei"/>
                <w:sz w:val="21"/>
              </w:rPr>
              <w:t>7</w:t>
            </w:r>
          </w:p>
        </w:tc>
        <w:tc>
          <w:tcPr>
            <w:tcW w:type="dxa" w:w="3022"/>
          </w:tcPr>
          <w:p>
            <w:pPr>
              <w:spacing w:after="40"/>
            </w:pPr>
            <w:r/>
            <w:r>
              <w:rPr>
                <w:rFonts w:ascii="Microsoft YaHei" w:hAnsi="Microsoft YaHei" w:eastAsia="Microsoft YaHei"/>
                <w:sz w:val="21"/>
              </w:rPr>
              <w:t>打卡配置</w:t>
            </w:r>
          </w:p>
        </w:tc>
        <w:tc>
          <w:tcPr>
            <w:tcW w:type="dxa" w:w="3022"/>
          </w:tcPr>
          <w:p>
            <w:pPr>
              <w:spacing w:after="40"/>
            </w:pPr>
            <w:r/>
            <w:r>
              <w:rPr>
                <w:rFonts w:ascii="Microsoft YaHei" w:hAnsi="Microsoft YaHei" w:eastAsia="Microsoft YaHei"/>
                <w:sz w:val="21"/>
              </w:rPr>
              <w:t>支持出土拍照打卡的账号配置与授权；</w:t>
            </w:r>
          </w:p>
        </w:tc>
      </w:tr>
      <w:tr>
        <w:tc>
          <w:tcPr>
            <w:tcW w:type="dxa" w:w="3022"/>
          </w:tcPr>
          <w:p>
            <w:pPr>
              <w:spacing w:after="40"/>
            </w:pPr>
            <w:r/>
            <w:r>
              <w:rPr>
                <w:rFonts w:ascii="Microsoft YaHei" w:hAnsi="Microsoft YaHei" w:eastAsia="Microsoft YaHei"/>
                <w:sz w:val="21"/>
              </w:rPr>
              <w:t>8</w:t>
            </w:r>
          </w:p>
        </w:tc>
        <w:tc>
          <w:tcPr>
            <w:tcW w:type="dxa" w:w="3022"/>
          </w:tcPr>
          <w:p>
            <w:pPr>
              <w:spacing w:after="40"/>
            </w:pPr>
            <w:r/>
            <w:r>
              <w:rPr>
                <w:rFonts w:ascii="Microsoft YaHei" w:hAnsi="Microsoft YaHei" w:eastAsia="Microsoft YaHei"/>
                <w:sz w:val="21"/>
              </w:rPr>
              <w:t>位置判断配置</w:t>
            </w:r>
          </w:p>
        </w:tc>
        <w:tc>
          <w:tcPr>
            <w:tcW w:type="dxa" w:w="3022"/>
          </w:tcPr>
          <w:p>
            <w:pPr>
              <w:spacing w:after="40"/>
            </w:pPr>
            <w:r/>
            <w:r>
              <w:rPr>
                <w:rFonts w:ascii="Microsoft YaHei" w:hAnsi="Microsoft YaHei" w:eastAsia="Microsoft YaHei"/>
                <w:sz w:val="21"/>
              </w:rPr>
              <w:t>支持项目出土打卡是否需要判断车辆和人员位置的配置；</w:t>
            </w:r>
          </w:p>
        </w:tc>
      </w:tr>
      <w:tr>
        <w:tc>
          <w:tcPr>
            <w:tcW w:type="dxa" w:w="3022"/>
          </w:tcPr>
          <w:p>
            <w:pPr>
              <w:spacing w:after="40"/>
            </w:pPr>
            <w:r/>
            <w:r>
              <w:rPr>
                <w:rFonts w:ascii="Microsoft YaHei" w:hAnsi="Microsoft YaHei" w:eastAsia="Microsoft YaHei"/>
                <w:sz w:val="21"/>
              </w:rPr>
              <w:t>9</w:t>
            </w:r>
          </w:p>
        </w:tc>
        <w:tc>
          <w:tcPr>
            <w:tcW w:type="dxa" w:w="3022"/>
          </w:tcPr>
          <w:p>
            <w:pPr>
              <w:spacing w:after="40"/>
            </w:pPr>
            <w:r/>
            <w:r>
              <w:rPr>
                <w:rFonts w:ascii="Microsoft YaHei" w:hAnsi="Microsoft YaHei" w:eastAsia="Microsoft YaHei"/>
                <w:sz w:val="21"/>
              </w:rPr>
              <w:t>出土预扣值</w:t>
            </w:r>
          </w:p>
        </w:tc>
        <w:tc>
          <w:tcPr>
            <w:tcW w:type="dxa" w:w="3022"/>
          </w:tcPr>
          <w:p>
            <w:pPr>
              <w:spacing w:after="40"/>
            </w:pPr>
            <w:r/>
            <w:r>
              <w:rPr>
                <w:rFonts w:ascii="Microsoft YaHei" w:hAnsi="Microsoft YaHei" w:eastAsia="Microsoft YaHei"/>
                <w:sz w:val="21"/>
              </w:rPr>
              <w:t>支持项目出土预扣除方量配置功能，当项目低于此方量则不允许出土打卡；</w:t>
            </w:r>
          </w:p>
        </w:tc>
      </w:tr>
      <w:tr>
        <w:tc>
          <w:tcPr>
            <w:tcW w:type="dxa" w:w="3022"/>
          </w:tcPr>
          <w:p>
            <w:pPr>
              <w:spacing w:after="40"/>
            </w:pPr>
            <w:r/>
            <w:r>
              <w:rPr>
                <w:rFonts w:ascii="Microsoft YaHei" w:hAnsi="Microsoft YaHei" w:eastAsia="Microsoft YaHei"/>
                <w:sz w:val="21"/>
              </w:rPr>
              <w:t>10</w:t>
            </w:r>
          </w:p>
        </w:tc>
        <w:tc>
          <w:tcPr>
            <w:tcW w:type="dxa" w:w="3022"/>
          </w:tcPr>
          <w:p>
            <w:pPr>
              <w:spacing w:after="40"/>
            </w:pPr>
            <w:r/>
            <w:r>
              <w:rPr>
                <w:rFonts w:ascii="Microsoft YaHei" w:hAnsi="Microsoft YaHei" w:eastAsia="Microsoft YaHei"/>
                <w:sz w:val="21"/>
              </w:rPr>
              <w:t>线路配置</w:t>
            </w:r>
          </w:p>
        </w:tc>
        <w:tc>
          <w:tcPr>
            <w:tcW w:type="dxa" w:w="3022"/>
          </w:tcPr>
          <w:p>
            <w:pPr>
              <w:spacing w:after="40"/>
            </w:pPr>
            <w:r/>
            <w:r>
              <w:rPr>
                <w:rFonts w:ascii="Microsoft YaHei" w:hAnsi="Microsoft YaHei" w:eastAsia="Microsoft YaHei"/>
                <w:sz w:val="21"/>
              </w:rPr>
              <w:t>支持项目已配置线路在地图上的展示查看；同时支持项目多线路的配置；</w:t>
            </w:r>
          </w:p>
        </w:tc>
      </w:tr>
      <w:tr>
        <w:tc>
          <w:tcPr>
            <w:tcW w:type="dxa" w:w="3022"/>
          </w:tcPr>
          <w:p>
            <w:pPr>
              <w:spacing w:after="40"/>
            </w:pPr>
            <w:r/>
            <w:r>
              <w:rPr>
                <w:rFonts w:ascii="Microsoft YaHei" w:hAnsi="Microsoft YaHei" w:eastAsia="Microsoft YaHei"/>
                <w:sz w:val="21"/>
              </w:rPr>
              <w:t>11</w:t>
            </w:r>
          </w:p>
        </w:tc>
        <w:tc>
          <w:tcPr>
            <w:tcW w:type="dxa" w:w="3022"/>
          </w:tcPr>
          <w:p>
            <w:pPr>
              <w:spacing w:after="40"/>
            </w:pPr>
            <w:r/>
            <w:r>
              <w:rPr>
                <w:rFonts w:ascii="Microsoft YaHei" w:hAnsi="Microsoft YaHei" w:eastAsia="Microsoft YaHei"/>
                <w:sz w:val="21"/>
              </w:rPr>
              <w:t>违法清单</w:t>
            </w:r>
          </w:p>
        </w:tc>
        <w:tc>
          <w:tcPr>
            <w:tcW w:type="dxa" w:w="3022"/>
          </w:tcPr>
          <w:p>
            <w:pPr>
              <w:spacing w:after="40"/>
            </w:pPr>
            <w:r/>
            <w:r>
              <w:rPr>
                <w:rFonts w:ascii="Microsoft YaHei" w:hAnsi="Microsoft YaHei" w:eastAsia="Microsoft YaHei"/>
                <w:sz w:val="21"/>
              </w:rPr>
              <w:t>支持供执法人员查看和使用的违法车辆清单和详情；</w:t>
            </w:r>
          </w:p>
        </w:tc>
      </w:tr>
      <w:tr>
        <w:tc>
          <w:tcPr>
            <w:tcW w:type="dxa" w:w="3022"/>
          </w:tcPr>
          <w:p>
            <w:pPr>
              <w:spacing w:after="40"/>
            </w:pPr>
            <w:r/>
            <w:r>
              <w:rPr>
                <w:rFonts w:ascii="Microsoft YaHei" w:hAnsi="Microsoft YaHei" w:eastAsia="Microsoft YaHei"/>
                <w:sz w:val="21"/>
              </w:rPr>
              <w:t>12</w:t>
            </w:r>
          </w:p>
        </w:tc>
        <w:tc>
          <w:tcPr>
            <w:tcW w:type="dxa" w:w="3022"/>
          </w:tcPr>
          <w:p>
            <w:pPr>
              <w:spacing w:after="40"/>
            </w:pPr>
            <w:r/>
            <w:r>
              <w:rPr>
                <w:rFonts w:ascii="Microsoft YaHei" w:hAnsi="Microsoft YaHei" w:eastAsia="Microsoft YaHei"/>
                <w:sz w:val="21"/>
              </w:rPr>
              <w:t>报表统计</w:t>
            </w:r>
          </w:p>
        </w:tc>
        <w:tc>
          <w:tcPr>
            <w:tcW w:type="dxa" w:w="3022"/>
          </w:tcPr>
          <w:p>
            <w:pPr>
              <w:spacing w:after="40"/>
            </w:pPr>
            <w:r/>
            <w:r>
              <w:rPr>
                <w:rFonts w:ascii="Microsoft YaHei" w:hAnsi="Microsoft YaHei" w:eastAsia="Microsoft YaHei"/>
                <w:sz w:val="21"/>
              </w:rPr>
              <w:t>支持违法数据按照所属车队、车辆车牌、处理中队进行分类统计</w:t>
            </w:r>
          </w:p>
        </w:tc>
      </w:tr>
      <w:tr>
        <w:tc>
          <w:tcPr>
            <w:tcW w:type="dxa" w:w="3022"/>
          </w:tcPr>
          <w:p>
            <w:pPr>
              <w:spacing w:after="40"/>
            </w:pPr>
            <w:r/>
            <w:r>
              <w:rPr>
                <w:rFonts w:ascii="Microsoft YaHei" w:hAnsi="Microsoft YaHei" w:eastAsia="Microsoft YaHei"/>
                <w:sz w:val="21"/>
              </w:rPr>
              <w:t>13</w:t>
            </w:r>
          </w:p>
        </w:tc>
        <w:tc>
          <w:tcPr>
            <w:tcW w:type="dxa" w:w="3022"/>
          </w:tcPr>
          <w:p>
            <w:pPr>
              <w:spacing w:after="40"/>
            </w:pPr>
            <w:r/>
            <w:r>
              <w:rPr>
                <w:rFonts w:ascii="Microsoft YaHei" w:hAnsi="Microsoft YaHei" w:eastAsia="Microsoft YaHei"/>
                <w:sz w:val="21"/>
              </w:rPr>
              <w:t>违规配置</w:t>
            </w:r>
          </w:p>
        </w:tc>
        <w:tc>
          <w:tcPr>
            <w:tcW w:type="dxa" w:w="3022"/>
          </w:tcPr>
          <w:p>
            <w:pPr>
              <w:spacing w:after="40"/>
            </w:pPr>
            <w:r/>
            <w:r>
              <w:rPr>
                <w:rFonts w:ascii="Microsoft YaHei" w:hAnsi="Microsoft YaHei" w:eastAsia="Microsoft YaHei"/>
                <w:sz w:val="21"/>
              </w:rPr>
              <w:t>支持对工程围栏和线路进行配置管理功能；</w:t>
            </w:r>
          </w:p>
        </w:tc>
      </w:tr>
    </w:tbl>
    <w:p/>
    <w:p>
      <w:pPr>
        <w:pStyle w:val="Heading2"/>
      </w:pPr>
      <w:r>
        <w:t>5. 功能需求逐项说明</w:t>
      </w:r>
    </w:p>
    <w:p>
      <w:pPr>
        <w:pStyle w:val="Heading3"/>
      </w:pPr>
      <w:r>
        <w:t>5.1 项目清单</w:t>
      </w:r>
    </w:p>
    <w:p>
      <w:pPr>
        <w:spacing w:after="120"/>
      </w:pPr>
      <w:r>
        <w:t>功能需求理解 支持项目列表清单查看，可以通过多条件筛选合同清单数据；该功能需支撑业务主体在标准流程、异常场景和监管抽查场景下完成统一办理，并保证数据可追溯、结果可核验。</w:t>
      </w:r>
    </w:p>
    <w:p>
      <w:pPr>
        <w:spacing w:after="120"/>
      </w:pPr>
      <w:r>
        <w:t>业务分析 “项目清单”不仅服务单点操作，还需要与上游主数据、审批规则、消息通知和统计分析形成联动，确保业务从发起、处理、反馈到归档全程留痕。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用户进入“项目清单”功能页面，按角色权限选择查询范围或业务对象。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核心展示内容至少覆盖：支持项目列表清单查看，可以通过多条件筛选合同清单数据。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“项目清单”应以项目管理模块的业务对象为主，不替代其他模块的主数据维护职责。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交款数据</w:t>
      </w:r>
    </w:p>
    <w:p>
      <w:pPr>
        <w:spacing w:after="120"/>
      </w:pPr>
      <w:r>
        <w:t>功能需求理解 支持项目的交款数据维护管理功能，可以按照场地以及场地下关联的合同进行汇总展示，并进行消纳数据的结算；该功能需支撑业务主体在标准流程、异常场景和监管抽查场景下完成统一办理，并保证数据可追溯、结果可核验。</w:t>
      </w:r>
    </w:p>
    <w:p>
      <w:pPr>
        <w:spacing w:after="120"/>
      </w:pPr>
      <w:r>
        <w:t>业务分析 “交款数据”不仅服务单点操作，还需要与上游主数据、审批规则、消息通知和统计分析形成联动，确保业务从发起、处理、反馈到归档全程留痕。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用户进入“交款数据”功能页面，按角色权限选择查询范围或业务对象。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校验通过后，系统执行“交款数据”对应的业务处理、状态流转或统计计算。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核心展示内容至少覆盖：支持项目的交款数据维护管理功能，可以按照场地以及场地下关联的合同进行汇总展示，并进行消纳数据的结算。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“交款数据”应以项目管理模块的业务对象为主，不替代其他模块的主数据维护职责。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合同清单</w:t>
      </w:r>
    </w:p>
    <w:p>
      <w:pPr>
        <w:spacing w:after="120"/>
      </w:pPr>
      <w:r>
        <w:t>功能需求理解 项目场地清单展示，展示当前项目在不同消纳场地的消纳参数，场地的合同量、已消纳量和剩余量等信息；该功能需支撑业务主体在标准流程、异常场景和监管抽查场景下完成统一办理，并保证数据可追溯、结果可核验。</w:t>
      </w:r>
    </w:p>
    <w:p>
      <w:pPr>
        <w:spacing w:after="120"/>
      </w:pPr>
      <w:r>
        <w:t>业务分析 “合同清单”不仅服务单点操作，还需要与上游主数据、审批规则、消息通知和统计分析形成联动，确保业务从发起、处理、反馈到归档全程留痕。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核心展示内容至少覆盖：项目场地清单展示，展示当前项目在不同消纳场地的消纳参数，场地的合同量、已消纳量和剩余量等信息。</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“合同清单”应以项目管理模块的业务对象为主，不替代其他模块的主数据维护职责。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场地清单</w:t>
      </w:r>
    </w:p>
    <w:p>
      <w:pPr>
        <w:spacing w:after="120"/>
      </w:pPr>
      <w:r>
        <w:t>功能需求理解 根据项目的消纳场地进行展示项目在各个消纳场的工程量、已消纳量等数据；该功能需支撑业务主体在标准流程、异常场景和监管抽查场景下完成统一办理，并保证数据可追溯、结果可核验。</w:t>
      </w:r>
    </w:p>
    <w:p>
      <w:pPr>
        <w:spacing w:after="120"/>
      </w:pPr>
      <w:r>
        <w:t>业务分析 “场地清单”不仅服务单点操作，还需要与上游主数据、审批规则、消息通知和统计分析形成联动，确保业务从发起、处理、反馈到归档全程留痕。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核心展示内容至少覆盖：根据项目的消纳场地进行展示项目在各个消纳场的工程量、已消纳量等数据。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“场地清单”应以项目管理模块的业务对象为主，不替代其他模块的主数据维护职责。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5.5 处置证清单</w:t>
      </w:r>
    </w:p>
    <w:p>
      <w:pPr>
        <w:spacing w:after="120"/>
      </w:pPr>
      <w:r>
        <w:t>功能需求理解 支持处置证和合同关联关系的展示，车辆的消纳数据和处置证绑定；该功能需支撑业务主体在标准流程、异常场景和监管抽查场景下完成统一办理，并保证数据可追溯、结果可核验。</w:t>
      </w:r>
    </w:p>
    <w:p>
      <w:pPr>
        <w:spacing w:after="120"/>
      </w:pPr>
      <w:r>
        <w:t>业务分析 “处置证清单”不仅服务单点操作，还需要与上游主数据、审批规则、消息通知和统计分析形成联动，确保业务从发起、处理、反馈到归档全程留痕。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用户进入“处置证清单”功能页面，按角色权限选择查询范围或业务对象。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校验通过后，系统执行“处置证清单”对应的业务处理、状态流转或统计计算。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核心展示内容至少覆盖：支持处置证和合同关联关系的展示，车辆的消纳数据和处置证绑定。</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“处置证清单”应以项目管理模块的业务对象为主，不替代其他模块的主数据维护职责。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5.6 项目日报</w:t>
      </w:r>
    </w:p>
    <w:p>
      <w:pPr>
        <w:spacing w:after="120"/>
      </w:pPr>
      <w:r>
        <w:t>功能需求理解 增加项目自定义日月年消纳情况自动生成，并支持文本数据的导出；该功能需支撑业务主体在标准流程、异常场景和监管抽查场景下完成统一办理，并保证数据可追溯、结果可核验。</w:t>
      </w:r>
    </w:p>
    <w:p>
      <w:pPr>
        <w:spacing w:after="120"/>
      </w:pPr>
      <w:r>
        <w:t>业务分析 “项目日报”不仅服务单点操作，还需要与上游主数据、审批规则、消息通知和统计分析形成联动，确保业务从发起、处理、反馈到归档全程留痕。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用户进入“项目日报”功能页面，按角色权限选择查询范围或业务对象。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校验通过后，系统执行“项目日报”对应的业务处理、状态流转或统计计算。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核心展示内容至少覆盖：增加项目自定义日月年消纳情况自动生成，并支持文本数据的导出。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“项目日报”应以项目管理模块的业务对象为主，不替代其他模块的主数据维护职责。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5.7 打卡配置</w:t>
      </w:r>
    </w:p>
    <w:p>
      <w:pPr>
        <w:spacing w:after="120"/>
      </w:pPr>
      <w:r>
        <w:t>功能需求理解 支持出土拍照打卡的账号配置与授权；该功能需支撑业务主体在标准流程、异常场景和监管抽查场景下完成统一办理，并保证数据可追溯、结果可核验。</w:t>
      </w:r>
    </w:p>
    <w:p>
      <w:pPr>
        <w:spacing w:after="120"/>
      </w:pPr>
      <w:r>
        <w:t>业务分析 “打卡配置”不仅服务单点操作，还需要与上游主数据、审批规则、消息通知和统计分析形成联动，确保业务从发起、处理、反馈到归档全程留痕。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用户进入“打卡配置”功能页面，按角色权限选择查询范围或业务对象。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校验通过后，系统执行“打卡配置”对应的业务处理、状态流转或统计计算。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核心展示内容至少覆盖：支持出土拍照打卡的账号配置与授权。</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“打卡配置”应以项目管理模块的业务对象为主，不替代其他模块的主数据维护职责。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5.8 位置判断配置</w:t>
      </w:r>
    </w:p>
    <w:p>
      <w:pPr>
        <w:spacing w:after="120"/>
      </w:pPr>
      <w:r>
        <w:t>功能需求理解 支持项目出土打卡是否需要判断车辆和人员位置的配置；该功能需支撑业务主体在标准流程、异常场景和监管抽查场景下完成统一办理，并保证数据可追溯、结果可核验。</w:t>
      </w:r>
    </w:p>
    <w:p>
      <w:pPr>
        <w:spacing w:after="120"/>
      </w:pPr>
      <w:r>
        <w:t>业务分析 “位置判断配置”不仅服务单点操作，还需要与上游主数据、审批规则、消息通知和统计分析形成联动，确保业务从发起、处理、反馈到归档全程留痕。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用户进入“位置判断配置”功能页面，按角色权限选择查询范围或业务对象。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校验通过后，系统执行“位置判断配置”对应的业务处理、状态流转或统计计算。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核心展示内容至少覆盖：支持项目出土打卡是否需要判断车辆和人员位置的配置。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“位置判断配置”应以项目管理模块的业务对象为主，不替代其他模块的主数据维护职责。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5.9 出土预扣值</w:t>
      </w:r>
    </w:p>
    <w:p>
      <w:pPr>
        <w:spacing w:after="120"/>
      </w:pPr>
      <w:r>
        <w:t>功能需求理解 支持项目出土预扣除方量配置功能，当项目低于此方量则不允许出土打卡；该功能需支撑业务主体在标准流程、异常场景和监管抽查场景下完成统一办理，并保证数据可追溯、结果可核验。</w:t>
      </w:r>
    </w:p>
    <w:p>
      <w:pPr>
        <w:spacing w:after="120"/>
      </w:pPr>
      <w:r>
        <w:t>业务分析 “出土预扣值”不仅服务单点操作，还需要与上游主数据、审批规则、消息通知和统计分析形成联动，确保业务从发起、处理、反馈到归档全程留痕。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用户进入“出土预扣值”功能页面，按角色权限选择查询范围或业务对象。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校验通过后，系统执行“出土预扣值”对应的业务处理、状态流转或统计计算。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核心展示内容至少覆盖：支持项目出土预扣除方量配置功能，当项目低于此方量则不允许出土打卡。</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“出土预扣值”应以项目管理模块的业务对象为主，不替代其他模块的主数据维护职责。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5.10 线路配置</w:t>
      </w:r>
    </w:p>
    <w:p>
      <w:pPr>
        <w:spacing w:after="120"/>
      </w:pPr>
      <w:r>
        <w:t>功能需求理解 支持项目已配置线路在地图上的展示查看；同时支持项目多线路的配置；该功能需支撑业务主体在标准流程、异常场景和监管抽查场景下完成统一办理，并保证数据可追溯、结果可核验。</w:t>
      </w:r>
    </w:p>
    <w:p>
      <w:pPr>
        <w:spacing w:after="120"/>
      </w:pPr>
      <w:r>
        <w:t>业务分析 “线路配置”不仅服务单点操作，还需要与上游主数据、审批规则、消息通知和统计分析形成联动，确保业务从发起、处理、反馈到归档全程留痕。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用户进入“线路配置”功能页面，按角色权限选择查询范围或业务对象。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校验通过后，系统执行“线路配置”对应的业务处理、状态流转或统计计算。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核心展示内容至少覆盖：支持项目已配置线路在地图上的展示查看；同时支持项目多线路的配置。</w:t>
      </w:r>
    </w:p>
    <w:p>
      <w:pPr>
        <w:pStyle w:val="ListBullet"/>
        <w:spacing w:after="40"/>
      </w:pPr>
      <w:r>
        <w:t>涉及流程事项时，页面需展示当前状态、办理节点、经办人、更新时间和历史轨迹。</w:t>
      </w:r>
    </w:p>
    <w:p>
      <w:pPr>
        <w:pStyle w:val="ListBullet"/>
        <w:spacing w:after="40"/>
      </w:pPr>
      <w:r>
        <w:t>地图类页面需支持图层切换、点位定位、轨迹回放和围栏展示。</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地理坐标统一采用标准坐标系存储，范围类数据需校验闭合性和坐标有效性。</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“线路配置”应以项目管理模块的业务对象为主，不替代其他模块的主数据维护职责。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5.11 违法清单</w:t>
      </w:r>
    </w:p>
    <w:p>
      <w:pPr>
        <w:spacing w:after="120"/>
      </w:pPr>
      <w:r>
        <w:t>功能需求理解 支持供执法人员查看和使用的违法车辆清单和详情；该功能需支撑业务主体在标准流程、异常场景和监管抽查场景下完成统一办理，并保证数据可追溯、结果可核验。</w:t>
      </w:r>
    </w:p>
    <w:p>
      <w:pPr>
        <w:spacing w:after="120"/>
      </w:pPr>
      <w:r>
        <w:t>业务分析 “违法清单”不仅服务单点操作，还需要与上游主数据、审批规则、消息通知和统计分析形成联动，确保业务从发起、处理、反馈到归档全程留痕。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用户进入“违法清单”功能页面，按角色权限选择查询范围或业务对象。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校验通过后，系统执行“违法清单”对应的业务处理、状态流转或统计计算。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核心展示内容至少覆盖：支持供执法人员查看和使用的违法车辆清单和详情。</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“违法清单”应以项目管理模块的业务对象为主，不替代其他模块的主数据维护职责。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5.12 报表统计</w:t>
      </w:r>
    </w:p>
    <w:p>
      <w:pPr>
        <w:spacing w:after="120"/>
      </w:pPr>
      <w:r>
        <w:t>功能需求理解 支持违法数据按照所属车队、车辆车牌、处理中队进行分类统计该功能需支撑业务主体在标准流程、异常场景和监管抽查场景下完成统一办理，并保证数据可追溯、结果可核验。</w:t>
      </w:r>
    </w:p>
    <w:p>
      <w:pPr>
        <w:spacing w:after="120"/>
      </w:pPr>
      <w:r>
        <w:t>业务分析 “报表统计”不仅服务单点操作，还需要与上游主数据、审批规则、消息通知和统计分析形成联动，确保业务从发起、处理、反馈到归档全程留痕。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用户进入“报表统计”功能页面，按角色权限选择查询范围或业务对象。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校验通过后，系统执行“报表统计”对应的业务处理、状态流转或统计计算。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核心展示内容至少覆盖：支持违法数据按照所属车队、车辆车牌、处理中队进行分类统计。</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“报表统计”应以项目管理模块的业务对象为主，不替代其他模块的主数据维护职责。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5.13 违规配置</w:t>
      </w:r>
    </w:p>
    <w:p>
      <w:pPr>
        <w:spacing w:after="120"/>
      </w:pPr>
      <w:r>
        <w:t>功能需求理解 支持对工程围栏和线路进行配置管理功能；该功能需支撑业务主体在标准流程、异常场景和监管抽查场景下完成统一办理，并保证数据可追溯、结果可核验。</w:t>
      </w:r>
    </w:p>
    <w:p>
      <w:pPr>
        <w:spacing w:after="120"/>
      </w:pPr>
      <w:r>
        <w:t>业务分析 “违规配置”不仅服务单点操作，还需要与上游主数据、审批规则、消息通知和统计分析形成联动，确保业务从发起、处理、反馈到归档全程留痕。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项目经理、建设单位经办人、施工单位经办人、运输单位经办人、执法人员、平台运营人员</w:t>
      </w:r>
    </w:p>
    <w:p>
      <w:pPr>
        <w:spacing w:after="120"/>
      </w:pPr>
      <w:r>
        <w:t>业务前置条件</w:t>
      </w:r>
    </w:p>
    <w:p>
      <w:pPr>
        <w:pStyle w:val="ListBullet"/>
        <w:spacing w:after="40"/>
      </w:pPr>
      <w:r>
        <w:t>已完成项目管理相关主数据建档并通过角色授权。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用户进入“违规配置”功能页面，按角色权限选择查询范围或业务对象。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校验通过后，系统执行“违规配置”对应的业务处理、状态流转或统计计算。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核心展示内容至少覆盖：支持对工程围栏和线路进行配置管理功能。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“违规配置”应以项目管理模块的业务对象为主，不替代其他模块的主数据维护职责。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2"/>
      </w:pPr>
      <w:r>
        <w:t>6. 移动端能力要求</w:t>
      </w:r>
    </w:p>
    <w:p>
      <w:pPr>
        <w:spacing w:after="120"/>
      </w:pPr>
      <w:r>
        <w:t>本模块涉及移动端能力的功能点包括：打卡配置、违规配置。</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涉及金额、单价、数量、方量、重量等经营性数据时，必须统一精度、汇总规则和对账规则。</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项目管理模块建设完成后，可显著提升业务办理规范性、过程透明度、数据可追溯性和监管支撑能力，为平台整体经营管理和风险管控提供稳定基础。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处置证需求方案</w:t>
      </w:r>
    </w:p>
    <w:p>
      <w:pPr>
        <w:pStyle w:val="Heading2"/>
      </w:pPr>
      <w:r>
        <w:t>1. 模块建设目标</w:t>
      </w:r>
    </w:p>
    <w:p>
      <w:pPr>
        <w:spacing w:after="120"/>
      </w:pPr>
      <w:r>
        <w:t>建立处置证同步、手工补录、关联校验和生命周期管理能力。</w:t>
      </w:r>
    </w:p>
    <w:p>
      <w:pPr>
        <w:pStyle w:val="Heading2"/>
      </w:pPr>
      <w:r>
        <w:t>2. 模块业务定位</w:t>
      </w:r>
    </w:p>
    <w:p>
      <w:pPr>
        <w:spacing w:after="120"/>
      </w:pPr>
      <w:r>
        <w:t>处置证模块是渣土运输合规性的关键凭证模块，既要承接政务来源数据，也要支撑项目、合同、车辆、消纳数据的一致性校验。</w:t>
      </w:r>
    </w:p>
    <w:p>
      <w:pPr>
        <w:pStyle w:val="Heading2"/>
      </w:pPr>
      <w:r>
        <w:t>3. 适用角色与使用场景</w:t>
      </w:r>
    </w:p>
    <w:p>
      <w:pPr>
        <w:spacing w:after="120"/>
      </w:pPr>
      <w:r>
        <w:t>适用角色：项目经办人、平台管理员、审批人员、执法人员。 典型场景：建立处置证同步、手工补录、关联校验和生命周期管理能力。模块共包含 3 个核心功能点，覆盖处置证同步、处置证新增、处置证关联等业务场景，面向项目经办人、平台管理员、审批人员等角色提供业务支撑。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处置证同步</w:t>
            </w:r>
          </w:p>
        </w:tc>
        <w:tc>
          <w:tcPr>
            <w:tcW w:type="dxa" w:w="3022"/>
          </w:tcPr>
          <w:p>
            <w:pPr>
              <w:spacing w:after="40"/>
            </w:pPr>
            <w:r/>
            <w:r>
              <w:rPr>
                <w:rFonts w:ascii="Microsoft YaHei" w:hAnsi="Microsoft YaHei" w:eastAsia="Microsoft YaHei"/>
                <w:sz w:val="21"/>
              </w:rPr>
              <w:t>支持自动和手动同步政府服务网中的处置证对接功能</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处置证新增</w:t>
            </w:r>
          </w:p>
        </w:tc>
        <w:tc>
          <w:tcPr>
            <w:tcW w:type="dxa" w:w="3022"/>
          </w:tcPr>
          <w:p>
            <w:pPr>
              <w:spacing w:after="40"/>
            </w:pPr>
            <w:r/>
            <w:r>
              <w:rPr>
                <w:rFonts w:ascii="Microsoft YaHei" w:hAnsi="Microsoft YaHei" w:eastAsia="Microsoft YaHei"/>
                <w:sz w:val="21"/>
              </w:rPr>
              <w:t>支持手动创建处置证功能，便于特殊情况下创建处置证，便于渣土运输流程正常流转。</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处置证关联</w:t>
            </w:r>
          </w:p>
        </w:tc>
        <w:tc>
          <w:tcPr>
            <w:tcW w:type="dxa" w:w="3022"/>
          </w:tcPr>
          <w:p>
            <w:pPr>
              <w:spacing w:after="40"/>
            </w:pPr>
            <w:r/>
            <w:r>
              <w:rPr>
                <w:rFonts w:ascii="Microsoft YaHei" w:hAnsi="Microsoft YaHei" w:eastAsia="Microsoft YaHei"/>
                <w:sz w:val="21"/>
              </w:rPr>
              <w:t>支持处置证数据的详情查看，与对应合同数据的关联</w:t>
            </w:r>
          </w:p>
        </w:tc>
      </w:tr>
    </w:tbl>
    <w:p/>
    <w:p>
      <w:pPr>
        <w:pStyle w:val="Heading2"/>
      </w:pPr>
      <w:r>
        <w:t>5. 功能需求逐项说明</w:t>
      </w:r>
    </w:p>
    <w:p>
      <w:pPr>
        <w:pStyle w:val="Heading3"/>
      </w:pPr>
      <w:r>
        <w:t>5.1 处置证同步</w:t>
      </w:r>
    </w:p>
    <w:p>
      <w:pPr>
        <w:spacing w:after="120"/>
      </w:pPr>
      <w:r>
        <w:t>功能需求理解 支持自动和手动同步政府服务网中的处置证对接功能该功能需支撑业务主体在标准流程、异常场景和监管抽查场景下完成统一办理，并保证数据可追溯、结果可核验。</w:t>
      </w:r>
    </w:p>
    <w:p>
      <w:pPr>
        <w:spacing w:after="120"/>
      </w:pPr>
      <w:r>
        <w:t>业务分析 “处置证同步”不仅服务单点操作，还需要与上游主数据、审批规则、消息通知和统计分析形成联动，确保业务从发起、处理、反馈到归档全程留痕。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项目经办人、平台管理员、审批人员、执法人员</w:t>
      </w:r>
    </w:p>
    <w:p>
      <w:pPr>
        <w:spacing w:after="120"/>
      </w:pPr>
      <w:r>
        <w:t>业务前置条件</w:t>
      </w:r>
    </w:p>
    <w:p>
      <w:pPr>
        <w:pStyle w:val="ListBullet"/>
        <w:spacing w:after="40"/>
      </w:pPr>
      <w:r>
        <w:t>已完成处置证相关主数据建档并通过角色授权。</w:t>
      </w:r>
    </w:p>
    <w:p>
      <w:pPr>
        <w:pStyle w:val="ListBullet"/>
        <w:spacing w:after="40"/>
      </w:pPr>
      <w:r>
        <w:t>当前用户具备对应菜单、按钮和数据范围权限。</w:t>
      </w:r>
    </w:p>
    <w:p>
      <w:pPr>
        <w:pStyle w:val="ListBullet"/>
        <w:spacing w:after="40"/>
      </w:pPr>
      <w:r>
        <w:t>第三方系统连接配置、鉴权信息和映射关系已完成。</w:t>
      </w:r>
    </w:p>
    <w:p>
      <w:pPr>
        <w:spacing w:after="120"/>
      </w:pPr>
      <w:r>
        <w:t>功能操作流程</w:t>
      </w:r>
    </w:p>
    <w:p>
      <w:pPr>
        <w:pStyle w:val="ListNumber"/>
        <w:spacing w:after="40"/>
      </w:pPr>
      <w:r>
        <w:t>用户进入“处置证同步”功能页面，按角色权限选择查询范围或业务对象。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校验通过后，系统执行“处置证同步”对应的业务处理、状态流转或统计计算。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核心展示内容至少覆盖：支持自动和手动同步政府服务网中的处置证对接功能。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立即同步：立即发起一次同步任务，生成批次号、同步日志和执行状态。</w:t>
      </w:r>
    </w:p>
    <w:p>
      <w:pPr>
        <w:pStyle w:val="ListBullet"/>
        <w:spacing w:after="40"/>
      </w:pPr>
      <w:r>
        <w:t>查看日志：查看业务处理、同步、导出或审批日志，支持按时间、状态、批次筛选。</w:t>
      </w:r>
    </w:p>
    <w:p>
      <w:pPr>
        <w:pStyle w:val="ListBullet"/>
        <w:spacing w:after="40"/>
      </w:pPr>
      <w:r>
        <w:t>重试：针对失败任务或异常记录重新执行处理，重试前保留原失败信息。</w:t>
      </w:r>
    </w:p>
    <w:p>
      <w:pPr>
        <w:pStyle w:val="ListBullet"/>
        <w:spacing w:after="40"/>
      </w:pPr>
      <w:r>
        <w:t>下载结果：下载同步结果文件、失败明细或处理结果回执。</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pStyle w:val="ListBullet"/>
        <w:spacing w:after="40"/>
      </w:pPr>
      <w:r>
        <w:t>第三方调用失败时，需区分连接失败、鉴权失败、超时失败和数据解析失败，并支持重试。</w:t>
      </w:r>
    </w:p>
    <w:p>
      <w:pPr>
        <w:spacing w:after="120"/>
      </w:pPr>
      <w:r>
        <w:t>边界说明</w:t>
      </w:r>
    </w:p>
    <w:p>
      <w:pPr>
        <w:pStyle w:val="ListBullet"/>
        <w:spacing w:after="40"/>
      </w:pPr>
      <w:r>
        <w:t>“处置证同步”应以处置证模块的业务对象为主，不替代其他模块的主数据维护职责。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处置证新增</w:t>
      </w:r>
    </w:p>
    <w:p>
      <w:pPr>
        <w:spacing w:after="120"/>
      </w:pPr>
      <w:r>
        <w:t>功能需求理解 支持手动创建处置证功能，便于特殊情况下创建处置证，便于渣土运输流程正常流转。该功能需支撑业务主体在标准流程、异常场景和监管抽查场景下完成统一办理，并保证数据可追溯、结果可核验。</w:t>
      </w:r>
    </w:p>
    <w:p>
      <w:pPr>
        <w:spacing w:after="120"/>
      </w:pPr>
      <w:r>
        <w:t>业务分析 “处置证新增”不仅服务单点操作，还需要与上游主数据、审批规则、消息通知和统计分析形成联动，确保业务从发起、处理、反馈到归档全程留痕。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项目经办人、平台管理员、审批人员、执法人员</w:t>
      </w:r>
    </w:p>
    <w:p>
      <w:pPr>
        <w:spacing w:after="120"/>
      </w:pPr>
      <w:r>
        <w:t>业务前置条件</w:t>
      </w:r>
    </w:p>
    <w:p>
      <w:pPr>
        <w:pStyle w:val="ListBullet"/>
        <w:spacing w:after="40"/>
      </w:pPr>
      <w:r>
        <w:t>已完成处置证相关主数据建档并通过角色授权。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用户进入“处置证新增”功能页面，按角色权限选择查询范围或业务对象。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校验通过后，系统执行“处置证新增”对应的业务处理、状态流转或统计计算。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核心展示内容至少覆盖：支持手动创建处置证功能，便于特殊情况下创建处置证，便于渣土运输流程正常流转。</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“处置证新增”应以处置证模块的业务对象为主，不替代其他模块的主数据维护职责。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处置证关联</w:t>
      </w:r>
    </w:p>
    <w:p>
      <w:pPr>
        <w:spacing w:after="120"/>
      </w:pPr>
      <w:r>
        <w:t>功能需求理解 支持处置证数据的详情查看，与对应合同数据的关联该功能需支撑业务主体在标准流程、异常场景和监管抽查场景下完成统一办理，并保证数据可追溯、结果可核验。</w:t>
      </w:r>
    </w:p>
    <w:p>
      <w:pPr>
        <w:spacing w:after="120"/>
      </w:pPr>
      <w:r>
        <w:t>业务分析 “处置证关联”不仅服务单点操作，还需要与上游主数据、审批规则、消息通知和统计分析形成联动，确保业务从发起、处理、反馈到归档全程留痕。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项目经办人、平台管理员、审批人员、执法人员</w:t>
      </w:r>
    </w:p>
    <w:p>
      <w:pPr>
        <w:spacing w:after="120"/>
      </w:pPr>
      <w:r>
        <w:t>业务前置条件</w:t>
      </w:r>
    </w:p>
    <w:p>
      <w:pPr>
        <w:pStyle w:val="ListBullet"/>
        <w:spacing w:after="40"/>
      </w:pPr>
      <w:r>
        <w:t>已完成处置证相关主数据建档并通过角色授权。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用户进入“处置证关联”功能页面，按角色权限选择查询范围或业务对象。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校验通过后，系统执行“处置证关联”对应的业务处理、状态流转或统计计算。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核心展示内容至少覆盖：支持处置证数据的详情查看，与对应合同数据的关联。</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“处置证关联”应以处置证模块的业务对象为主，不替代其他模块的主数据维护职责。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处置证模块建设完成后，可显著提升业务办理规范性、过程透明度、数据可追溯性和监管支撑能力，为平台整体经营管理和风险管控提供稳定基础。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消纳场地需求方案</w:t>
      </w:r>
    </w:p>
    <w:p>
      <w:pPr>
        <w:pStyle w:val="Heading2"/>
      </w:pPr>
      <w:r>
        <w:t>1. 模块建设目标</w:t>
      </w:r>
    </w:p>
    <w:p>
      <w:pPr>
        <w:spacing w:after="120"/>
      </w:pPr>
      <w:r>
        <w:t>建立覆盖场地建档、消纳运营、设备接入、资料管理、结算管理和安全管理的场地治理体系。</w:t>
      </w:r>
    </w:p>
    <w:p>
      <w:pPr>
        <w:pStyle w:val="Heading2"/>
      </w:pPr>
      <w:r>
        <w:t>2. 模块业务定位</w:t>
      </w:r>
    </w:p>
    <w:p>
      <w:pPr>
        <w:spacing w:after="120"/>
      </w:pPr>
      <w:r>
        <w:t>消纳场地模块负责承载现场运营与平台结算两类能力，需要同时满足场地台账、容量监测、人工消纳、地磅协同、资料归档、安全台账和运营配置等需求。</w:t>
      </w:r>
    </w:p>
    <w:p>
      <w:pPr>
        <w:pStyle w:val="Heading2"/>
      </w:pPr>
      <w:r>
        <w:t>3. 适用角色与使用场景</w:t>
      </w:r>
    </w:p>
    <w:p>
      <w:pPr>
        <w:spacing w:after="120"/>
      </w:pPr>
      <w:r>
        <w:t>适用角色：场地管理员、运营人员、财务人员、安全管理员、平台管理员。 典型场景：建立覆盖场地建档、消纳运营、设备接入、资料管理、结算管理和安全管理的场地治理体系。模块共包含 13 个核心功能点，覆盖场地列表、消纳清单、场地资料、基础信息等业务场景，面向场地管理员、运营人员、财务人员等角色提供业务支撑。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场地列表</w:t>
            </w:r>
          </w:p>
        </w:tc>
        <w:tc>
          <w:tcPr>
            <w:tcW w:type="dxa" w:w="3022"/>
          </w:tcPr>
          <w:p>
            <w:pPr>
              <w:spacing w:after="40"/>
            </w:pPr>
            <w:r/>
            <w:r>
              <w:rPr>
                <w:rFonts w:ascii="Microsoft YaHei" w:hAnsi="Microsoft YaHei" w:eastAsia="Microsoft YaHei"/>
                <w:sz w:val="21"/>
              </w:rPr>
              <w:t>支持消纳场地列表展示，能直观展示场地的当前容量等数据；</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消纳清单</w:t>
            </w:r>
          </w:p>
        </w:tc>
        <w:tc>
          <w:tcPr>
            <w:tcW w:type="dxa" w:w="3022"/>
          </w:tcPr>
          <w:p>
            <w:pPr>
              <w:spacing w:after="40"/>
            </w:pPr>
            <w:r/>
            <w:r>
              <w:rPr>
                <w:rFonts w:ascii="Microsoft YaHei" w:hAnsi="Microsoft YaHei" w:eastAsia="Microsoft YaHei"/>
                <w:sz w:val="21"/>
              </w:rPr>
              <w:t>支持对消纳清单进行列表展示功能；</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场地资料</w:t>
            </w:r>
          </w:p>
        </w:tc>
        <w:tc>
          <w:tcPr>
            <w:tcW w:type="dxa" w:w="3022"/>
          </w:tcPr>
          <w:p>
            <w:pPr>
              <w:spacing w:after="40"/>
            </w:pPr>
            <w:r/>
            <w:r>
              <w:rPr>
                <w:rFonts w:ascii="Microsoft YaHei" w:hAnsi="Microsoft YaHei" w:eastAsia="Microsoft YaHei"/>
                <w:sz w:val="21"/>
              </w:rPr>
              <w:t>支持场地建设、运营直至移交的全生命周期档案数据上传保存，上传文件固定格式需要格式校验。场地资料的展示支持场地的审批类型和阶段进行归类。</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基础信息</w:t>
            </w:r>
          </w:p>
        </w:tc>
        <w:tc>
          <w:tcPr>
            <w:tcW w:type="dxa" w:w="3022"/>
          </w:tcPr>
          <w:p>
            <w:pPr>
              <w:spacing w:after="40"/>
            </w:pPr>
            <w:r/>
            <w:r>
              <w:rPr>
                <w:rFonts w:ascii="Microsoft YaHei" w:hAnsi="Microsoft YaHei" w:eastAsia="Microsoft YaHei"/>
                <w:sz w:val="21"/>
              </w:rPr>
              <w:t>支持国有场地、集体场地、工程场地和短驳场地基础信息查看；</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场地结算</w:t>
            </w:r>
          </w:p>
        </w:tc>
        <w:tc>
          <w:tcPr>
            <w:tcW w:type="dxa" w:w="3022"/>
          </w:tcPr>
          <w:p>
            <w:pPr>
              <w:spacing w:after="40"/>
            </w:pPr>
            <w:r/>
            <w:r>
              <w:rPr>
                <w:rFonts w:ascii="Microsoft YaHei" w:hAnsi="Microsoft YaHei" w:eastAsia="Microsoft YaHei"/>
                <w:sz w:val="21"/>
              </w:rPr>
              <w:t>1.支持场地结算，可以按照国有场地、集体场地、工程场地和内拨场地分类进行结算；2.支持国有场地按月结算申请，集体场地按照消纳费比例和平台服务费结算，工程类场地按照单价结算，短驳场地按照平台服务费结算；</w:t>
            </w:r>
          </w:p>
        </w:tc>
      </w:tr>
      <w:tr>
        <w:tc>
          <w:tcPr>
            <w:tcW w:type="dxa" w:w="3022"/>
          </w:tcPr>
          <w:p>
            <w:pPr>
              <w:spacing w:after="40"/>
            </w:pPr>
            <w:r/>
            <w:r>
              <w:rPr>
                <w:rFonts w:ascii="Microsoft YaHei" w:hAnsi="Microsoft YaHei" w:eastAsia="Microsoft YaHei"/>
                <w:sz w:val="21"/>
              </w:rPr>
              <w:t>6</w:t>
            </w:r>
          </w:p>
        </w:tc>
        <w:tc>
          <w:tcPr>
            <w:tcW w:type="dxa" w:w="3022"/>
          </w:tcPr>
          <w:p>
            <w:pPr>
              <w:spacing w:after="40"/>
            </w:pPr>
            <w:r/>
            <w:r>
              <w:rPr>
                <w:rFonts w:ascii="Microsoft YaHei" w:hAnsi="Microsoft YaHei" w:eastAsia="Microsoft YaHei"/>
                <w:sz w:val="21"/>
              </w:rPr>
              <w:t>消纳报表</w:t>
            </w:r>
          </w:p>
        </w:tc>
        <w:tc>
          <w:tcPr>
            <w:tcW w:type="dxa" w:w="3022"/>
          </w:tcPr>
          <w:p>
            <w:pPr>
              <w:spacing w:after="40"/>
            </w:pPr>
            <w:r/>
            <w:r>
              <w:rPr>
                <w:rFonts w:ascii="Microsoft YaHei" w:hAnsi="Microsoft YaHei" w:eastAsia="Microsoft YaHei"/>
                <w:sz w:val="21"/>
              </w:rPr>
              <w:t>支持场地自定义日月年报表的自动生成和下载；报表查询支持自定义时间查询；</w:t>
            </w:r>
          </w:p>
        </w:tc>
      </w:tr>
      <w:tr>
        <w:tc>
          <w:tcPr>
            <w:tcW w:type="dxa" w:w="3022"/>
          </w:tcPr>
          <w:p>
            <w:pPr>
              <w:spacing w:after="40"/>
            </w:pPr>
            <w:r/>
            <w:r>
              <w:rPr>
                <w:rFonts w:ascii="Microsoft YaHei" w:hAnsi="Microsoft YaHei" w:eastAsia="Microsoft YaHei"/>
                <w:sz w:val="21"/>
              </w:rPr>
              <w:t>7</w:t>
            </w:r>
          </w:p>
        </w:tc>
        <w:tc>
          <w:tcPr>
            <w:tcW w:type="dxa" w:w="3022"/>
          </w:tcPr>
          <w:p>
            <w:pPr>
              <w:spacing w:after="40"/>
            </w:pPr>
            <w:r/>
            <w:r>
              <w:rPr>
                <w:rFonts w:ascii="Microsoft YaHei" w:hAnsi="Microsoft YaHei" w:eastAsia="Microsoft YaHei"/>
                <w:sz w:val="21"/>
              </w:rPr>
              <w:t>场地创建</w:t>
            </w:r>
          </w:p>
        </w:tc>
        <w:tc>
          <w:tcPr>
            <w:tcW w:type="dxa" w:w="3022"/>
          </w:tcPr>
          <w:p>
            <w:pPr>
              <w:spacing w:after="40"/>
            </w:pPr>
            <w:r/>
            <w:r>
              <w:rPr>
                <w:rFonts w:ascii="Microsoft YaHei" w:hAnsi="Microsoft YaHei" w:eastAsia="Microsoft YaHei"/>
                <w:sz w:val="21"/>
              </w:rPr>
              <w:t>支持二级场地建设，实现场地地磅借用功能，过磅时可以选择不同的场地；</w:t>
            </w:r>
          </w:p>
        </w:tc>
      </w:tr>
      <w:tr>
        <w:tc>
          <w:tcPr>
            <w:tcW w:type="dxa" w:w="3022"/>
          </w:tcPr>
          <w:p>
            <w:pPr>
              <w:spacing w:after="40"/>
            </w:pPr>
            <w:r/>
            <w:r>
              <w:rPr>
                <w:rFonts w:ascii="Microsoft YaHei" w:hAnsi="Microsoft YaHei" w:eastAsia="Microsoft YaHei"/>
                <w:sz w:val="21"/>
              </w:rPr>
              <w:t>8</w:t>
            </w:r>
          </w:p>
        </w:tc>
        <w:tc>
          <w:tcPr>
            <w:tcW w:type="dxa" w:w="3022"/>
          </w:tcPr>
          <w:p>
            <w:pPr>
              <w:spacing w:after="40"/>
            </w:pPr>
            <w:r/>
            <w:r>
              <w:rPr>
                <w:rFonts w:ascii="Microsoft YaHei" w:hAnsi="Microsoft YaHei" w:eastAsia="Microsoft YaHei"/>
                <w:sz w:val="21"/>
              </w:rPr>
              <w:t>场地测绘</w:t>
            </w:r>
          </w:p>
        </w:tc>
        <w:tc>
          <w:tcPr>
            <w:tcW w:type="dxa" w:w="3022"/>
          </w:tcPr>
          <w:p>
            <w:pPr>
              <w:spacing w:after="40"/>
            </w:pPr>
            <w:r/>
            <w:r>
              <w:rPr>
                <w:rFonts w:ascii="Microsoft YaHei" w:hAnsi="Microsoft YaHei" w:eastAsia="Microsoft YaHei"/>
                <w:sz w:val="21"/>
              </w:rPr>
              <w:t>支持没有地磅的消纳场地通过测绘的方式进行场地结算；</w:t>
            </w:r>
          </w:p>
        </w:tc>
      </w:tr>
      <w:tr>
        <w:tc>
          <w:tcPr>
            <w:tcW w:type="dxa" w:w="3022"/>
          </w:tcPr>
          <w:p>
            <w:pPr>
              <w:spacing w:after="40"/>
            </w:pPr>
            <w:r/>
            <w:r>
              <w:rPr>
                <w:rFonts w:ascii="Microsoft YaHei" w:hAnsi="Microsoft YaHei" w:eastAsia="Microsoft YaHei"/>
                <w:sz w:val="21"/>
              </w:rPr>
              <w:t>9</w:t>
            </w:r>
          </w:p>
        </w:tc>
        <w:tc>
          <w:tcPr>
            <w:tcW w:type="dxa" w:w="3022"/>
          </w:tcPr>
          <w:p>
            <w:pPr>
              <w:spacing w:after="40"/>
            </w:pPr>
            <w:r/>
            <w:r>
              <w:rPr>
                <w:rFonts w:ascii="Microsoft YaHei" w:hAnsi="Microsoft YaHei" w:eastAsia="Microsoft YaHei"/>
                <w:sz w:val="21"/>
              </w:rPr>
              <w:t>设备配置</w:t>
            </w:r>
          </w:p>
        </w:tc>
        <w:tc>
          <w:tcPr>
            <w:tcW w:type="dxa" w:w="3022"/>
          </w:tcPr>
          <w:p>
            <w:pPr>
              <w:spacing w:after="40"/>
            </w:pPr>
            <w:r/>
            <w:r>
              <w:rPr>
                <w:rFonts w:ascii="Microsoft YaHei" w:hAnsi="Microsoft YaHei" w:eastAsia="Microsoft YaHei"/>
                <w:sz w:val="21"/>
              </w:rPr>
              <w:t>支持对视频监控设备进行配置管理功能，包括视频、抓拍机、地磅等设备；</w:t>
            </w:r>
          </w:p>
        </w:tc>
      </w:tr>
      <w:tr>
        <w:tc>
          <w:tcPr>
            <w:tcW w:type="dxa" w:w="3022"/>
          </w:tcPr>
          <w:p>
            <w:pPr>
              <w:spacing w:after="40"/>
            </w:pPr>
            <w:r/>
            <w:r>
              <w:rPr>
                <w:rFonts w:ascii="Microsoft YaHei" w:hAnsi="Microsoft YaHei" w:eastAsia="Microsoft YaHei"/>
                <w:sz w:val="21"/>
              </w:rPr>
              <w:t>10</w:t>
            </w:r>
          </w:p>
        </w:tc>
        <w:tc>
          <w:tcPr>
            <w:tcW w:type="dxa" w:w="3022"/>
          </w:tcPr>
          <w:p>
            <w:pPr>
              <w:spacing w:after="40"/>
            </w:pPr>
            <w:r/>
            <w:r>
              <w:rPr>
                <w:rFonts w:ascii="Microsoft YaHei" w:hAnsi="Microsoft YaHei" w:eastAsia="Microsoft YaHei"/>
                <w:sz w:val="21"/>
              </w:rPr>
              <w:t>坝体数据对接</w:t>
            </w:r>
          </w:p>
        </w:tc>
        <w:tc>
          <w:tcPr>
            <w:tcW w:type="dxa" w:w="3022"/>
          </w:tcPr>
          <w:p>
            <w:pPr>
              <w:spacing w:after="40"/>
            </w:pPr>
            <w:r/>
            <w:r>
              <w:rPr>
                <w:rFonts w:ascii="Microsoft YaHei" w:hAnsi="Microsoft YaHei" w:eastAsia="Microsoft YaHei"/>
                <w:sz w:val="21"/>
              </w:rPr>
              <w:t>预留支持对坝体检测设备进行对接功能，可时刻获取当前坝体的安全情况；</w:t>
            </w:r>
          </w:p>
        </w:tc>
      </w:tr>
      <w:tr>
        <w:tc>
          <w:tcPr>
            <w:tcW w:type="dxa" w:w="3022"/>
          </w:tcPr>
          <w:p>
            <w:pPr>
              <w:spacing w:after="40"/>
            </w:pPr>
            <w:r/>
            <w:r>
              <w:rPr>
                <w:rFonts w:ascii="Microsoft YaHei" w:hAnsi="Microsoft YaHei" w:eastAsia="Microsoft YaHei"/>
                <w:sz w:val="21"/>
              </w:rPr>
              <w:t>11</w:t>
            </w:r>
          </w:p>
        </w:tc>
        <w:tc>
          <w:tcPr>
            <w:tcW w:type="dxa" w:w="3022"/>
          </w:tcPr>
          <w:p>
            <w:pPr>
              <w:spacing w:after="40"/>
            </w:pPr>
            <w:r/>
            <w:r>
              <w:rPr>
                <w:rFonts w:ascii="Microsoft YaHei" w:hAnsi="Microsoft YaHei" w:eastAsia="Microsoft YaHei"/>
                <w:sz w:val="21"/>
              </w:rPr>
              <w:t>运营配置</w:t>
            </w:r>
          </w:p>
        </w:tc>
        <w:tc>
          <w:tcPr>
            <w:tcW w:type="dxa" w:w="3022"/>
          </w:tcPr>
          <w:p>
            <w:pPr>
              <w:spacing w:after="40"/>
            </w:pPr>
            <w:r/>
            <w:r>
              <w:rPr>
                <w:rFonts w:ascii="Microsoft YaHei" w:hAnsi="Microsoft YaHei" w:eastAsia="Microsoft YaHei"/>
                <w:sz w:val="21"/>
              </w:rPr>
              <w:t>支持对排号配置、人工消纳、范围检测、消纳时长等配置功能；</w:t>
            </w:r>
          </w:p>
        </w:tc>
      </w:tr>
      <w:tr>
        <w:tc>
          <w:tcPr>
            <w:tcW w:type="dxa" w:w="3022"/>
          </w:tcPr>
          <w:p>
            <w:pPr>
              <w:spacing w:after="40"/>
            </w:pPr>
            <w:r/>
            <w:r>
              <w:rPr>
                <w:rFonts w:ascii="Microsoft YaHei" w:hAnsi="Microsoft YaHei" w:eastAsia="Microsoft YaHei"/>
                <w:sz w:val="21"/>
              </w:rPr>
              <w:t>12</w:t>
            </w:r>
          </w:p>
        </w:tc>
        <w:tc>
          <w:tcPr>
            <w:tcW w:type="dxa" w:w="3022"/>
          </w:tcPr>
          <w:p>
            <w:pPr>
              <w:spacing w:after="40"/>
            </w:pPr>
            <w:r/>
            <w:r>
              <w:rPr>
                <w:rFonts w:ascii="Microsoft YaHei" w:hAnsi="Microsoft YaHei" w:eastAsia="Microsoft YaHei"/>
                <w:sz w:val="21"/>
              </w:rPr>
              <w:t>人员配置</w:t>
            </w:r>
          </w:p>
        </w:tc>
        <w:tc>
          <w:tcPr>
            <w:tcW w:type="dxa" w:w="3022"/>
          </w:tcPr>
          <w:p>
            <w:pPr>
              <w:spacing w:after="40"/>
            </w:pPr>
            <w:r/>
            <w:r>
              <w:rPr>
                <w:rFonts w:ascii="Microsoft YaHei" w:hAnsi="Microsoft YaHei" w:eastAsia="Microsoft YaHei"/>
                <w:sz w:val="21"/>
              </w:rPr>
              <w:t>支持对消纳场地的账号信息进行配置管理功能；</w:t>
            </w:r>
          </w:p>
        </w:tc>
      </w:tr>
      <w:tr>
        <w:tc>
          <w:tcPr>
            <w:tcW w:type="dxa" w:w="3022"/>
          </w:tcPr>
          <w:p>
            <w:pPr>
              <w:spacing w:after="40"/>
            </w:pPr>
            <w:r/>
            <w:r>
              <w:rPr>
                <w:rFonts w:ascii="Microsoft YaHei" w:hAnsi="Microsoft YaHei" w:eastAsia="Microsoft YaHei"/>
                <w:sz w:val="21"/>
              </w:rPr>
              <w:t>13</w:t>
            </w:r>
          </w:p>
        </w:tc>
        <w:tc>
          <w:tcPr>
            <w:tcW w:type="dxa" w:w="3022"/>
          </w:tcPr>
          <w:p>
            <w:pPr>
              <w:spacing w:after="40"/>
            </w:pPr>
            <w:r/>
            <w:r>
              <w:rPr>
                <w:rFonts w:ascii="Microsoft YaHei" w:hAnsi="Microsoft YaHei" w:eastAsia="Microsoft YaHei"/>
                <w:sz w:val="21"/>
              </w:rPr>
              <w:t>消纳场地安全管理</w:t>
            </w:r>
          </w:p>
        </w:tc>
        <w:tc>
          <w:tcPr>
            <w:tcW w:type="dxa" w:w="3022"/>
          </w:tcPr>
          <w:p>
            <w:pPr>
              <w:spacing w:after="40"/>
            </w:pPr>
            <w:r/>
            <w:r>
              <w:rPr>
                <w:rFonts w:ascii="Microsoft YaHei" w:hAnsi="Microsoft YaHei" w:eastAsia="Microsoft YaHei"/>
                <w:sz w:val="21"/>
              </w:rPr>
              <w:t>各消纳场所的日常生产安全台账，例如消防设施，应急设施等</w:t>
            </w:r>
          </w:p>
        </w:tc>
      </w:tr>
    </w:tbl>
    <w:p/>
    <w:p>
      <w:pPr>
        <w:pStyle w:val="Heading2"/>
      </w:pPr>
      <w:r>
        <w:t>5. 功能需求逐项说明</w:t>
      </w:r>
    </w:p>
    <w:p>
      <w:pPr>
        <w:pStyle w:val="Heading3"/>
      </w:pPr>
      <w:r>
        <w:t>5.1 场地列表</w:t>
      </w:r>
    </w:p>
    <w:p>
      <w:pPr>
        <w:spacing w:after="120"/>
      </w:pPr>
      <w:r>
        <w:t>功能需求理解 支持消纳场地列表展示，能直观展示场地的当前容量等数据；该功能需支撑业务主体在标准流程、异常场景和监管抽查场景下完成统一办理，并保证数据可追溯、结果可核验。</w:t>
      </w:r>
    </w:p>
    <w:p>
      <w:pPr>
        <w:spacing w:after="120"/>
      </w:pPr>
      <w:r>
        <w:t>业务分析 “场地列表”不仅服务单点操作，还需要与上游主数据、审批规则、消息通知和统计分析形成联动，确保业务从发起、处理、反馈到归档全程留痕。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核心展示内容至少覆盖：支持消纳场地列表展示，能直观展示场地的当前容量等数据。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“场地列表”应以消纳场地模块的业务对象为主，不替代其他模块的主数据维护职责。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消纳清单</w:t>
      </w:r>
    </w:p>
    <w:p>
      <w:pPr>
        <w:spacing w:after="120"/>
      </w:pPr>
      <w:r>
        <w:t>功能需求理解 支持对消纳清单进行列表展示功能；该功能需支撑业务主体在标准流程、异常场景和监管抽查场景下完成统一办理，并保证数据可追溯、结果可核验。</w:t>
      </w:r>
    </w:p>
    <w:p>
      <w:pPr>
        <w:spacing w:after="120"/>
      </w:pPr>
      <w:r>
        <w:t>业务分析 “消纳清单”不仅服务单点操作，还需要与上游主数据、审批规则、消息通知和统计分析形成联动，确保业务从发起、处理、反馈到归档全程留痕。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核心展示内容至少覆盖：支持对消纳清单进行列表展示功能。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“消纳清单”应以消纳场地模块的业务对象为主，不替代其他模块的主数据维护职责。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场地资料</w:t>
      </w:r>
    </w:p>
    <w:p>
      <w:pPr>
        <w:spacing w:after="120"/>
      </w:pPr>
      <w:r>
        <w:t>功能需求理解 支持场地建设、运营直至移交的全生命周期档案数据上传保存，上传文件固定格式需要格式校验。场地资料的展示支持场地的审批类型和阶段进行归类。该功能需支撑业务主体在标准流程、异常场景和监管抽查场景下完成统一办理，并保证数据可追溯、结果可核验。</w:t>
      </w:r>
    </w:p>
    <w:p>
      <w:pPr>
        <w:spacing w:after="120"/>
      </w:pPr>
      <w:r>
        <w:t>业务分析 “场地资料”不仅服务单点操作，还需要与上游主数据、审批规则、消息通知和统计分析形成联动，确保业务从发起、处理、反馈到归档全程留痕。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用户进入“场地资料”功能页面，按角色权限选择查询范围或业务对象。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校验通过后，系统执行“场地资料”对应的业务处理、状态流转或统计计算。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核心展示内容至少覆盖：支持场地建设、运营直至移交的全生命周期档案数据上传保存，上传文件固定格式需要格式校验。场地资料的展示支持场地的审批类型和阶段进行归类。</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“场地资料”应以消纳场地模块的业务对象为主，不替代其他模块的主数据维护职责。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基础信息</w:t>
      </w:r>
    </w:p>
    <w:p>
      <w:pPr>
        <w:spacing w:after="120"/>
      </w:pPr>
      <w:r>
        <w:t>功能需求理解 支持国有场地、集体场地、工程场地和短驳场地基础信息查看；该功能需支撑业务主体在标准流程、异常场景和监管抽查场景下完成统一办理，并保证数据可追溯、结果可核验。</w:t>
      </w:r>
    </w:p>
    <w:p>
      <w:pPr>
        <w:spacing w:after="120"/>
      </w:pPr>
      <w:r>
        <w:t>业务分析 “基础信息”不仅服务单点操作，还需要与上游主数据、审批规则、消息通知和统计分析形成联动，确保业务从发起、处理、反馈到归档全程留痕。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用户进入“基础信息”功能页面，按角色权限选择查询范围或业务对象。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校验通过后，系统执行“基础信息”对应的业务处理、状态流转或统计计算。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核心展示内容至少覆盖：支持国有场地、集体场地、工程场地和短驳场地基础信息查看。</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“基础信息”应以消纳场地模块的业务对象为主，不替代其他模块的主数据维护职责。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5.5 场地结算</w:t>
      </w:r>
    </w:p>
    <w:p>
      <w:pPr>
        <w:spacing w:after="120"/>
      </w:pPr>
      <w:r>
        <w:t>功能需求理解 1.支持场地结算，可以按照国有场地、集体场地、工程场地和内拨场地分类进行结算；2.支持国有场地按月结算申请，集体场地按照消纳费比例和平台服务费结算，工程类场地按照单价结算，短驳场地按照平台服务费结算；该功能需支撑业务主体在标准流程、异常场景和监管抽查场景下完成统一办理，并保证数据可追溯、结果可核验。</w:t>
      </w:r>
    </w:p>
    <w:p>
      <w:pPr>
        <w:spacing w:after="120"/>
      </w:pPr>
      <w:r>
        <w:t>业务分析 “场地结算”不仅服务单点操作，还需要与上游主数据、审批规则、消息通知和统计分析形成联动，确保业务从发起、处理、反馈到归档全程留痕。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用户进入“场地结算”功能页面，按角色权限选择查询范围或业务对象。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校验通过后，系统执行“场地结算”对应的业务处理、状态流转或统计计算。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支持场地结算，可以按照国有场地、集体场地、工程场地和内拨场地分类进行结算；2.支持国有场地按月结算申请，集体场地按照消纳费比例和平台服务费结算，工程类场地按照单价结算，短驳场地按照平台服务费结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“场地结算”应以消纳场地模块的业务对象为主，不替代其他模块的主数据维护职责。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5.6 消纳报表</w:t>
      </w:r>
    </w:p>
    <w:p>
      <w:pPr>
        <w:spacing w:after="120"/>
      </w:pPr>
      <w:r>
        <w:t>功能需求理解 支持场地自定义日月年报表的自动生成和下载；报表查询支持自定义时间查询；该功能需支撑业务主体在标准流程、异常场景和监管抽查场景下完成统一办理，并保证数据可追溯、结果可核验。</w:t>
      </w:r>
    </w:p>
    <w:p>
      <w:pPr>
        <w:spacing w:after="120"/>
      </w:pPr>
      <w:r>
        <w:t>业务分析 “消纳报表”不仅服务单点操作，还需要与上游主数据、审批规则、消息通知和统计分析形成联动，确保业务从发起、处理、反馈到归档全程留痕。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用户进入“消纳报表”功能页面，按角色权限选择查询范围或业务对象。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校验通过后，系统执行“消纳报表”对应的业务处理、状态流转或统计计算。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核心展示内容至少覆盖：支持场地自定义日月年报表的自动生成和下载；报表查询支持自定义时间查询。</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“消纳报表”应以消纳场地模块的业务对象为主，不替代其他模块的主数据维护职责。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5.7 场地创建</w:t>
      </w:r>
    </w:p>
    <w:p>
      <w:pPr>
        <w:spacing w:after="120"/>
      </w:pPr>
      <w:r>
        <w:t>功能需求理解 支持二级场地建设，实现场地地磅借用功能，过磅时可以选择不同的场地；该功能需支撑业务主体在标准流程、异常场景和监管抽查场景下完成统一办理，并保证数据可追溯、结果可核验。</w:t>
      </w:r>
    </w:p>
    <w:p>
      <w:pPr>
        <w:spacing w:after="120"/>
      </w:pPr>
      <w:r>
        <w:t>业务分析 “场地创建”不仅服务单点操作，还需要与上游主数据、审批规则、消息通知和统计分析形成联动，确保业务从发起、处理、反馈到归档全程留痕。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用户进入“场地创建”功能页面，按角色权限选择查询范围或业务对象。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校验通过后，系统执行“场地创建”对应的业务处理、状态流转或统计计算。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核心展示内容至少覆盖：支持二级场地建设，实现场地地磅借用功能，过磅时可以选择不同的场地。</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“场地创建”应以消纳场地模块的业务对象为主，不替代其他模块的主数据维护职责。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5.8 场地测绘</w:t>
      </w:r>
    </w:p>
    <w:p>
      <w:pPr>
        <w:spacing w:after="120"/>
      </w:pPr>
      <w:r>
        <w:t>功能需求理解 支持没有地磅的消纳场地通过测绘的方式进行场地结算；该功能需支撑业务主体在标准流程、异常场景和监管抽查场景下完成统一办理，并保证数据可追溯、结果可核验。</w:t>
      </w:r>
    </w:p>
    <w:p>
      <w:pPr>
        <w:spacing w:after="120"/>
      </w:pPr>
      <w:r>
        <w:t>业务分析 “场地测绘”不仅服务单点操作，还需要与上游主数据、审批规则、消息通知和统计分析形成联动，确保业务从发起、处理、反馈到归档全程留痕。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用户进入“场地测绘”功能页面，按角色权限选择查询范围或业务对象。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校验通过后，系统执行“场地测绘”对应的业务处理、状态流转或统计计算。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核心展示内容至少覆盖：支持没有地磅的消纳场地通过测绘的方式进行场地结算。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“场地测绘”应以消纳场地模块的业务对象为主，不替代其他模块的主数据维护职责。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5.9 设备配置</w:t>
      </w:r>
    </w:p>
    <w:p>
      <w:pPr>
        <w:spacing w:after="120"/>
      </w:pPr>
      <w:r>
        <w:t>功能需求理解 支持对视频监控设备进行配置管理功能，包括视频、抓拍机、地磅等设备；该功能需支撑业务主体在标准流程、异常场景和监管抽查场景下完成统一办理，并保证数据可追溯、结果可核验。</w:t>
      </w:r>
    </w:p>
    <w:p>
      <w:pPr>
        <w:spacing w:after="120"/>
      </w:pPr>
      <w:r>
        <w:t>业务分析 “设备配置”不仅服务单点操作，还需要与上游主数据、审批规则、消息通知和统计分析形成联动，确保业务从发起、处理、反馈到归档全程留痕。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用户进入“设备配置”功能页面，按角色权限选择查询范围或业务对象。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校验通过后，系统执行“设备配置”对应的业务处理、状态流转或统计计算。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核心展示内容至少覆盖：支持对视频监控设备进行配置管理功能，包括视频、抓拍机、地磅等设备。</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“设备配置”应以消纳场地模块的业务对象为主，不替代其他模块的主数据维护职责。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5.10 坝体数据对接</w:t>
      </w:r>
    </w:p>
    <w:p>
      <w:pPr>
        <w:spacing w:after="120"/>
      </w:pPr>
      <w:r>
        <w:t>功能需求理解 预留支持对坝体检测设备进行对接功能，可时刻获取当前坝体的安全情况；该功能需支撑业务主体在标准流程、异常场景和监管抽查场景下完成统一办理，并保证数据可追溯、结果可核验。</w:t>
      </w:r>
    </w:p>
    <w:p>
      <w:pPr>
        <w:spacing w:after="120"/>
      </w:pPr>
      <w:r>
        <w:t>业务分析 “坝体数据对接”不仅服务单点操作，还需要与上游主数据、审批规则、消息通知和统计分析形成联动，确保业务从发起、处理、反馈到归档全程留痕。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pStyle w:val="ListBullet"/>
        <w:spacing w:after="40"/>
      </w:pPr>
      <w:r>
        <w:t>第三方系统连接配置、鉴权信息和映射关系已完成。</w:t>
      </w:r>
    </w:p>
    <w:p>
      <w:pPr>
        <w:spacing w:after="120"/>
      </w:pPr>
      <w:r>
        <w:t>功能操作流程</w:t>
      </w:r>
    </w:p>
    <w:p>
      <w:pPr>
        <w:pStyle w:val="ListNumber"/>
        <w:spacing w:after="40"/>
      </w:pPr>
      <w:r>
        <w:t>用户进入“坝体数据对接”功能页面，按角色权限选择查询范围或业务对象。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校验通过后，系统执行“坝体数据对接”对应的业务处理、状态流转或统计计算。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核心展示内容至少覆盖：预留支持对坝体检测设备进行对接功能，可时刻获取当前坝体的安全情况。</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配置连接：维护第三方地址、鉴权方式、证书或账号参数，并支持保存校验。</w:t>
      </w:r>
    </w:p>
    <w:p>
      <w:pPr>
        <w:pStyle w:val="ListBullet"/>
        <w:spacing w:after="40"/>
      </w:pPr>
      <w:r>
        <w:t>测试连接：使用当前配置执行连通性测试，返回响应耗时、结果和失败原因。</w:t>
      </w:r>
    </w:p>
    <w:p>
      <w:pPr>
        <w:pStyle w:val="ListBullet"/>
        <w:spacing w:after="40"/>
      </w:pPr>
      <w:r>
        <w:t>查看日志：查看业务处理、同步、导出或审批日志，支持按时间、状态、批次筛选。</w:t>
      </w:r>
    </w:p>
    <w:p>
      <w:pPr>
        <w:pStyle w:val="ListBullet"/>
        <w:spacing w:after="40"/>
      </w:pPr>
      <w:r>
        <w:t>重试：针对失败任务或异常记录重新执行处理，重试前保留原失败信息。</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pStyle w:val="ListBullet"/>
        <w:spacing w:after="40"/>
      </w:pPr>
      <w:r>
        <w:t>第三方调用失败时，需区分连接失败、鉴权失败、超时失败和数据解析失败，并支持重试。</w:t>
      </w:r>
    </w:p>
    <w:p>
      <w:pPr>
        <w:spacing w:after="120"/>
      </w:pPr>
      <w:r>
        <w:t>边界说明</w:t>
      </w:r>
    </w:p>
    <w:p>
      <w:pPr>
        <w:pStyle w:val="ListBullet"/>
        <w:spacing w:after="40"/>
      </w:pPr>
      <w:r>
        <w:t>“坝体数据对接”应以消纳场地模块的业务对象为主，不替代其他模块的主数据维护职责。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5.11 运营配置</w:t>
      </w:r>
    </w:p>
    <w:p>
      <w:pPr>
        <w:spacing w:after="120"/>
      </w:pPr>
      <w:r>
        <w:t>功能需求理解 支持对排号配置、人工消纳、范围检测、消纳时长等配置功能；该功能需支撑业务主体在标准流程、异常场景和监管抽查场景下完成统一办理，并保证数据可追溯、结果可核验。</w:t>
      </w:r>
    </w:p>
    <w:p>
      <w:pPr>
        <w:spacing w:after="120"/>
      </w:pPr>
      <w:r>
        <w:t>业务分析 “运营配置”不仅服务单点操作，还需要与上游主数据、审批规则、消息通知和统计分析形成联动，确保业务从发起、处理、反馈到归档全程留痕。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用户进入“运营配置”功能页面，按角色权限选择查询范围或业务对象。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校验通过后，系统执行“运营配置”对应的业务处理、状态流转或统计计算。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核心展示内容至少覆盖：支持对排号配置、人工消纳、范围检测、消纳时长等配置功能。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“运营配置”应以消纳场地模块的业务对象为主，不替代其他模块的主数据维护职责。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5.12 人员配置</w:t>
      </w:r>
    </w:p>
    <w:p>
      <w:pPr>
        <w:spacing w:after="120"/>
      </w:pPr>
      <w:r>
        <w:t>功能需求理解 支持对消纳场地的账号信息进行配置管理功能；该功能需支撑业务主体在标准流程、异常场景和监管抽查场景下完成统一办理，并保证数据可追溯、结果可核验。</w:t>
      </w:r>
    </w:p>
    <w:p>
      <w:pPr>
        <w:spacing w:after="120"/>
      </w:pPr>
      <w:r>
        <w:t>业务分析 “人员配置”不仅服务单点操作，还需要与上游主数据、审批规则、消息通知和统计分析形成联动，确保业务从发起、处理、反馈到归档全程留痕。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核心展示内容至少覆盖：支持对消纳场地的账号信息进行配置管理功能。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“人员配置”应以消纳场地模块的业务对象为主，不替代其他模块的主数据维护职责。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5.13 消纳场地安全管理</w:t>
      </w:r>
    </w:p>
    <w:p>
      <w:pPr>
        <w:spacing w:after="120"/>
      </w:pPr>
      <w:r>
        <w:t>功能需求理解 各消纳场所的日常生产安全台账，例如消防设施，应急设施等该功能需支撑业务主体在标准流程、异常场景和监管抽查场景下完成统一办理，并保证数据可追溯、结果可核验。</w:t>
      </w:r>
    </w:p>
    <w:p>
      <w:pPr>
        <w:spacing w:after="120"/>
      </w:pPr>
      <w:r>
        <w:t>业务分析 “消纳场地安全管理”不仅服务单点操作，还需要与上游主数据、审批规则、消息通知和统计分析形成联动，确保业务从发起、处理、反馈到归档全程留痕。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场地管理员、运营人员、财务人员、安全管理员、平台管理员</w:t>
      </w:r>
    </w:p>
    <w:p>
      <w:pPr>
        <w:spacing w:after="120"/>
      </w:pPr>
      <w:r>
        <w:t>业务前置条件</w:t>
      </w:r>
    </w:p>
    <w:p>
      <w:pPr>
        <w:pStyle w:val="ListBullet"/>
        <w:spacing w:after="40"/>
      </w:pPr>
      <w:r>
        <w:t>已完成消纳场地相关主数据建档并通过角色授权。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用户进入“消纳场地安全管理”功能页面，按角色权限选择查询范围或业务对象。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校验通过后，系统执行“消纳场地安全管理”对应的业务处理、状态流转或统计计算。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核心展示内容至少覆盖：各消纳场所的日常生产安全台账，例如消防设施，应急设施等。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“消纳场地安全管理”应以消纳场地模块的业务对象为主，不替代其他模块的主数据维护职责。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涉及金额、单价、数量、方量、重量等经营性数据时，必须统一精度、汇总规则和对账规则。</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消纳场地模块建设完成后，可显著提升业务办理规范性、过程透明度、数据可追溯性和监管支撑能力，为平台整体经营管理和风险管控提供稳定基础。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违规车辆清单需求方案</w:t>
      </w:r>
    </w:p>
    <w:p>
      <w:pPr>
        <w:pStyle w:val="Heading2"/>
      </w:pPr>
      <w:r>
        <w:t>1. 模块建设目标</w:t>
      </w:r>
    </w:p>
    <w:p>
      <w:pPr>
        <w:spacing w:after="120"/>
      </w:pPr>
      <w:r>
        <w:t>形成违规车辆禁用、解禁和台账追踪的闭环监管能力。</w:t>
      </w:r>
    </w:p>
    <w:p>
      <w:pPr>
        <w:pStyle w:val="Heading2"/>
      </w:pPr>
      <w:r>
        <w:t>2. 模块业务定位</w:t>
      </w:r>
    </w:p>
    <w:p>
      <w:pPr>
        <w:spacing w:after="120"/>
      </w:pPr>
      <w:r>
        <w:t>违规车辆清单模块直接服务执法和运营风控，需要建立车辆异常进入、违规运输、禁入场地等监管处置能力。</w:t>
      </w:r>
    </w:p>
    <w:p>
      <w:pPr>
        <w:pStyle w:val="Heading2"/>
      </w:pPr>
      <w:r>
        <w:t>3. 适用角色与使用场景</w:t>
      </w:r>
    </w:p>
    <w:p>
      <w:pPr>
        <w:spacing w:after="120"/>
      </w:pPr>
      <w:r>
        <w:t>适用角色：执法人员、场地管理员、监管人员。 典型场景：形成违规车辆禁用、解禁和台账追踪的闭环监管能力。模块共包含 2 个核心功能点，覆盖车辆禁用清单、车辆禁用/解禁等业务场景，面向执法人员、场地管理员、监管人员等角色提供业务支撑。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车辆禁用清单</w:t>
            </w:r>
          </w:p>
        </w:tc>
        <w:tc>
          <w:tcPr>
            <w:tcW w:type="dxa" w:w="3022"/>
          </w:tcPr>
          <w:p>
            <w:pPr>
              <w:spacing w:after="40"/>
            </w:pPr>
            <w:r/>
            <w:r>
              <w:rPr>
                <w:rFonts w:ascii="Microsoft YaHei" w:hAnsi="Microsoft YaHei" w:eastAsia="Microsoft YaHei"/>
                <w:sz w:val="21"/>
              </w:rPr>
              <w:t>支持违规车辆的管理，实现车辆禁用数据的查询；</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车辆禁用/解禁</w:t>
            </w:r>
          </w:p>
        </w:tc>
        <w:tc>
          <w:tcPr>
            <w:tcW w:type="dxa" w:w="3022"/>
          </w:tcPr>
          <w:p>
            <w:pPr>
              <w:spacing w:after="40"/>
            </w:pPr>
            <w:r/>
            <w:r>
              <w:rPr>
                <w:rFonts w:ascii="Microsoft YaHei" w:hAnsi="Microsoft YaHei" w:eastAsia="Microsoft YaHei"/>
                <w:sz w:val="21"/>
              </w:rPr>
              <w:t>支持单个车辆的禁止消纳运营以及禁用时限的配置；支持禁用车辆的提前解禁的操作；</w:t>
            </w:r>
          </w:p>
        </w:tc>
      </w:tr>
    </w:tbl>
    <w:p/>
    <w:p>
      <w:pPr>
        <w:pStyle w:val="Heading2"/>
      </w:pPr>
      <w:r>
        <w:t>5. 功能需求逐项说明</w:t>
      </w:r>
    </w:p>
    <w:p>
      <w:pPr>
        <w:pStyle w:val="Heading3"/>
      </w:pPr>
      <w:r>
        <w:t>5.1 车辆禁用清单</w:t>
      </w:r>
    </w:p>
    <w:p>
      <w:pPr>
        <w:spacing w:after="120"/>
      </w:pPr>
      <w:r>
        <w:t>功能需求理解 支持违规车辆的管理，实现车辆禁用数据的查询；该功能需支撑业务主体在标准流程、异常场景和监管抽查场景下完成统一办理，并保证数据可追溯、结果可核验。</w:t>
      </w:r>
    </w:p>
    <w:p>
      <w:pPr>
        <w:spacing w:after="120"/>
      </w:pPr>
      <w:r>
        <w:t>业务分析 “车辆禁用清单”不仅服务单点操作，还需要与上游主数据、审批规则、消息通知和统计分析形成联动，确保业务从发起、处理、反馈到归档全程留痕。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执法人员、场地管理员、监管人员</w:t>
      </w:r>
    </w:p>
    <w:p>
      <w:pPr>
        <w:spacing w:after="120"/>
      </w:pPr>
      <w:r>
        <w:t>业务前置条件</w:t>
      </w:r>
    </w:p>
    <w:p>
      <w:pPr>
        <w:pStyle w:val="ListBullet"/>
        <w:spacing w:after="40"/>
      </w:pPr>
      <w:r>
        <w:t>已完成违规车辆清单相关主数据建档并通过角色授权。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用户进入“车辆禁用清单”功能页面，按角色权限选择查询范围或业务对象。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校验通过后，系统执行“车辆禁用清单”对应的业务处理、状态流转或统计计算。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核心展示内容至少覆盖：支持违规车辆的管理，实现车辆禁用数据的查询。</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“车辆禁用清单”应以违规车辆清单模块的业务对象为主，不替代其他模块的主数据维护职责。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车辆禁用/解禁</w:t>
      </w:r>
    </w:p>
    <w:p>
      <w:pPr>
        <w:spacing w:after="120"/>
      </w:pPr>
      <w:r>
        <w:t>功能需求理解 支持单个车辆的禁止消纳运营以及禁用时限的配置；支持禁用车辆的提前解禁的操作；该功能需支撑业务主体在标准流程、异常场景和监管抽查场景下完成统一办理，并保证数据可追溯、结果可核验。</w:t>
      </w:r>
    </w:p>
    <w:p>
      <w:pPr>
        <w:spacing w:after="120"/>
      </w:pPr>
      <w:r>
        <w:t>业务分析 “车辆禁用/解禁”不仅服务单点操作，还需要与上游主数据、审批规则、消息通知和统计分析形成联动，确保业务从发起、处理、反馈到归档全程留痕。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执法人员、场地管理员、监管人员</w:t>
      </w:r>
    </w:p>
    <w:p>
      <w:pPr>
        <w:spacing w:after="120"/>
      </w:pPr>
      <w:r>
        <w:t>业务前置条件</w:t>
      </w:r>
    </w:p>
    <w:p>
      <w:pPr>
        <w:pStyle w:val="ListBullet"/>
        <w:spacing w:after="40"/>
      </w:pPr>
      <w:r>
        <w:t>已完成违规车辆清单相关主数据建档并通过角色授权。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用户进入“车辆禁用/解禁”功能页面，按角色权限选择查询范围或业务对象。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校验通过后，系统执行“车辆禁用/解禁”对应的业务处理、状态流转或统计计算。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核心展示内容至少覆盖：支持单个车辆的禁止消纳运营以及禁用时限的配置；支持禁用车辆的提前解禁的操作。</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禁用：将目标对象设置为禁用状态，并记录禁用期限、原因和执行人。</w:t>
      </w:r>
    </w:p>
    <w:p>
      <w:pPr>
        <w:pStyle w:val="ListBullet"/>
        <w:spacing w:after="40"/>
      </w:pPr>
      <w:r>
        <w:t>解禁：提前解除禁用状态，恢复对象使用资格并保留解禁记录。</w:t>
      </w:r>
    </w:p>
    <w:p>
      <w:pPr>
        <w:pStyle w:val="ListBullet"/>
        <w:spacing w:after="40"/>
      </w:pPr>
      <w:r>
        <w:t>查看记录：查看当前对象历史操作、历史预警、历史维护或历史处理记录。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“车辆禁用/解禁”应以违规车辆清单模块的业务对象为主，不替代其他模块的主数据维护职责。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违规车辆清单模块建设完成后，可显著提升业务办理规范性、过程透明度、数据可追溯性和监管支撑能力，为平台整体经营管理和风险管控提供稳定基础。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事件管理需求方案</w:t>
      </w:r>
    </w:p>
    <w:p>
      <w:pPr>
        <w:pStyle w:val="Heading2"/>
      </w:pPr>
      <w:r>
        <w:t>1. 模块建设目标</w:t>
      </w:r>
    </w:p>
    <w:p>
      <w:pPr>
        <w:spacing w:after="120"/>
      </w:pPr>
      <w:r>
        <w:t>建立事件上报、审核、处理、归档的协同闭环。</w:t>
      </w:r>
    </w:p>
    <w:p>
      <w:pPr>
        <w:pStyle w:val="Heading2"/>
      </w:pPr>
      <w:r>
        <w:t>2. 模块业务定位</w:t>
      </w:r>
    </w:p>
    <w:p>
      <w:pPr>
        <w:spacing w:after="120"/>
      </w:pPr>
      <w:r>
        <w:t>事件管理模块承担异常事项和人工工单的统一受理中心作用，面向延期申报、场地事件、举报和反馈等场景提供统一工单化治理能力。</w:t>
      </w:r>
    </w:p>
    <w:p>
      <w:pPr>
        <w:pStyle w:val="Heading2"/>
      </w:pPr>
      <w:r>
        <w:t>3. 适用角色与使用场景</w:t>
      </w:r>
    </w:p>
    <w:p>
      <w:pPr>
        <w:spacing w:after="120"/>
      </w:pPr>
      <w:r>
        <w:t>适用角色：事件上报人、审核人员、处置人员、平台管理员。 典型场景：建立事件上报、审核、处理、归档的协同闭环。模块共包含 2 个核心功能点，覆盖人工事件、事件审核等业务场景，面向事件上报人、审核人员、处置人员等角色提供业务支撑。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人工事件</w:t>
            </w:r>
          </w:p>
        </w:tc>
        <w:tc>
          <w:tcPr>
            <w:tcW w:type="dxa" w:w="3022"/>
          </w:tcPr>
          <w:p>
            <w:pPr>
              <w:spacing w:after="40"/>
            </w:pPr>
            <w:r/>
            <w:r>
              <w:rPr>
                <w:rFonts w:ascii="Microsoft YaHei" w:hAnsi="Microsoft YaHei" w:eastAsia="Microsoft YaHei"/>
                <w:sz w:val="21"/>
              </w:rPr>
              <w:t>展示申请事件清单列表，并且支持多条件的组合筛选列表结果，事件包含延期申报、场地事件、违规举报等类型展示</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事件审核</w:t>
            </w:r>
          </w:p>
        </w:tc>
        <w:tc>
          <w:tcPr>
            <w:tcW w:type="dxa" w:w="3022"/>
          </w:tcPr>
          <w:p>
            <w:pPr>
              <w:spacing w:after="40"/>
            </w:pPr>
            <w:r/>
            <w:r>
              <w:rPr>
                <w:rFonts w:ascii="Microsoft YaHei" w:hAnsi="Microsoft YaHei" w:eastAsia="Microsoft YaHei"/>
                <w:sz w:val="21"/>
              </w:rPr>
              <w:t>支持上报事件的审核审批功能，支持权限人员进行通过和退回操作；</w:t>
            </w:r>
          </w:p>
        </w:tc>
      </w:tr>
    </w:tbl>
    <w:p/>
    <w:p>
      <w:pPr>
        <w:pStyle w:val="Heading2"/>
      </w:pPr>
      <w:r>
        <w:t>5. 功能需求逐项说明</w:t>
      </w:r>
    </w:p>
    <w:p>
      <w:pPr>
        <w:pStyle w:val="Heading3"/>
      </w:pPr>
      <w:r>
        <w:t>5.1 人工事件</w:t>
      </w:r>
    </w:p>
    <w:p>
      <w:pPr>
        <w:spacing w:after="120"/>
      </w:pPr>
      <w:r>
        <w:t>功能需求理解 展示申请事件清单列表，并且支持多条件的组合筛选列表结果，事件包含延期申报、场地事件、违规举报等类型展示该功能需支撑业务主体在标准流程、异常场景和监管抽查场景下完成统一办理，并保证数据可追溯、结果可核验。</w:t>
      </w:r>
    </w:p>
    <w:p>
      <w:pPr>
        <w:spacing w:after="120"/>
      </w:pPr>
      <w:r>
        <w:t>业务分析 “人工事件”不仅服务单点操作，还需要与上游主数据、审批规则、消息通知和统计分析形成联动，确保业务从发起、处理、反馈到归档全程留痕。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事件上报人、审核人员、处置人员、平台管理员</w:t>
      </w:r>
    </w:p>
    <w:p>
      <w:pPr>
        <w:spacing w:after="120"/>
      </w:pPr>
      <w:r>
        <w:t>业务前置条件</w:t>
      </w:r>
    </w:p>
    <w:p>
      <w:pPr>
        <w:pStyle w:val="ListBullet"/>
        <w:spacing w:after="40"/>
      </w:pPr>
      <w:r>
        <w:t>已完成事件管理相关主数据建档并通过角色授权。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用户进入“人工事件”功能页面，按角色权限选择查询范围或业务对象。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校验通过后，系统执行“人工事件”对应的业务处理、状态流转或统计计算。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核心展示内容至少覆盖：展示申请事件清单列表，并且支持多条件的组合筛选列表结果，事件包含延期申报、场地事件、违规举报等类型展示。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“人工事件”应以事件管理模块的业务对象为主，不替代其他模块的主数据维护职责。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事件审核</w:t>
      </w:r>
    </w:p>
    <w:p>
      <w:pPr>
        <w:spacing w:after="120"/>
      </w:pPr>
      <w:r>
        <w:t>功能需求理解 支持上报事件的审核审批功能，支持权限人员进行通过和退回操作；该功能需支撑业务主体在标准流程、异常场景和监管抽查场景下完成统一办理，并保证数据可追溯、结果可核验。</w:t>
      </w:r>
    </w:p>
    <w:p>
      <w:pPr>
        <w:spacing w:after="120"/>
      </w:pPr>
      <w:r>
        <w:t>业务分析 “事件审核”不仅服务单点操作，还需要与上游主数据、审批规则、消息通知和统计分析形成联动，确保业务从发起、处理、反馈到归档全程留痕。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事件上报人、审核人员、处置人员、平台管理员</w:t>
      </w:r>
    </w:p>
    <w:p>
      <w:pPr>
        <w:spacing w:after="120"/>
      </w:pPr>
      <w:r>
        <w:t>业务前置条件</w:t>
      </w:r>
    </w:p>
    <w:p>
      <w:pPr>
        <w:pStyle w:val="ListBullet"/>
        <w:spacing w:after="40"/>
      </w:pPr>
      <w:r>
        <w:t>已完成事件管理相关主数据建档并通过角色授权。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用户进入“事件审核”功能页面，按角色权限选择查询范围或业务对象。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校验通过后，系统执行“事件审核”对应的业务处理、状态流转或统计计算。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核心展示内容至少覆盖：支持上报事件的审核审批功能，支持权限人员进行通过和退回操作。</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通过：审核通过当前事项并进入下一节点或办理完成，需记录审批意见。</w:t>
      </w:r>
    </w:p>
    <w:p>
      <w:pPr>
        <w:pStyle w:val="ListBullet"/>
        <w:spacing w:after="40"/>
      </w:pPr>
      <w:r>
        <w:t>退回：填写退回原因后将事项退回上一步或发起人，并触发消息通知。</w:t>
      </w:r>
    </w:p>
    <w:p>
      <w:pPr>
        <w:pStyle w:val="ListBullet"/>
        <w:spacing w:after="40"/>
      </w:pPr>
      <w:r>
        <w:t>查看材料：触发对应业务动作，并根据当前状态返回处理结果或失败提示。</w:t>
      </w:r>
    </w:p>
    <w:p>
      <w:pPr>
        <w:pStyle w:val="ListBullet"/>
        <w:spacing w:after="40"/>
      </w:pPr>
      <w:r>
        <w:t>查看流程：查看流程节点、当前处理人、历史意见和处理时间。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输出审批结果、审批意见、审批轨迹及消息通知结果，并同步更新业务状态。</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“事件审核”应以事件管理模块的业务对象为主，不替代其他模块的主数据维护职责。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事件管理模块建设完成后，可显著提升业务办理规范性、过程透明度、数据可追溯性和监管支撑能力，为平台整体经营管理和风险管控提供稳定基础。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系统预警需求方案</w:t>
      </w:r>
    </w:p>
    <w:p>
      <w:pPr>
        <w:pStyle w:val="Heading2"/>
      </w:pPr>
      <w:r>
        <w:t>1. 模块建设目标</w:t>
      </w:r>
    </w:p>
    <w:p>
      <w:pPr>
        <w:spacing w:after="120"/>
      </w:pPr>
      <w:r>
        <w:t>建立围绕场地、项目、人员、车辆、合同的多维预警能力。</w:t>
      </w:r>
    </w:p>
    <w:p>
      <w:pPr>
        <w:pStyle w:val="Heading2"/>
      </w:pPr>
      <w:r>
        <w:t>2. 模块业务定位</w:t>
      </w:r>
    </w:p>
    <w:p>
      <w:pPr>
        <w:spacing w:after="120"/>
      </w:pPr>
      <w:r>
        <w:t>系统预警模块是平台监管中枢，依托业务台账、定位轨迹、证照状态、合同状态和规则配置实现风险发现、消息触达和处置闭环。</w:t>
      </w:r>
    </w:p>
    <w:p>
      <w:pPr>
        <w:pStyle w:val="Heading2"/>
      </w:pPr>
      <w:r>
        <w:t>3. 适用角色与使用场景</w:t>
      </w:r>
    </w:p>
    <w:p>
      <w:pPr>
        <w:spacing w:after="120"/>
      </w:pPr>
      <w:r>
        <w:t>适用角色：监管人员、场地管理员、项目经理、车队管理员、平台运营人员。 典型场景：建立围绕场地、项目、人员、车辆、合同的多维预警能力。模块共包含 5 个核心功能点，覆盖场地预警、项目预警、人员预警、车辆预警等业务场景，面向监管人员、场地管理员、项目经理等角色提供业务支撑。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场地预警</w:t>
            </w:r>
          </w:p>
        </w:tc>
        <w:tc>
          <w:tcPr>
            <w:tcW w:type="dxa" w:w="3022"/>
          </w:tcPr>
          <w:p>
            <w:pPr>
              <w:spacing w:after="40"/>
            </w:pPr>
            <w:r/>
            <w:r>
              <w:rPr>
                <w:rFonts w:ascii="Microsoft YaHei" w:hAnsi="Microsoft YaHei" w:eastAsia="Microsoft YaHei"/>
                <w:sz w:val="21"/>
              </w:rPr>
              <w:t>实现林地占用情况的分析和预警；实现场地容量的判断和预警；实现场地凭证有效期的判断和预警；</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项目预警</w:t>
            </w:r>
          </w:p>
        </w:tc>
        <w:tc>
          <w:tcPr>
            <w:tcW w:type="dxa" w:w="3022"/>
          </w:tcPr>
          <w:p>
            <w:pPr>
              <w:spacing w:after="40"/>
            </w:pPr>
            <w:r/>
            <w:r>
              <w:rPr>
                <w:rFonts w:ascii="Microsoft YaHei" w:hAnsi="Microsoft YaHei" w:eastAsia="Microsoft YaHei"/>
                <w:sz w:val="21"/>
              </w:rPr>
              <w:t>实现项目消纳量进度的预警；实现项目关联处置证有效期的预警；</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人员预警</w:t>
            </w:r>
          </w:p>
        </w:tc>
        <w:tc>
          <w:tcPr>
            <w:tcW w:type="dxa" w:w="3022"/>
          </w:tcPr>
          <w:p>
            <w:pPr>
              <w:spacing w:after="40"/>
            </w:pPr>
            <w:r/>
            <w:r>
              <w:rPr>
                <w:rFonts w:ascii="Microsoft YaHei" w:hAnsi="Microsoft YaHei" w:eastAsia="Microsoft YaHei"/>
                <w:sz w:val="21"/>
              </w:rPr>
              <w:t>主要针对自招司机的安全驾驶预警，如存在习惯性违章、准驾年龄到期等</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车辆预警</w:t>
            </w:r>
          </w:p>
        </w:tc>
        <w:tc>
          <w:tcPr>
            <w:tcW w:type="dxa" w:w="3022"/>
          </w:tcPr>
          <w:p>
            <w:pPr>
              <w:spacing w:after="40"/>
            </w:pPr>
            <w:r/>
            <w:r>
              <w:rPr>
                <w:rFonts w:ascii="Microsoft YaHei" w:hAnsi="Microsoft YaHei" w:eastAsia="Microsoft YaHei"/>
                <w:sz w:val="21"/>
              </w:rPr>
              <w:t>实现进入场地时抓拍分析的非法闯禁消纳的预警；实现进入场地时抓拍分析未出土打卡进场消纳的预警；实现进入场地时抓拍分析的证件超时消纳异常情况的预警；通过车载GPS比对，实现车辆未按照规定线路进行消纳的车辆违规运输行为的预警；通过GPS分析非平台车辆的进入平台配置区域的预警功能；车辆年审、保险、保养等</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合同预警</w:t>
            </w:r>
          </w:p>
        </w:tc>
        <w:tc>
          <w:tcPr>
            <w:tcW w:type="dxa" w:w="3022"/>
          </w:tcPr>
          <w:p>
            <w:pPr>
              <w:spacing w:after="40"/>
            </w:pPr>
            <w:r/>
            <w:r>
              <w:rPr>
                <w:rFonts w:ascii="Microsoft YaHei" w:hAnsi="Microsoft YaHei" w:eastAsia="Microsoft YaHei"/>
                <w:sz w:val="21"/>
              </w:rPr>
              <w:t>支持各类合同时间预警如：合作车辆（队）合同剩余期限，应付款时间提醒；渣土消纳合同剩余期限，应付款时间提醒；其他租赁合同剩余期限（如网络运营商，系统运维合同等）。实现项目剩余金额的预警；</w:t>
            </w:r>
          </w:p>
        </w:tc>
      </w:tr>
    </w:tbl>
    <w:p/>
    <w:p>
      <w:pPr>
        <w:pStyle w:val="Heading2"/>
      </w:pPr>
      <w:r>
        <w:t>5. 功能需求逐项说明</w:t>
      </w:r>
    </w:p>
    <w:p>
      <w:pPr>
        <w:pStyle w:val="Heading3"/>
      </w:pPr>
      <w:r>
        <w:t>5.1 场地预警</w:t>
      </w:r>
    </w:p>
    <w:p>
      <w:pPr>
        <w:spacing w:after="120"/>
      </w:pPr>
      <w:r>
        <w:t>功能需求理解 实现林地占用情况的分析和预警；实现场地容量的判断和预警；实现场地凭证有效期的判断和预警；该功能需支撑业务主体在标准流程、异常场景和监管抽查场景下完成统一办理，并保证数据可追溯、结果可核验。</w:t>
      </w:r>
    </w:p>
    <w:p>
      <w:pPr>
        <w:spacing w:after="120"/>
      </w:pPr>
      <w:r>
        <w:t>业务分析 “场地预警”不仅服务单点操作，还需要与上游主数据、审批规则、消息通知和统计分析形成联动，确保业务从发起、处理、反馈到归档全程留痕。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监管人员、场地管理员、项目经理、车队管理员、平台运营人员</w:t>
      </w:r>
    </w:p>
    <w:p>
      <w:pPr>
        <w:spacing w:after="120"/>
      </w:pPr>
      <w:r>
        <w:t>业务前置条件</w:t>
      </w:r>
    </w:p>
    <w:p>
      <w:pPr>
        <w:pStyle w:val="ListBullet"/>
        <w:spacing w:after="40"/>
      </w:pPr>
      <w:r>
        <w:t>已完成系统预警相关主数据建档并通过角色授权。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用户进入“场地预警”功能页面，按角色权限选择查询范围或业务对象。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校验通过后，系统执行“场地预警”对应的业务处理、状态流转或统计计算。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核心展示内容至少覆盖：实现林地占用情况的分析和预警；实现场地容量的判断和预警；实现场地凭证有效期的判断和预警。</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“场地预警”应以系统预警模块的业务对象为主，不替代其他模块的主数据维护职责。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项目预警</w:t>
      </w:r>
    </w:p>
    <w:p>
      <w:pPr>
        <w:spacing w:after="120"/>
      </w:pPr>
      <w:r>
        <w:t>功能需求理解 实现项目消纳量进度的预警；实现项目关联处置证有效期的预警；该功能需支撑业务主体在标准流程、异常场景和监管抽查场景下完成统一办理，并保证数据可追溯、结果可核验。</w:t>
      </w:r>
    </w:p>
    <w:p>
      <w:pPr>
        <w:spacing w:after="120"/>
      </w:pPr>
      <w:r>
        <w:t>业务分析 “项目预警”不仅服务单点操作，还需要与上游主数据、审批规则、消息通知和统计分析形成联动，确保业务从发起、处理、反馈到归档全程留痕。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监管人员、场地管理员、项目经理、车队管理员、平台运营人员</w:t>
      </w:r>
    </w:p>
    <w:p>
      <w:pPr>
        <w:spacing w:after="120"/>
      </w:pPr>
      <w:r>
        <w:t>业务前置条件</w:t>
      </w:r>
    </w:p>
    <w:p>
      <w:pPr>
        <w:pStyle w:val="ListBullet"/>
        <w:spacing w:after="40"/>
      </w:pPr>
      <w:r>
        <w:t>已完成系统预警相关主数据建档并通过角色授权。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用户进入“项目预警”功能页面，按角色权限选择查询范围或业务对象。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校验通过后，系统执行“项目预警”对应的业务处理、状态流转或统计计算。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核心展示内容至少覆盖：实现项目消纳量进度的预警；实现项目关联处置证有效期的预警。</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“项目预警”应以系统预警模块的业务对象为主，不替代其他模块的主数据维护职责。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人员预警</w:t>
      </w:r>
    </w:p>
    <w:p>
      <w:pPr>
        <w:spacing w:after="120"/>
      </w:pPr>
      <w:r>
        <w:t>功能需求理解 主要针对自招司机的安全驾驶预警，如存在习惯性违章、准驾年龄到期等该功能需支撑业务主体在标准流程、异常场景和监管抽查场景下完成统一办理，并保证数据可追溯、结果可核验。</w:t>
      </w:r>
    </w:p>
    <w:p>
      <w:pPr>
        <w:spacing w:after="120"/>
      </w:pPr>
      <w:r>
        <w:t>业务分析 “人员预警”不仅服务单点操作，还需要与上游主数据、审批规则、消息通知和统计分析形成联动，确保业务从发起、处理、反馈到归档全程留痕。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监管人员、场地管理员、项目经理、车队管理员、平台运营人员</w:t>
      </w:r>
    </w:p>
    <w:p>
      <w:pPr>
        <w:spacing w:after="120"/>
      </w:pPr>
      <w:r>
        <w:t>业务前置条件</w:t>
      </w:r>
    </w:p>
    <w:p>
      <w:pPr>
        <w:pStyle w:val="ListBullet"/>
        <w:spacing w:after="40"/>
      </w:pPr>
      <w:r>
        <w:t>已完成系统预警相关主数据建档并通过角色授权。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用户进入“人员预警”功能页面，按角色权限选择查询范围或业务对象。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校验通过后，系统执行“人员预警”对应的业务处理、状态流转或统计计算。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核心展示内容至少覆盖：主要针对自招司机的安全驾驶预警，如存在习惯性违章、准驾年龄到期等。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“人员预警”应以系统预警模块的业务对象为主，不替代其他模块的主数据维护职责。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车辆预警</w:t>
      </w:r>
    </w:p>
    <w:p>
      <w:pPr>
        <w:spacing w:after="120"/>
      </w:pPr>
      <w:r>
        <w:t>功能需求理解 实现进入场地时抓拍分析的非法闯禁消纳的预警；实现进入场地时抓拍分析未出土打卡进场消纳的预警；实现进入场地时抓拍分析的证件超时消纳异常情况的预警；通过车载GPS比对，实现车辆未按照规定线路进行消纳的车辆违规运输行为的预警；通过GPS分析非平台车辆的进入平台配置区域的预警功能；车辆年审、保险、保养等该功能需支撑业务主体在标准流程、异常场景和监管抽查场景下完成统一办理，并保证数据可追溯、结果可核验。</w:t>
      </w:r>
    </w:p>
    <w:p>
      <w:pPr>
        <w:spacing w:after="120"/>
      </w:pPr>
      <w:r>
        <w:t>业务分析 “车辆预警”不仅服务单点操作，还需要与上游主数据、审批规则、消息通知和统计分析形成联动，确保业务从发起、处理、反馈到归档全程留痕。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监管人员、场地管理员、项目经理、车队管理员、平台运营人员</w:t>
      </w:r>
    </w:p>
    <w:p>
      <w:pPr>
        <w:spacing w:after="120"/>
      </w:pPr>
      <w:r>
        <w:t>业务前置条件</w:t>
      </w:r>
    </w:p>
    <w:p>
      <w:pPr>
        <w:pStyle w:val="ListBullet"/>
        <w:spacing w:after="40"/>
      </w:pPr>
      <w:r>
        <w:t>已完成系统预警相关主数据建档并通过角色授权。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用户进入“车辆预警”功能页面，按角色权限选择查询范围或业务对象。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校验通过后，系统执行“车辆预警”对应的业务处理、状态流转或统计计算。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进入场地时抓拍分析的非法闯禁消纳的预警；实现进入场地时抓拍分析未出土打卡进场消纳的预警；实现进入场地时抓拍分析的证件超时消纳异常情况的预警；通过车载GPS比对，实现车辆未按照规定线路进行消纳的车辆违规运输行为的预警；通过GPS分析非平台车辆的进入平台配置区域的预警功能；车辆年审、保险、保养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“车辆预警”应以系统预警模块的业务对象为主，不替代其他模块的主数据维护职责。</w:t>
      </w:r>
    </w:p>
    <w:p>
      <w:pPr>
        <w:pStyle w:val="ListBullet"/>
        <w:spacing w:after="40"/>
      </w:pPr>
      <w:r>
        <w:t>系统需支持跨模块查询和联动，但跨模块数据修改应回到所属模块完成。</w:t>
      </w:r>
    </w:p>
    <w:p>
      <w:pPr>
        <w:pStyle w:val="Heading3"/>
      </w:pPr>
      <w:r>
        <w:t>5.5 合同预警</w:t>
      </w:r>
    </w:p>
    <w:p>
      <w:pPr>
        <w:spacing w:after="120"/>
      </w:pPr>
      <w:r>
        <w:t>功能需求理解 支持各类合同时间预警如：合作车辆（队）合同剩余期限，应付款时间提醒；渣土消纳合同剩余期限，应付款时间提醒；其他租赁合同剩余期限（如网络运营商，系统运维合同等）。实现项目剩余金额的预警；该功能需支撑业务主体在标准流程、异常场景和监管抽查场景下完成统一办理，并保证数据可追溯、结果可核验。</w:t>
      </w:r>
    </w:p>
    <w:p>
      <w:pPr>
        <w:spacing w:after="120"/>
      </w:pPr>
      <w:r>
        <w:t>业务分析 “合同预警”不仅服务单点操作，还需要与上游主数据、审批规则、消息通知和统计分析形成联动，确保业务从发起、处理、反馈到归档全程留痕。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监管人员、场地管理员、项目经理、车队管理员、平台运营人员</w:t>
      </w:r>
    </w:p>
    <w:p>
      <w:pPr>
        <w:spacing w:after="120"/>
      </w:pPr>
      <w:r>
        <w:t>业务前置条件</w:t>
      </w:r>
    </w:p>
    <w:p>
      <w:pPr>
        <w:pStyle w:val="ListBullet"/>
        <w:spacing w:after="40"/>
      </w:pPr>
      <w:r>
        <w:t>已完成系统预警相关主数据建档并通过角色授权。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用户进入“合同预警”功能页面，按角色权限选择查询范围或业务对象。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校验通过后，系统执行“合同预警”对应的业务处理、状态流转或统计计算。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各类合同时间预警如：合作车辆（队）合同剩余期限，应付款时间提醒；渣土消纳合同剩余期限，应付款时间提醒；其他租赁合同剩余期限（如网络运营商，系统运维合同等）。实现项目剩余金额的预警。</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“合同预警”应以系统预警模块的业务对象为主，不替代其他模块的主数据维护职责。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涉及异步任务、现场采集或第三方回调时，必须具备重试、去重、补偿和日志追踪机制。</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系统预警模块建设完成后，可显著提升业务办理规范性、过程透明度、数据可追溯性和监管支撑能力，为平台整体经营管理和风险管控提供稳定基础。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预警配置需求方案</w:t>
      </w:r>
    </w:p>
    <w:p>
      <w:pPr>
        <w:pStyle w:val="Heading2"/>
      </w:pPr>
      <w:r>
        <w:t>1. 模块建设目标</w:t>
      </w:r>
    </w:p>
    <w:p>
      <w:pPr>
        <w:spacing w:after="120"/>
      </w:pPr>
      <w:r>
        <w:t>构建预警规则、围栏和推送策略的可配置化平台。</w:t>
      </w:r>
    </w:p>
    <w:p>
      <w:pPr>
        <w:pStyle w:val="Heading2"/>
      </w:pPr>
      <w:r>
        <w:t>2. 模块业务定位</w:t>
      </w:r>
    </w:p>
    <w:p>
      <w:pPr>
        <w:spacing w:after="120"/>
      </w:pPr>
      <w:r>
        <w:t>预警配置模块为系统预警提供策略底座，负责指标阈值、电子围栏、触发时间窗、推送对象和升级规则等配置能力。</w:t>
      </w:r>
    </w:p>
    <w:p>
      <w:pPr>
        <w:pStyle w:val="Heading2"/>
      </w:pPr>
      <w:r>
        <w:t>3. 适用角色与使用场景</w:t>
      </w:r>
    </w:p>
    <w:p>
      <w:pPr>
        <w:spacing w:after="120"/>
      </w:pPr>
      <w:r>
        <w:t>适用角色：平台管理员、规则管理员、监管配置人员。 典型场景：构建预警规则、围栏和推送策略的可配置化平台。模块共包含 3 个核心功能点，覆盖阈值配置、预警围栏、推送配置等业务场景，面向平台管理员、规则管理员、监管配置人员等角色提供业务支撑。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阈值配置</w:t>
            </w:r>
          </w:p>
        </w:tc>
        <w:tc>
          <w:tcPr>
            <w:tcW w:type="dxa" w:w="3022"/>
          </w:tcPr>
          <w:p>
            <w:pPr>
              <w:spacing w:after="40"/>
            </w:pPr>
            <w:r/>
            <w:r>
              <w:rPr>
                <w:rFonts w:ascii="Microsoft YaHei" w:hAnsi="Microsoft YaHei" w:eastAsia="Microsoft YaHei"/>
                <w:sz w:val="21"/>
              </w:rPr>
              <w:t>支持场地预警、项目预警和车辆预警，人员预警的触发阈值配置；</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预警围栏</w:t>
            </w:r>
          </w:p>
        </w:tc>
        <w:tc>
          <w:tcPr>
            <w:tcW w:type="dxa" w:w="3022"/>
          </w:tcPr>
          <w:p>
            <w:pPr>
              <w:spacing w:after="40"/>
            </w:pPr>
            <w:r/>
            <w:r>
              <w:rPr>
                <w:rFonts w:ascii="Microsoft YaHei" w:hAnsi="Microsoft YaHei" w:eastAsia="Microsoft YaHei"/>
                <w:sz w:val="21"/>
              </w:rPr>
              <w:t>1.增加电子围栏配置功能，支持在地图上进行电子围栏的创建、编辑、删除；2.支持电子围栏预警时间的配置，可以自动开启和关闭预警功能，开启后车辆进入就产生预警；</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推送配置</w:t>
            </w:r>
          </w:p>
        </w:tc>
        <w:tc>
          <w:tcPr>
            <w:tcW w:type="dxa" w:w="3022"/>
          </w:tcPr>
          <w:p>
            <w:pPr>
              <w:spacing w:after="40"/>
            </w:pPr>
            <w:r/>
            <w:r>
              <w:rPr>
                <w:rFonts w:ascii="Microsoft YaHei" w:hAnsi="Microsoft YaHei" w:eastAsia="Microsoft YaHei"/>
                <w:sz w:val="21"/>
              </w:rPr>
              <w:t>支持场地预警、项目预警和车辆预警、合同预警的等级分级配置、推送时间以及推送对象的配置；</w:t>
            </w:r>
          </w:p>
        </w:tc>
      </w:tr>
    </w:tbl>
    <w:p/>
    <w:p>
      <w:pPr>
        <w:pStyle w:val="Heading2"/>
      </w:pPr>
      <w:r>
        <w:t>5. 功能需求逐项说明</w:t>
      </w:r>
    </w:p>
    <w:p>
      <w:pPr>
        <w:pStyle w:val="Heading3"/>
      </w:pPr>
      <w:r>
        <w:t>5.1 阈值配置</w:t>
      </w:r>
    </w:p>
    <w:p>
      <w:pPr>
        <w:spacing w:after="120"/>
      </w:pPr>
      <w:r>
        <w:t>功能需求理解 支持场地预警、项目预警和车辆预警，人员预警的触发阈值配置；该功能需支撑业务主体在标准流程、异常场景和监管抽查场景下完成统一办理，并保证数据可追溯、结果可核验。</w:t>
      </w:r>
    </w:p>
    <w:p>
      <w:pPr>
        <w:spacing w:after="120"/>
      </w:pPr>
      <w:r>
        <w:t>业务分析 “阈值配置”不仅服务单点操作，还需要与上游主数据、审批规则、消息通知和统计分析形成联动，确保业务从发起、处理、反馈到归档全程留痕。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平台管理员、规则管理员、监管配置人员</w:t>
      </w:r>
    </w:p>
    <w:p>
      <w:pPr>
        <w:spacing w:after="120"/>
      </w:pPr>
      <w:r>
        <w:t>业务前置条件</w:t>
      </w:r>
    </w:p>
    <w:p>
      <w:pPr>
        <w:pStyle w:val="ListBullet"/>
        <w:spacing w:after="40"/>
      </w:pPr>
      <w:r>
        <w:t>已完成预警配置相关主数据建档并通过角色授权。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用户进入“阈值配置”功能页面，按角色权限选择查询范围或业务对象。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校验通过后，系统执行“阈值配置”对应的业务处理、状态流转或统计计算。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核心展示内容至少覆盖：支持场地预警、项目预警和车辆预警，人员预警的触发阈值配置。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“阈值配置”应以预警配置模块的业务对象为主，不替代其他模块的主数据维护职责。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预警围栏</w:t>
      </w:r>
    </w:p>
    <w:p>
      <w:pPr>
        <w:spacing w:after="120"/>
      </w:pPr>
      <w:r>
        <w:t>功能需求理解 1.增加电子围栏配置功能，支持在地图上进行电子围栏的创建、编辑、删除；2.支持电子围栏预警时间的配置，可以自动开启和关闭预警功能，开启后车辆进入就产生预警；该功能需支撑业务主体在标准流程、异常场景和监管抽查场景下完成统一办理，并保证数据可追溯、结果可核验。</w:t>
      </w:r>
    </w:p>
    <w:p>
      <w:pPr>
        <w:spacing w:after="120"/>
      </w:pPr>
      <w:r>
        <w:t>业务分析 “预警围栏”不仅服务单点操作，还需要与上游主数据、审批规则、消息通知和统计分析形成联动，确保业务从发起、处理、反馈到归档全程留痕。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平台管理员、规则管理员、监管配置人员</w:t>
      </w:r>
    </w:p>
    <w:p>
      <w:pPr>
        <w:spacing w:after="120"/>
      </w:pPr>
      <w:r>
        <w:t>业务前置条件</w:t>
      </w:r>
    </w:p>
    <w:p>
      <w:pPr>
        <w:pStyle w:val="ListBullet"/>
        <w:spacing w:after="40"/>
      </w:pPr>
      <w:r>
        <w:t>已完成预警配置相关主数据建档并通过角色授权。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用户进入“预警围栏”功能页面，按角色权限选择查询范围或业务对象。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校验通过后，系统执行“预警围栏”对应的业务处理、状态流转或统计计算。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核心展示内容至少覆盖：1.增加电子围栏配置功能，支持在地图上进行电子围栏的创建、编辑、删除；2.支持电子围栏预警时间的配置，可以自动开启和关闭预警功能，开启后车辆进入就产生预警。</w:t>
      </w:r>
    </w:p>
    <w:p>
      <w:pPr>
        <w:pStyle w:val="ListBullet"/>
        <w:spacing w:after="40"/>
      </w:pPr>
      <w:r>
        <w:t>涉及流程事项时，页面需展示当前状态、办理节点、经办人、更新时间和历史轨迹。</w:t>
      </w:r>
    </w:p>
    <w:p>
      <w:pPr>
        <w:pStyle w:val="ListBullet"/>
        <w:spacing w:after="40"/>
      </w:pPr>
      <w:r>
        <w:t>地图类页面需支持图层切换、点位定位、轨迹回放和围栏展示。</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地理坐标统一采用标准坐标系存储，范围类数据需校验闭合性和坐标有效性。</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“预警围栏”应以预警配置模块的业务对象为主，不替代其他模块的主数据维护职责。</w:t>
      </w:r>
    </w:p>
    <w:p>
      <w:pPr>
        <w:pStyle w:val="ListBullet"/>
        <w:spacing w:after="40"/>
      </w:pPr>
      <w:r>
        <w:t>系统需支持跨模块查询和联动，但跨模块数据修改应回到所属模块完成。</w:t>
      </w:r>
    </w:p>
    <w:p>
      <w:pPr>
        <w:pStyle w:val="ListBullet"/>
        <w:spacing w:after="40"/>
      </w:pPr>
      <w:r>
        <w:t>移动端仅承接现场采集、便捷查询和快速上报，不承接复杂后台配置能力。</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5.3 推送配置</w:t>
      </w:r>
    </w:p>
    <w:p>
      <w:pPr>
        <w:spacing w:after="120"/>
      </w:pPr>
      <w:r>
        <w:t>功能需求理解 支持场地预警、项目预警和车辆预警、合同预警的等级分级配置、推送时间以及推送对象的配置；该功能需支撑业务主体在标准流程、异常场景和监管抽查场景下完成统一办理，并保证数据可追溯、结果可核验。</w:t>
      </w:r>
    </w:p>
    <w:p>
      <w:pPr>
        <w:spacing w:after="120"/>
      </w:pPr>
      <w:r>
        <w:t>业务分析 “推送配置”不仅服务单点操作，还需要与上游主数据、审批规则、消息通知和统计分析形成联动，确保业务从发起、处理、反馈到归档全程留痕。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平台管理员、规则管理员、监管配置人员</w:t>
      </w:r>
    </w:p>
    <w:p>
      <w:pPr>
        <w:spacing w:after="120"/>
      </w:pPr>
      <w:r>
        <w:t>业务前置条件</w:t>
      </w:r>
    </w:p>
    <w:p>
      <w:pPr>
        <w:pStyle w:val="ListBullet"/>
        <w:spacing w:after="40"/>
      </w:pPr>
      <w:r>
        <w:t>已完成预警配置相关主数据建档并通过角色授权。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用户进入“推送配置”功能页面，按角色权限选择查询范围或业务对象。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校验通过后，系统执行“推送配置”对应的业务处理、状态流转或统计计算。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核心展示内容至少覆盖：支持场地预警、项目预警和车辆预警、合同预警的等级分级配置、推送时间以及推送对象的配置。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“推送配置”应以预警配置模块的业务对象为主，不替代其他模块的主数据维护职责。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本模块涉及移动端能力的功能点包括：预警围栏。</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预警配置模块建设完成后，可显著提升业务办理规范性、过程透明度、数据可追溯性和监管支撑能力，为平台整体经营管理和风险管控提供稳定基础。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违规车辆研判模型需求方案</w:t>
      </w:r>
    </w:p>
    <w:p>
      <w:pPr>
        <w:pStyle w:val="Heading2"/>
      </w:pPr>
      <w:r>
        <w:t>1. 模块建设目标</w:t>
      </w:r>
    </w:p>
    <w:p>
      <w:pPr>
        <w:spacing w:after="120"/>
      </w:pPr>
      <w:r>
        <w:t>建立基于风险因子的违规车辆研判模型与处置链路。</w:t>
      </w:r>
    </w:p>
    <w:p>
      <w:pPr>
        <w:pStyle w:val="Heading2"/>
      </w:pPr>
      <w:r>
        <w:t>2. 模块业务定位</w:t>
      </w:r>
    </w:p>
    <w:p>
      <w:pPr>
        <w:spacing w:after="120"/>
      </w:pPr>
      <w:r>
        <w:t>违规车辆研判模型模块面向高风险运输行为提供规则化和模型化识别能力，为执法、运营、风控提供统一的风险评分与处置支撑。</w:t>
      </w:r>
    </w:p>
    <w:p>
      <w:pPr>
        <w:pStyle w:val="Heading2"/>
      </w:pPr>
      <w:r>
        <w:t>3. 适用角色与使用场景</w:t>
      </w:r>
    </w:p>
    <w:p>
      <w:pPr>
        <w:spacing w:after="120"/>
      </w:pPr>
      <w:r>
        <w:t>适用角色：监管人员、研判规则管理员、处置人员。 典型场景：建立基于风险因子的违规车辆研判模型与处置链路。模块共包含 2 个核心功能点，覆盖模型配置、研判车辆处置等业务场景，面向监管人员、研判规则管理员、处置人员等角色提供业务支撑。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模型配置</w:t>
            </w:r>
          </w:p>
        </w:tc>
        <w:tc>
          <w:tcPr>
            <w:tcW w:type="dxa" w:w="3022"/>
          </w:tcPr>
          <w:p>
            <w:pPr>
              <w:spacing w:after="40"/>
            </w:pPr>
            <w:r/>
            <w:r>
              <w:rPr>
                <w:rFonts w:ascii="Microsoft YaHei" w:hAnsi="Microsoft YaHei" w:eastAsia="Microsoft YaHei"/>
                <w:sz w:val="21"/>
              </w:rPr>
              <w:t>建立违规消纳渣土判断模型，实现车辆违规消纳的风险值判断。</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研判车辆处置</w:t>
            </w:r>
          </w:p>
        </w:tc>
        <w:tc>
          <w:tcPr>
            <w:tcW w:type="dxa" w:w="3022"/>
          </w:tcPr>
          <w:p>
            <w:pPr>
              <w:spacing w:after="40"/>
            </w:pPr>
            <w:r/>
            <w:r>
              <w:rPr>
                <w:rFonts w:ascii="Microsoft YaHei" w:hAnsi="Microsoft YaHei" w:eastAsia="Microsoft YaHei"/>
                <w:sz w:val="21"/>
              </w:rPr>
              <w:t>支持研判数据的结果进行处理与关闭，支持处理结果与关闭原因的上报和填写；</w:t>
            </w:r>
          </w:p>
        </w:tc>
      </w:tr>
    </w:tbl>
    <w:p/>
    <w:p>
      <w:pPr>
        <w:pStyle w:val="Heading2"/>
      </w:pPr>
      <w:r>
        <w:t>5. 功能需求逐项说明</w:t>
      </w:r>
    </w:p>
    <w:p>
      <w:pPr>
        <w:pStyle w:val="Heading3"/>
      </w:pPr>
      <w:r>
        <w:t>5.1 模型配置</w:t>
      </w:r>
    </w:p>
    <w:p>
      <w:pPr>
        <w:spacing w:after="120"/>
      </w:pPr>
      <w:r>
        <w:t>功能需求理解 建立违规消纳渣土判断模型，实现车辆违规消纳的风险值判断。该功能需支撑业务主体在标准流程、异常场景和监管抽查场景下完成统一办理，并保证数据可追溯、结果可核验。</w:t>
      </w:r>
    </w:p>
    <w:p>
      <w:pPr>
        <w:spacing w:after="120"/>
      </w:pPr>
      <w:r>
        <w:t>业务分析 “模型配置”不仅服务单点操作，还需要与上游主数据、审批规则、消息通知和统计分析形成联动，确保业务从发起、处理、反馈到归档全程留痕。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监管人员、研判规则管理员、处置人员</w:t>
      </w:r>
    </w:p>
    <w:p>
      <w:pPr>
        <w:spacing w:after="120"/>
      </w:pPr>
      <w:r>
        <w:t>业务前置条件</w:t>
      </w:r>
    </w:p>
    <w:p>
      <w:pPr>
        <w:pStyle w:val="ListBullet"/>
        <w:spacing w:after="40"/>
      </w:pPr>
      <w:r>
        <w:t>已完成违规车辆研判模型相关主数据建档并通过角色授权。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用户进入“模型配置”功能页面，按角色权限选择查询范围或业务对象。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校验通过后，系统执行“模型配置”对应的业务处理、状态流转或统计计算。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核心展示内容至少覆盖：建立违规消纳渣土判断模型，实现车辆违规消纳的风险值判断。</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“模型配置”应以违规车辆研判模型模块的业务对象为主，不替代其他模块的主数据维护职责。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研判车辆处置</w:t>
      </w:r>
    </w:p>
    <w:p>
      <w:pPr>
        <w:spacing w:after="120"/>
      </w:pPr>
      <w:r>
        <w:t>功能需求理解 支持研判数据的结果进行处理与关闭，支持处理结果与关闭原因的上报和填写；该功能需支撑业务主体在标准流程、异常场景和监管抽查场景下完成统一办理，并保证数据可追溯、结果可核验。</w:t>
      </w:r>
    </w:p>
    <w:p>
      <w:pPr>
        <w:spacing w:after="120"/>
      </w:pPr>
      <w:r>
        <w:t>业务分析 “研判车辆处置”不仅服务单点操作，还需要与上游主数据、审批规则、消息通知和统计分析形成联动，确保业务从发起、处理、反馈到归档全程留痕。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监管人员、研判规则管理员、处置人员</w:t>
      </w:r>
    </w:p>
    <w:p>
      <w:pPr>
        <w:spacing w:after="120"/>
      </w:pPr>
      <w:r>
        <w:t>业务前置条件</w:t>
      </w:r>
    </w:p>
    <w:p>
      <w:pPr>
        <w:pStyle w:val="ListBullet"/>
        <w:spacing w:after="40"/>
      </w:pPr>
      <w:r>
        <w:t>已完成违规车辆研判模型相关主数据建档并通过角色授权。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用户进入“研判车辆处置”功能页面，按角色权限选择查询范围或业务对象。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校验通过后，系统执行“研判车辆处置”对应的业务处理、状态流转或统计计算。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核心展示内容至少覆盖：支持研判数据的结果进行处理与关闭，支持处理结果与关闭原因的上报和填写。</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“研判车辆处置”应以违规车辆研判模型模块的业务对象为主，不替代其他模块的主数据维护职责。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违规车辆研判模型模块建设完成后，可显著提升业务办理规范性、过程透明度、数据可追溯性和监管支撑能力，为平台整体经营管理和风险管控提供稳定基础。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信息查询需求方案</w:t>
      </w:r>
    </w:p>
    <w:p>
      <w:pPr>
        <w:pStyle w:val="Heading2"/>
      </w:pPr>
      <w:r>
        <w:t>1. 模块建设目标</w:t>
      </w:r>
    </w:p>
    <w:p>
      <w:pPr>
        <w:spacing w:after="120"/>
      </w:pPr>
      <w:r>
        <w:t>提供统一的打卡、车辆、地图、消纳数据查询服务。</w:t>
      </w:r>
    </w:p>
    <w:p>
      <w:pPr>
        <w:pStyle w:val="Heading2"/>
      </w:pPr>
      <w:r>
        <w:t>2. 模块业务定位</w:t>
      </w:r>
    </w:p>
    <w:p>
      <w:pPr>
        <w:spacing w:after="120"/>
      </w:pPr>
      <w:r>
        <w:t>信息查询模块承担业务查询门户职责，用于为不同角色提供跨模块的明细检索、地图定位、异常处理和数据追溯能力。</w:t>
      </w:r>
    </w:p>
    <w:p>
      <w:pPr>
        <w:pStyle w:val="Heading2"/>
      </w:pPr>
      <w:r>
        <w:t>3. 适用角色与使用场景</w:t>
      </w:r>
    </w:p>
    <w:p>
      <w:pPr>
        <w:spacing w:after="120"/>
      </w:pPr>
      <w:r>
        <w:t>适用角色：业务人员、监管人员、运营人员、客服人员。 典型场景：提供统一的打卡、车辆、地图、消纳数据查询服务。模块共包含 4 个核心功能点，覆盖打卡数据、车辆信息、车辆地图、消纳信息等业务场景，面向业务人员、监管人员、运营人员等角色提供业务支撑。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打卡数据</w:t>
            </w:r>
          </w:p>
        </w:tc>
        <w:tc>
          <w:tcPr>
            <w:tcW w:type="dxa" w:w="3022"/>
          </w:tcPr>
          <w:p>
            <w:pPr>
              <w:spacing w:after="40"/>
            </w:pPr>
            <w:r/>
            <w:r>
              <w:rPr>
                <w:rFonts w:ascii="Microsoft YaHei" w:hAnsi="Microsoft YaHei" w:eastAsia="Microsoft YaHei"/>
                <w:sz w:val="21"/>
              </w:rPr>
              <w:t>1.新增项目打卡列表数据展示，支持多条件组合查询；2.支持在线处理异常打卡数据，可以进行【作废】；</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车辆信息</w:t>
            </w:r>
          </w:p>
        </w:tc>
        <w:tc>
          <w:tcPr>
            <w:tcW w:type="dxa" w:w="3022"/>
          </w:tcPr>
          <w:p>
            <w:pPr>
              <w:spacing w:after="40"/>
            </w:pPr>
            <w:r/>
            <w:r>
              <w:rPr>
                <w:rFonts w:ascii="Microsoft YaHei" w:hAnsi="Microsoft YaHei" w:eastAsia="Microsoft YaHei"/>
                <w:sz w:val="21"/>
              </w:rPr>
              <w:t>1.支持车辆信息列表展示，条件组合查询；2.支持车辆的新增导入、以及数据的导出；</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车辆地图</w:t>
            </w:r>
          </w:p>
        </w:tc>
        <w:tc>
          <w:tcPr>
            <w:tcW w:type="dxa" w:w="3022"/>
          </w:tcPr>
          <w:p>
            <w:pPr>
              <w:spacing w:after="40"/>
            </w:pPr>
            <w:r/>
            <w:r>
              <w:rPr>
                <w:rFonts w:ascii="Microsoft YaHei" w:hAnsi="Microsoft YaHei" w:eastAsia="Microsoft YaHei"/>
                <w:sz w:val="21"/>
              </w:rPr>
              <w:t>支持车辆地图实时位置的展示，车辆历史轨迹查询；</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消纳信息</w:t>
            </w:r>
          </w:p>
        </w:tc>
        <w:tc>
          <w:tcPr>
            <w:tcW w:type="dxa" w:w="3022"/>
          </w:tcPr>
          <w:p>
            <w:pPr>
              <w:spacing w:after="40"/>
            </w:pPr>
            <w:r/>
            <w:r>
              <w:rPr>
                <w:rFonts w:ascii="Microsoft YaHei" w:hAnsi="Microsoft YaHei" w:eastAsia="Microsoft YaHei"/>
                <w:sz w:val="21"/>
              </w:rPr>
              <w:t>支持全平台消纳数据查询展示</w:t>
            </w:r>
          </w:p>
        </w:tc>
      </w:tr>
    </w:tbl>
    <w:p/>
    <w:p>
      <w:pPr>
        <w:pStyle w:val="Heading2"/>
      </w:pPr>
      <w:r>
        <w:t>5. 功能需求逐项说明</w:t>
      </w:r>
    </w:p>
    <w:p>
      <w:pPr>
        <w:pStyle w:val="Heading3"/>
      </w:pPr>
      <w:r>
        <w:t>5.1 打卡数据</w:t>
      </w:r>
    </w:p>
    <w:p>
      <w:pPr>
        <w:spacing w:after="120"/>
      </w:pPr>
      <w:r>
        <w:t>功能需求理解 1.新增项目打卡列表数据展示，支持多条件组合查询；2.支持在线处理异常打卡数据，可以进行【作废】；该功能需支撑业务主体在标准流程、异常场景和监管抽查场景下完成统一办理，并保证数据可追溯、结果可核验。</w:t>
      </w:r>
    </w:p>
    <w:p>
      <w:pPr>
        <w:spacing w:after="120"/>
      </w:pPr>
      <w:r>
        <w:t>业务分析 “打卡数据”不仅服务单点操作，还需要与上游主数据、审批规则、消息通知和统计分析形成联动，确保业务从发起、处理、反馈到归档全程留痕。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业务人员、监管人员、运营人员、客服人员</w:t>
      </w:r>
    </w:p>
    <w:p>
      <w:pPr>
        <w:spacing w:after="120"/>
      </w:pPr>
      <w:r>
        <w:t>业务前置条件</w:t>
      </w:r>
    </w:p>
    <w:p>
      <w:pPr>
        <w:pStyle w:val="ListBullet"/>
        <w:spacing w:after="40"/>
      </w:pPr>
      <w:r>
        <w:t>已完成信息查询相关主数据建档并通过角色授权。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用户进入“打卡数据”功能页面，按角色权限选择查询范围或业务对象。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校验通过后，系统执行“打卡数据”对应的业务处理、状态流转或统计计算。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核心展示内容至少覆盖：1.新增项目打卡列表数据展示，支持多条件组合查询；2.支持在线处理异常打卡数据，可以进行【作废】。</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“打卡数据”应以信息查询模块的业务对象为主，不替代其他模块的主数据维护职责。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车辆信息</w:t>
      </w:r>
    </w:p>
    <w:p>
      <w:pPr>
        <w:spacing w:after="120"/>
      </w:pPr>
      <w:r>
        <w:t>功能需求理解 1.支持车辆信息列表展示，条件组合查询；2.支持车辆的新增导入、以及数据的导出；该功能需支撑业务主体在标准流程、异常场景和监管抽查场景下完成统一办理，并保证数据可追溯、结果可核验。</w:t>
      </w:r>
    </w:p>
    <w:p>
      <w:pPr>
        <w:spacing w:after="120"/>
      </w:pPr>
      <w:r>
        <w:t>业务分析 “车辆信息”不仅服务单点操作，还需要与上游主数据、审批规则、消息通知和统计分析形成联动，确保业务从发起、处理、反馈到归档全程留痕。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业务人员、监管人员、运营人员、客服人员</w:t>
      </w:r>
    </w:p>
    <w:p>
      <w:pPr>
        <w:spacing w:after="120"/>
      </w:pPr>
      <w:r>
        <w:t>业务前置条件</w:t>
      </w:r>
    </w:p>
    <w:p>
      <w:pPr>
        <w:pStyle w:val="ListBullet"/>
        <w:spacing w:after="40"/>
      </w:pPr>
      <w:r>
        <w:t>已完成信息查询相关主数据建档并通过角色授权。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用户进入“车辆信息”功能页面，按角色权限选择查询范围或业务对象。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校验通过后，系统执行“车辆信息”对应的业务处理、状态流转或统计计算。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核心展示内容至少覆盖：1.支持车辆信息列表展示，条件组合查询；2.支持车辆的新增导入、以及数据的导出。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“车辆信息”应以信息查询模块的业务对象为主，不替代其他模块的主数据维护职责。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车辆地图</w:t>
      </w:r>
    </w:p>
    <w:p>
      <w:pPr>
        <w:spacing w:after="120"/>
      </w:pPr>
      <w:r>
        <w:t>功能需求理解 支持车辆地图实时位置的展示，车辆历史轨迹查询；该功能需支撑业务主体在标准流程、异常场景和监管抽查场景下完成统一办理，并保证数据可追溯、结果可核验。</w:t>
      </w:r>
    </w:p>
    <w:p>
      <w:pPr>
        <w:spacing w:after="120"/>
      </w:pPr>
      <w:r>
        <w:t>业务分析 “车辆地图”不仅服务单点操作，还需要与上游主数据、审批规则、消息通知和统计分析形成联动，确保业务从发起、处理、反馈到归档全程留痕。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业务人员、监管人员、运营人员、客服人员</w:t>
      </w:r>
    </w:p>
    <w:p>
      <w:pPr>
        <w:spacing w:after="120"/>
      </w:pPr>
      <w:r>
        <w:t>业务前置条件</w:t>
      </w:r>
    </w:p>
    <w:p>
      <w:pPr>
        <w:pStyle w:val="ListBullet"/>
        <w:spacing w:after="40"/>
      </w:pPr>
      <w:r>
        <w:t>已完成信息查询相关主数据建档并通过角色授权。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用户进入“车辆地图”功能页面，按角色权限选择查询范围或业务对象。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校验通过后，系统执行“车辆地图”对应的业务处理、状态流转或统计计算。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核心展示内容至少覆盖：支持车辆地图实时位置的展示，车辆历史轨迹查询。</w:t>
      </w:r>
    </w:p>
    <w:p>
      <w:pPr>
        <w:pStyle w:val="ListBullet"/>
        <w:spacing w:after="40"/>
      </w:pPr>
      <w:r>
        <w:t>涉及流程事项时，页面需展示当前状态、办理节点、经办人、更新时间和历史轨迹。</w:t>
      </w:r>
    </w:p>
    <w:p>
      <w:pPr>
        <w:pStyle w:val="ListBullet"/>
        <w:spacing w:after="40"/>
      </w:pPr>
      <w:r>
        <w:t>地图类页面需支持图层切换、点位定位、轨迹回放和围栏展示。</w:t>
      </w:r>
    </w:p>
    <w:p>
      <w:pPr>
        <w:spacing w:after="120"/>
      </w:pPr>
      <w:r>
        <w:t>按钮及操作说明</w:t>
      </w:r>
    </w:p>
    <w:p>
      <w:pPr>
        <w:pStyle w:val="ListBullet"/>
        <w:spacing w:after="40"/>
      </w:pPr>
      <w:r>
        <w:t>定位查询：在地图上定位目标对象并刷新当前位置和周边信息。</w:t>
      </w:r>
    </w:p>
    <w:p>
      <w:pPr>
        <w:pStyle w:val="ListBullet"/>
        <w:spacing w:after="40"/>
      </w:pPr>
      <w:r>
        <w:t>轨迹回放：按时间范围回放历史轨迹，支持播放速度和节点查看。</w:t>
      </w:r>
    </w:p>
    <w:p>
      <w:pPr>
        <w:pStyle w:val="ListBullet"/>
        <w:spacing w:after="40"/>
      </w:pPr>
      <w:r>
        <w:t>围栏设置：新增或调整电子围栏范围、方向、时段和触发策略。</w:t>
      </w:r>
    </w:p>
    <w:p>
      <w:pPr>
        <w:pStyle w:val="ListBullet"/>
        <w:spacing w:after="40"/>
      </w:pPr>
      <w:r>
        <w:t>导出轨迹：下载轨迹明细或轨迹回放结果文件。</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地理坐标统一采用标准坐标系存储，范围类数据需校验闭合性和坐标有效性。</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“车辆地图”应以信息查询模块的业务对象为主，不替代其他模块的主数据维护职责。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5.4 消纳信息</w:t>
      </w:r>
    </w:p>
    <w:p>
      <w:pPr>
        <w:spacing w:after="120"/>
      </w:pPr>
      <w:r>
        <w:t>功能需求理解 支持全平台消纳数据查询展示该功能需支撑业务主体在标准流程、异常场景和监管抽查场景下完成统一办理，并保证数据可追溯、结果可核验。</w:t>
      </w:r>
    </w:p>
    <w:p>
      <w:pPr>
        <w:spacing w:after="120"/>
      </w:pPr>
      <w:r>
        <w:t>业务分析 “消纳信息”不仅服务单点操作，还需要与上游主数据、审批规则、消息通知和统计分析形成联动，确保业务从发起、处理、反馈到归档全程留痕。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业务人员、监管人员、运营人员、客服人员</w:t>
      </w:r>
    </w:p>
    <w:p>
      <w:pPr>
        <w:spacing w:after="120"/>
      </w:pPr>
      <w:r>
        <w:t>业务前置条件</w:t>
      </w:r>
    </w:p>
    <w:p>
      <w:pPr>
        <w:pStyle w:val="ListBullet"/>
        <w:spacing w:after="40"/>
      </w:pPr>
      <w:r>
        <w:t>已完成信息查询相关主数据建档并通过角色授权。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用户进入“消纳信息”功能页面，按角色权限选择查询范围或业务对象。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校验通过后，系统执行“消纳信息”对应的业务处理、状态流转或统计计算。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核心展示内容至少覆盖：支持全平台消纳数据查询展示。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“消纳信息”应以信息查询模块的业务对象为主，不替代其他模块的主数据维护职责。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本模块涉及移动端能力的功能点包括：车辆地图。</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信息查询模块建设完成后，可显著提升业务办理规范性、过程透明度、数据可追溯性和监管支撑能力，为平台整体经营管理和风险管控提供稳定基础。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组织管理需求方案</w:t>
      </w:r>
    </w:p>
    <w:p>
      <w:pPr>
        <w:pStyle w:val="Heading2"/>
      </w:pPr>
      <w:r>
        <w:t>1. 模块建设目标</w:t>
      </w:r>
    </w:p>
    <w:p>
      <w:pPr>
        <w:spacing w:after="120"/>
      </w:pPr>
      <w:r>
        <w:t>建立组织架构和组织类型的统一管理能力。</w:t>
      </w:r>
    </w:p>
    <w:p>
      <w:pPr>
        <w:pStyle w:val="Heading2"/>
      </w:pPr>
      <w:r>
        <w:t>2. 模块业务定位</w:t>
      </w:r>
    </w:p>
    <w:p>
      <w:pPr>
        <w:spacing w:after="120"/>
      </w:pPr>
      <w:r>
        <w:t>组织管理模块提供用户体系的组织基础数据，是后续人员、角色、权限、数据范围控制的前置主数据模块。</w:t>
      </w:r>
    </w:p>
    <w:p>
      <w:pPr>
        <w:pStyle w:val="Heading2"/>
      </w:pPr>
      <w:r>
        <w:t>3. 适用角色与使用场景</w:t>
      </w:r>
    </w:p>
    <w:p>
      <w:pPr>
        <w:spacing w:after="120"/>
      </w:pPr>
      <w:r>
        <w:t>适用角色：系统管理员、租户管理员。 典型场景：建立组织架构和组织类型的统一管理能力。模块共包含 2 个核心功能点，覆盖组织列表、组织类型等业务场景，面向系统管理员、租户管理员等角色提供业务支撑。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组织列表</w:t>
            </w:r>
          </w:p>
        </w:tc>
        <w:tc>
          <w:tcPr>
            <w:tcW w:type="dxa" w:w="3022"/>
          </w:tcPr>
          <w:p>
            <w:pPr>
              <w:spacing w:after="40"/>
            </w:pPr>
            <w:r/>
            <w:r>
              <w:rPr>
                <w:rFonts w:ascii="Microsoft YaHei" w:hAnsi="Microsoft YaHei" w:eastAsia="Microsoft YaHei"/>
                <w:sz w:val="21"/>
              </w:rPr>
              <w:t>支持组织列表的展示、搜索查询、编辑更新、新增以及删除的功能；</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组织类型</w:t>
            </w:r>
          </w:p>
        </w:tc>
        <w:tc>
          <w:tcPr>
            <w:tcW w:type="dxa" w:w="3022"/>
          </w:tcPr>
          <w:p>
            <w:pPr>
              <w:spacing w:after="40"/>
            </w:pPr>
            <w:r/>
            <w:r>
              <w:rPr>
                <w:rFonts w:ascii="Microsoft YaHei" w:hAnsi="Microsoft YaHei" w:eastAsia="Microsoft YaHei"/>
                <w:sz w:val="21"/>
              </w:rPr>
              <w:t>支持执法组织、公司单位组织的和类型的独立管理；</w:t>
            </w:r>
          </w:p>
        </w:tc>
      </w:tr>
    </w:tbl>
    <w:p/>
    <w:p>
      <w:pPr>
        <w:pStyle w:val="Heading2"/>
      </w:pPr>
      <w:r>
        <w:t>5. 功能需求逐项说明</w:t>
      </w:r>
    </w:p>
    <w:p>
      <w:pPr>
        <w:pStyle w:val="Heading3"/>
      </w:pPr>
      <w:r>
        <w:t>5.1 组织列表</w:t>
      </w:r>
    </w:p>
    <w:p>
      <w:pPr>
        <w:spacing w:after="120"/>
      </w:pPr>
      <w:r>
        <w:t>功能需求理解 支持组织列表的展示、搜索查询、编辑更新、新增以及删除的功能；该功能需支撑业务主体在标准流程、异常场景和监管抽查场景下完成统一办理，并保证数据可追溯、结果可核验。</w:t>
      </w:r>
    </w:p>
    <w:p>
      <w:pPr>
        <w:spacing w:after="120"/>
      </w:pPr>
      <w:r>
        <w:t>业务分析 “组织列表”不仅服务单点操作，还需要与上游主数据、审批规则、消息通知和统计分析形成联动，确保业务从发起、处理、反馈到归档全程留痕。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系统管理员、租户管理员</w:t>
      </w:r>
    </w:p>
    <w:p>
      <w:pPr>
        <w:spacing w:after="120"/>
      </w:pPr>
      <w:r>
        <w:t>业务前置条件</w:t>
      </w:r>
    </w:p>
    <w:p>
      <w:pPr>
        <w:pStyle w:val="ListBullet"/>
        <w:spacing w:after="40"/>
      </w:pPr>
      <w:r>
        <w:t>已完成组织管理相关主数据建档并通过角色授权。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用户进入“组织列表”功能页面，按角色权限选择查询范围或业务对象。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校验通过后，系统执行“组织列表”对应的业务处理、状态流转或统计计算。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核心展示内容至少覆盖：支持组织列表的展示、搜索查询、编辑更新、新增以及删除的功能。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“组织列表”应以组织管理模块的业务对象为主，不替代其他模块的主数据维护职责。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组织类型</w:t>
      </w:r>
    </w:p>
    <w:p>
      <w:pPr>
        <w:spacing w:after="120"/>
      </w:pPr>
      <w:r>
        <w:t>功能需求理解 支持执法组织、公司单位组织的和类型的独立管理；该功能需支撑业务主体在标准流程、异常场景和监管抽查场景下完成统一办理，并保证数据可追溯、结果可核验。</w:t>
      </w:r>
    </w:p>
    <w:p>
      <w:pPr>
        <w:spacing w:after="120"/>
      </w:pPr>
      <w:r>
        <w:t>业务分析 “组织类型”不仅服务单点操作，还需要与上游主数据、审批规则、消息通知和统计分析形成联动，确保业务从发起、处理、反馈到归档全程留痕。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系统管理员、租户管理员</w:t>
      </w:r>
    </w:p>
    <w:p>
      <w:pPr>
        <w:spacing w:after="120"/>
      </w:pPr>
      <w:r>
        <w:t>业务前置条件</w:t>
      </w:r>
    </w:p>
    <w:p>
      <w:pPr>
        <w:pStyle w:val="ListBullet"/>
        <w:spacing w:after="40"/>
      </w:pPr>
      <w:r>
        <w:t>已完成组织管理相关主数据建档并通过角色授权。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用户进入“组织类型”功能页面，按角色权限选择查询范围或业务对象。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校验通过后，系统执行“组织类型”对应的业务处理、状态流转或统计计算。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核心展示内容至少覆盖：支持执法组织、公司单位组织的和类型的独立管理。</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“组织类型”应以组织管理模块的业务对象为主，不替代其他模块的主数据维护职责。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组织管理模块建设完成后，可显著提升业务办理规范性、过程透明度、数据可追溯性和监管支撑能力，为平台整体经营管理和风险管控提供稳定基础。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组织人员管理需求方案</w:t>
      </w:r>
    </w:p>
    <w:p>
      <w:pPr>
        <w:pStyle w:val="Heading2"/>
      </w:pPr>
      <w:r>
        <w:t>1. 模块建设目标</w:t>
      </w:r>
    </w:p>
    <w:p>
      <w:pPr>
        <w:spacing w:after="120"/>
      </w:pPr>
      <w:r>
        <w:t>建立人员档案、账号权限和组织归属的统一管理能力。</w:t>
      </w:r>
    </w:p>
    <w:p>
      <w:pPr>
        <w:pStyle w:val="Heading2"/>
      </w:pPr>
      <w:r>
        <w:t>2. 模块业务定位</w:t>
      </w:r>
    </w:p>
    <w:p>
      <w:pPr>
        <w:spacing w:after="120"/>
      </w:pPr>
      <w:r>
        <w:t>组织人员管理模块负责构建登录用户、业务人员与组织架构之间的可维护关系，同时控制人员身份、岗位和基础权限。</w:t>
      </w:r>
    </w:p>
    <w:p>
      <w:pPr>
        <w:pStyle w:val="Heading2"/>
      </w:pPr>
      <w:r>
        <w:t>3. 适用角色与使用场景</w:t>
      </w:r>
    </w:p>
    <w:p>
      <w:pPr>
        <w:spacing w:after="120"/>
      </w:pPr>
      <w:r>
        <w:t>适用角色：系统管理员、人事管理员、租户管理员。 典型场景：建立人员档案、账号权限和组织归属的统一管理能力。模块共包含 3 个核心功能点，覆盖人员列表、人员新增、人员详情等业务场景，面向系统管理员、人事管理员、租户管理员等角色提供业务支撑。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人员列表</w:t>
            </w:r>
          </w:p>
        </w:tc>
        <w:tc>
          <w:tcPr>
            <w:tcW w:type="dxa" w:w="3022"/>
          </w:tcPr>
          <w:p>
            <w:pPr>
              <w:spacing w:after="40"/>
            </w:pPr>
            <w:r/>
            <w:r>
              <w:rPr>
                <w:rFonts w:ascii="Microsoft YaHei" w:hAnsi="Microsoft YaHei" w:eastAsia="Microsoft YaHei"/>
                <w:sz w:val="21"/>
              </w:rPr>
              <w:t>支持对应组织架构下人员的展示、搜索查询，实现人员登录权限的控制；</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人员新增</w:t>
            </w:r>
          </w:p>
        </w:tc>
        <w:tc>
          <w:tcPr>
            <w:tcW w:type="dxa" w:w="3022"/>
          </w:tcPr>
          <w:p>
            <w:pPr>
              <w:spacing w:after="40"/>
            </w:pPr>
            <w:r/>
            <w:r>
              <w:rPr>
                <w:rFonts w:ascii="Microsoft YaHei" w:hAnsi="Microsoft YaHei" w:eastAsia="Microsoft YaHei"/>
                <w:sz w:val="21"/>
              </w:rPr>
              <w:t>支持组织人员信息的添加，包含人员基础信息的录入、角色权限的配置；</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人员详情</w:t>
            </w:r>
          </w:p>
        </w:tc>
        <w:tc>
          <w:tcPr>
            <w:tcW w:type="dxa" w:w="3022"/>
          </w:tcPr>
          <w:p>
            <w:pPr>
              <w:spacing w:after="40"/>
            </w:pPr>
            <w:r/>
            <w:r>
              <w:rPr>
                <w:rFonts w:ascii="Microsoft YaHei" w:hAnsi="Microsoft YaHei" w:eastAsia="Microsoft YaHei"/>
                <w:sz w:val="21"/>
              </w:rPr>
              <w:t>支持人员信息详情的查看、以及人员信息的编辑和删除等功能；</w:t>
            </w:r>
          </w:p>
        </w:tc>
      </w:tr>
    </w:tbl>
    <w:p/>
    <w:p>
      <w:pPr>
        <w:pStyle w:val="Heading2"/>
      </w:pPr>
      <w:r>
        <w:t>5. 功能需求逐项说明</w:t>
      </w:r>
    </w:p>
    <w:p>
      <w:pPr>
        <w:pStyle w:val="Heading3"/>
      </w:pPr>
      <w:r>
        <w:t>5.1 人员列表</w:t>
      </w:r>
    </w:p>
    <w:p>
      <w:pPr>
        <w:spacing w:after="120"/>
      </w:pPr>
      <w:r>
        <w:t>功能需求理解 支持对应组织架构下人员的展示、搜索查询，实现人员登录权限的控制；该功能需支撑业务主体在标准流程、异常场景和监管抽查场景下完成统一办理，并保证数据可追溯、结果可核验。</w:t>
      </w:r>
    </w:p>
    <w:p>
      <w:pPr>
        <w:spacing w:after="120"/>
      </w:pPr>
      <w:r>
        <w:t>业务分析 “人员列表”不仅服务单点操作，还需要与上游主数据、审批规则、消息通知和统计分析形成联动，确保业务从发起、处理、反馈到归档全程留痕。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系统管理员、人事管理员、租户管理员</w:t>
      </w:r>
    </w:p>
    <w:p>
      <w:pPr>
        <w:spacing w:after="120"/>
      </w:pPr>
      <w:r>
        <w:t>业务前置条件</w:t>
      </w:r>
    </w:p>
    <w:p>
      <w:pPr>
        <w:pStyle w:val="ListBullet"/>
        <w:spacing w:after="40"/>
      </w:pPr>
      <w:r>
        <w:t>已完成组织人员管理相关主数据建档并通过角色授权。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核心展示内容至少覆盖：支持对应组织架构下人员的展示、搜索查询，实现人员登录权限的控制。</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“人员列表”应以组织人员管理模块的业务对象为主，不替代其他模块的主数据维护职责。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5.2 人员新增</w:t>
      </w:r>
    </w:p>
    <w:p>
      <w:pPr>
        <w:spacing w:after="120"/>
      </w:pPr>
      <w:r>
        <w:t>功能需求理解 支持组织人员信息的添加，包含人员基础信息的录入、角色权限的配置；该功能需支撑业务主体在标准流程、异常场景和监管抽查场景下完成统一办理，并保证数据可追溯、结果可核验。</w:t>
      </w:r>
    </w:p>
    <w:p>
      <w:pPr>
        <w:spacing w:after="120"/>
      </w:pPr>
      <w:r>
        <w:t>业务分析 “人员新增”不仅服务单点操作，还需要与上游主数据、审批规则、消息通知和统计分析形成联动，确保业务从发起、处理、反馈到归档全程留痕。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系统管理员、人事管理员、租户管理员</w:t>
      </w:r>
    </w:p>
    <w:p>
      <w:pPr>
        <w:spacing w:after="120"/>
      </w:pPr>
      <w:r>
        <w:t>业务前置条件</w:t>
      </w:r>
    </w:p>
    <w:p>
      <w:pPr>
        <w:pStyle w:val="ListBullet"/>
        <w:spacing w:after="40"/>
      </w:pPr>
      <w:r>
        <w:t>已完成组织人员管理相关主数据建档并通过角色授权。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用户进入“人员新增”功能页面，按角色权限选择查询范围或业务对象。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校验通过后，系统执行“人员新增”对应的业务处理、状态流转或统计计算。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核心展示内容至少覆盖：支持组织人员信息的添加，包含人员基础信息的录入、角色权限的配置。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“人员新增”应以组织人员管理模块的业务对象为主，不替代其他模块的主数据维护职责。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人员详情</w:t>
      </w:r>
    </w:p>
    <w:p>
      <w:pPr>
        <w:spacing w:after="120"/>
      </w:pPr>
      <w:r>
        <w:t>功能需求理解 支持人员信息详情的查看、以及人员信息的编辑和删除等功能；该功能需支撑业务主体在标准流程、异常场景和监管抽查场景下完成统一办理，并保证数据可追溯、结果可核验。</w:t>
      </w:r>
    </w:p>
    <w:p>
      <w:pPr>
        <w:spacing w:after="120"/>
      </w:pPr>
      <w:r>
        <w:t>业务分析 “人员详情”不仅服务单点操作，还需要与上游主数据、审批规则、消息通知和统计分析形成联动，确保业务从发起、处理、反馈到归档全程留痕。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系统管理员、人事管理员、租户管理员</w:t>
      </w:r>
    </w:p>
    <w:p>
      <w:pPr>
        <w:spacing w:after="120"/>
      </w:pPr>
      <w:r>
        <w:t>业务前置条件</w:t>
      </w:r>
    </w:p>
    <w:p>
      <w:pPr>
        <w:pStyle w:val="ListBullet"/>
        <w:spacing w:after="40"/>
      </w:pPr>
      <w:r>
        <w:t>已完成组织人员管理相关主数据建档并通过角色授权。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用户进入“人员详情”功能页面，按角色权限选择查询范围或业务对象。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校验通过后，系统执行“人员详情”对应的业务处理、状态流转或统计计算。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核心展示内容至少覆盖：支持人员信息详情的查看、以及人员信息的编辑和删除等功能。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查看详情：打开详情页或详情抽屉，展示全量业务信息、流程轨迹、附件和历史记录。</w:t>
      </w:r>
    </w:p>
    <w:p>
      <w:pPr>
        <w:pStyle w:val="ListBullet"/>
        <w:spacing w:after="40"/>
      </w:pPr>
      <w:r>
        <w:t>下载附件：触发对应业务动作，并根据当前状态返回处理结果或失败提示。</w:t>
      </w:r>
    </w:p>
    <w:p>
      <w:pPr>
        <w:pStyle w:val="ListBullet"/>
        <w:spacing w:after="40"/>
      </w:pPr>
      <w:r>
        <w:t>打印：触发对应业务动作，并根据当前状态返回处理结果或失败提示。</w:t>
      </w:r>
    </w:p>
    <w:p>
      <w:pPr>
        <w:pStyle w:val="ListBullet"/>
        <w:spacing w:after="40"/>
      </w:pPr>
      <w:r>
        <w:t>关闭：触发对应业务动作，并根据当前状态返回处理结果或失败提示。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“人员详情”应以组织人员管理模块的业务对象为主，不替代其他模块的主数据维护职责。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本模块涉及移动端能力的功能点包括：人员列表。</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组织人员管理模块建设完成后，可显著提升业务办理规范性、过程透明度、数据可追溯性和监管支撑能力，为平台整体经营管理和风险管控提供稳定基础。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角色管理需求方案</w:t>
      </w:r>
    </w:p>
    <w:p>
      <w:pPr>
        <w:pStyle w:val="Heading2"/>
      </w:pPr>
      <w:r>
        <w:t>1. 模块建设目标</w:t>
      </w:r>
    </w:p>
    <w:p>
      <w:pPr>
        <w:spacing w:after="120"/>
      </w:pPr>
      <w:r>
        <w:t>建立角色、权限、数据范围模板的统一配置能力。</w:t>
      </w:r>
    </w:p>
    <w:p>
      <w:pPr>
        <w:pStyle w:val="Heading2"/>
      </w:pPr>
      <w:r>
        <w:t>2. 模块业务定位</w:t>
      </w:r>
    </w:p>
    <w:p>
      <w:pPr>
        <w:spacing w:after="120"/>
      </w:pPr>
      <w:r>
        <w:t>角色管理模块负责把菜单、按钮、接口、数据范围等权限模型固化为角色模板，为不同业务角色快速赋权提供基础。</w:t>
      </w:r>
    </w:p>
    <w:p>
      <w:pPr>
        <w:pStyle w:val="Heading2"/>
      </w:pPr>
      <w:r>
        <w:t>3. 适用角色与使用场景</w:t>
      </w:r>
    </w:p>
    <w:p>
      <w:pPr>
        <w:spacing w:after="120"/>
      </w:pPr>
      <w:r>
        <w:t>适用角色：系统管理员、安全管理员。 典型场景：建立角色、权限、数据范围模板的统一配置能力。模块共包含 3 个核心功能点，覆盖角色列表、角色详情、角色新增等业务场景，面向系统管理员、安全管理员等角色提供业务支撑。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角色列表</w:t>
            </w:r>
          </w:p>
        </w:tc>
        <w:tc>
          <w:tcPr>
            <w:tcW w:type="dxa" w:w="3022"/>
          </w:tcPr>
          <w:p>
            <w:pPr>
              <w:spacing w:after="40"/>
            </w:pPr>
            <w:r/>
            <w:r>
              <w:rPr>
                <w:rFonts w:ascii="Microsoft YaHei" w:hAnsi="Microsoft YaHei" w:eastAsia="Microsoft YaHei"/>
                <w:sz w:val="21"/>
              </w:rPr>
              <w:t>支持角色列表的查看，展示角色的种类；</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角色详情</w:t>
            </w:r>
          </w:p>
        </w:tc>
        <w:tc>
          <w:tcPr>
            <w:tcW w:type="dxa" w:w="3022"/>
          </w:tcPr>
          <w:p>
            <w:pPr>
              <w:spacing w:after="40"/>
            </w:pPr>
            <w:r/>
            <w:r>
              <w:rPr>
                <w:rFonts w:ascii="Microsoft YaHei" w:hAnsi="Microsoft YaHei" w:eastAsia="Microsoft YaHei"/>
                <w:sz w:val="21"/>
              </w:rPr>
              <w:t>支持角色列表详情配置的查看、编辑和删除；</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角色新增</w:t>
            </w:r>
          </w:p>
        </w:tc>
        <w:tc>
          <w:tcPr>
            <w:tcW w:type="dxa" w:w="3022"/>
          </w:tcPr>
          <w:p>
            <w:pPr>
              <w:spacing w:after="40"/>
            </w:pPr>
            <w:r/>
            <w:r>
              <w:rPr>
                <w:rFonts w:ascii="Microsoft YaHei" w:hAnsi="Microsoft YaHei" w:eastAsia="Microsoft YaHei"/>
                <w:sz w:val="21"/>
              </w:rPr>
              <w:t>支持角色的自定义配置添加；</w:t>
            </w:r>
          </w:p>
        </w:tc>
      </w:tr>
    </w:tbl>
    <w:p/>
    <w:p>
      <w:pPr>
        <w:pStyle w:val="Heading2"/>
      </w:pPr>
      <w:r>
        <w:t>5. 功能需求逐项说明</w:t>
      </w:r>
    </w:p>
    <w:p>
      <w:pPr>
        <w:pStyle w:val="Heading3"/>
      </w:pPr>
      <w:r>
        <w:t>5.1 角色列表</w:t>
      </w:r>
    </w:p>
    <w:p>
      <w:pPr>
        <w:spacing w:after="120"/>
      </w:pPr>
      <w:r>
        <w:t>功能需求理解 支持角色列表的查看，展示角色的种类；该功能需支撑业务主体在标准流程、异常场景和监管抽查场景下完成统一办理，并保证数据可追溯、结果可核验。</w:t>
      </w:r>
    </w:p>
    <w:p>
      <w:pPr>
        <w:spacing w:after="120"/>
      </w:pPr>
      <w:r>
        <w:t>业务分析 “角色列表”不仅服务单点操作，还需要与上游主数据、审批规则、消息通知和统计分析形成联动，确保业务从发起、处理、反馈到归档全程留痕。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系统管理员、安全管理员</w:t>
      </w:r>
    </w:p>
    <w:p>
      <w:pPr>
        <w:spacing w:after="120"/>
      </w:pPr>
      <w:r>
        <w:t>业务前置条件</w:t>
      </w:r>
    </w:p>
    <w:p>
      <w:pPr>
        <w:pStyle w:val="ListBullet"/>
        <w:spacing w:after="40"/>
      </w:pPr>
      <w:r>
        <w:t>已完成角色管理相关主数据建档并通过角色授权。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用户进入“角色列表”功能页面，按角色权限选择查询范围或业务对象。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校验通过后，系统执行“角色列表”对应的业务处理、状态流转或统计计算。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核心展示内容至少覆盖：支持角色列表的查看，展示角色的种类。</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“角色列表”应以角色管理模块的业务对象为主，不替代其他模块的主数据维护职责。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角色详情</w:t>
      </w:r>
    </w:p>
    <w:p>
      <w:pPr>
        <w:spacing w:after="120"/>
      </w:pPr>
      <w:r>
        <w:t>功能需求理解 支持角色列表详情配置的查看、编辑和删除；该功能需支撑业务主体在标准流程、异常场景和监管抽查场景下完成统一办理，并保证数据可追溯、结果可核验。</w:t>
      </w:r>
    </w:p>
    <w:p>
      <w:pPr>
        <w:spacing w:after="120"/>
      </w:pPr>
      <w:r>
        <w:t>业务分析 “角色详情”不仅服务单点操作，还需要与上游主数据、审批规则、消息通知和统计分析形成联动，确保业务从发起、处理、反馈到归档全程留痕。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系统管理员、安全管理员</w:t>
      </w:r>
    </w:p>
    <w:p>
      <w:pPr>
        <w:spacing w:after="120"/>
      </w:pPr>
      <w:r>
        <w:t>业务前置条件</w:t>
      </w:r>
    </w:p>
    <w:p>
      <w:pPr>
        <w:pStyle w:val="ListBullet"/>
        <w:spacing w:after="40"/>
      </w:pPr>
      <w:r>
        <w:t>已完成角色管理相关主数据建档并通过角色授权。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用户进入“角色详情”功能页面，按角色权限选择查询范围或业务对象。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校验通过后，系统执行“角色详情”对应的业务处理、状态流转或统计计算。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核心展示内容至少覆盖：支持角色列表详情配置的查看、编辑和删除。</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查看详情：打开详情页或详情抽屉，展示全量业务信息、流程轨迹、附件和历史记录。</w:t>
      </w:r>
    </w:p>
    <w:p>
      <w:pPr>
        <w:pStyle w:val="ListBullet"/>
        <w:spacing w:after="40"/>
      </w:pPr>
      <w:r>
        <w:t>下载附件：触发对应业务动作，并根据当前状态返回处理结果或失败提示。</w:t>
      </w:r>
    </w:p>
    <w:p>
      <w:pPr>
        <w:pStyle w:val="ListBullet"/>
        <w:spacing w:after="40"/>
      </w:pPr>
      <w:r>
        <w:t>打印：触发对应业务动作，并根据当前状态返回处理结果或失败提示。</w:t>
      </w:r>
    </w:p>
    <w:p>
      <w:pPr>
        <w:pStyle w:val="ListBullet"/>
        <w:spacing w:after="40"/>
      </w:pPr>
      <w:r>
        <w:t>关闭：触发对应业务动作，并根据当前状态返回处理结果或失败提示。</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“角色详情”应以角色管理模块的业务对象为主，不替代其他模块的主数据维护职责。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角色新增</w:t>
      </w:r>
    </w:p>
    <w:p>
      <w:pPr>
        <w:spacing w:after="120"/>
      </w:pPr>
      <w:r>
        <w:t>功能需求理解 支持角色的自定义配置添加；该功能需支撑业务主体在标准流程、异常场景和监管抽查场景下完成统一办理，并保证数据可追溯、结果可核验。</w:t>
      </w:r>
    </w:p>
    <w:p>
      <w:pPr>
        <w:spacing w:after="120"/>
      </w:pPr>
      <w:r>
        <w:t>业务分析 “角色新增”不仅服务单点操作，还需要与上游主数据、审批规则、消息通知和统计分析形成联动，确保业务从发起、处理、反馈到归档全程留痕。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系统管理员、安全管理员</w:t>
      </w:r>
    </w:p>
    <w:p>
      <w:pPr>
        <w:spacing w:after="120"/>
      </w:pPr>
      <w:r>
        <w:t>业务前置条件</w:t>
      </w:r>
    </w:p>
    <w:p>
      <w:pPr>
        <w:pStyle w:val="ListBullet"/>
        <w:spacing w:after="40"/>
      </w:pPr>
      <w:r>
        <w:t>已完成角色管理相关主数据建档并通过角色授权。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用户进入“角色新增”功能页面，按角色权限选择查询范围或业务对象。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校验通过后，系统执行“角色新增”对应的业务处理、状态流转或统计计算。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核心展示内容至少覆盖：支持角色的自定义配置添加。</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“角色新增”应以角色管理模块的业务对象为主，不替代其他模块的主数据维护职责。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角色管理模块建设完成后，可显著提升业务办理规范性、过程透明度、数据可追溯性和监管支撑能力，为平台整体经营管理和风险管控提供稳定基础。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系统日志需求方案</w:t>
      </w:r>
    </w:p>
    <w:p>
      <w:pPr>
        <w:pStyle w:val="Heading2"/>
      </w:pPr>
      <w:r>
        <w:t>1. 模块建设目标</w:t>
      </w:r>
    </w:p>
    <w:p>
      <w:pPr>
        <w:spacing w:after="120"/>
      </w:pPr>
      <w:r>
        <w:t>建立登录、操作、错误日志的可审计体系。</w:t>
      </w:r>
    </w:p>
    <w:p>
      <w:pPr>
        <w:pStyle w:val="Heading2"/>
      </w:pPr>
      <w:r>
        <w:t>2. 模块业务定位</w:t>
      </w:r>
    </w:p>
    <w:p>
      <w:pPr>
        <w:spacing w:after="120"/>
      </w:pPr>
      <w:r>
        <w:t>系统日志模块为平台运维、安全审计和问题排查提供证据链，是安全合规和故障响应的重要底座。</w:t>
      </w:r>
    </w:p>
    <w:p>
      <w:pPr>
        <w:pStyle w:val="Heading2"/>
      </w:pPr>
      <w:r>
        <w:t>3. 适用角色与使用场景</w:t>
      </w:r>
    </w:p>
    <w:p>
      <w:pPr>
        <w:spacing w:after="120"/>
      </w:pPr>
      <w:r>
        <w:t>适用角色：安全审计员、运维管理员、系统管理员。 典型场景：建立登录、操作、错误日志的可审计体系。模块共包含 3 个核心功能点，覆盖登录日志、操作日志、错误日志等业务场景，面向安全审计员、运维管理员、系统管理员等角色提供业务支撑。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登录日志</w:t>
            </w:r>
          </w:p>
        </w:tc>
        <w:tc>
          <w:tcPr>
            <w:tcW w:type="dxa" w:w="3022"/>
          </w:tcPr>
          <w:p>
            <w:pPr>
              <w:spacing w:after="40"/>
            </w:pPr>
            <w:r/>
            <w:r>
              <w:rPr>
                <w:rFonts w:ascii="Microsoft YaHei" w:hAnsi="Microsoft YaHei" w:eastAsia="Microsoft YaHei"/>
                <w:sz w:val="21"/>
              </w:rPr>
              <w:t>实现对系统用户登录日志的记录，并支持多条件的组合筛选查询功能。</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操作日志</w:t>
            </w:r>
          </w:p>
        </w:tc>
        <w:tc>
          <w:tcPr>
            <w:tcW w:type="dxa" w:w="3022"/>
          </w:tcPr>
          <w:p>
            <w:pPr>
              <w:spacing w:after="40"/>
            </w:pPr>
            <w:r/>
            <w:r>
              <w:rPr>
                <w:rFonts w:ascii="Microsoft YaHei" w:hAnsi="Microsoft YaHei" w:eastAsia="Microsoft YaHei"/>
                <w:sz w:val="21"/>
              </w:rPr>
              <w:t>实现对系统操作日志的记录，并支持多条件的组合筛选查询功能。</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错误日志</w:t>
            </w:r>
          </w:p>
        </w:tc>
        <w:tc>
          <w:tcPr>
            <w:tcW w:type="dxa" w:w="3022"/>
          </w:tcPr>
          <w:p>
            <w:pPr>
              <w:spacing w:after="40"/>
            </w:pPr>
            <w:r/>
            <w:r>
              <w:rPr>
                <w:rFonts w:ascii="Microsoft YaHei" w:hAnsi="Microsoft YaHei" w:eastAsia="Microsoft YaHei"/>
                <w:sz w:val="21"/>
              </w:rPr>
              <w:t>记录系统运行过程中产生的所有异常错误日志，为bug修复提供帮助。</w:t>
            </w:r>
          </w:p>
        </w:tc>
      </w:tr>
    </w:tbl>
    <w:p/>
    <w:p>
      <w:pPr>
        <w:pStyle w:val="Heading2"/>
      </w:pPr>
      <w:r>
        <w:t>5. 功能需求逐项说明</w:t>
      </w:r>
    </w:p>
    <w:p>
      <w:pPr>
        <w:pStyle w:val="Heading3"/>
      </w:pPr>
      <w:r>
        <w:t>5.1 登录日志</w:t>
      </w:r>
    </w:p>
    <w:p>
      <w:pPr>
        <w:spacing w:after="120"/>
      </w:pPr>
      <w:r>
        <w:t>功能需求理解 实现对系统用户登录日志的记录，并支持多条件的组合筛选查询功能。该功能需支撑业务主体在标准流程、异常场景和监管抽查场景下完成统一办理，并保证数据可追溯、结果可核验。</w:t>
      </w:r>
    </w:p>
    <w:p>
      <w:pPr>
        <w:spacing w:after="120"/>
      </w:pPr>
      <w:r>
        <w:t>业务分析 “登录日志”不仅服务单点操作，还需要与上游主数据、审批规则、消息通知和统计分析形成联动，确保业务从发起、处理、反馈到归档全程留痕。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安全审计员、运维管理员、系统管理员</w:t>
      </w:r>
    </w:p>
    <w:p>
      <w:pPr>
        <w:spacing w:after="120"/>
      </w:pPr>
      <w:r>
        <w:t>业务前置条件</w:t>
      </w:r>
    </w:p>
    <w:p>
      <w:pPr>
        <w:pStyle w:val="ListBullet"/>
        <w:spacing w:after="40"/>
      </w:pPr>
      <w:r>
        <w:t>已完成系统日志相关主数据建档并通过角色授权。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用户进入“登录日志”功能页面，按角色权限选择查询范围或业务对象。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校验通过后，系统执行“登录日志”对应的业务处理、状态流转或统计计算。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核心展示内容至少覆盖：实现对系统用户登录日志的记录，并支持多条件的组合筛选查询功能。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“登录日志”应以系统日志模块的业务对象为主，不替代其他模块的主数据维护职责。</w:t>
      </w:r>
    </w:p>
    <w:p>
      <w:pPr>
        <w:pStyle w:val="ListBullet"/>
        <w:spacing w:after="40"/>
      </w:pPr>
      <w:r>
        <w:t>系统需支持跨模块查询和联动，但跨模块数据修改应回到所属模块完成。</w:t>
      </w:r>
    </w:p>
    <w:p>
      <w:pPr>
        <w:pStyle w:val="ListBullet"/>
        <w:spacing w:after="40"/>
      </w:pPr>
      <w:r>
        <w:t>移动端仅承接现场采集、便捷查询和快速上报，不承接复杂后台配置能力。</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5.2 操作日志</w:t>
      </w:r>
    </w:p>
    <w:p>
      <w:pPr>
        <w:spacing w:after="120"/>
      </w:pPr>
      <w:r>
        <w:t>功能需求理解 实现对系统操作日志的记录，并支持多条件的组合筛选查询功能。该功能需支撑业务主体在标准流程、异常场景和监管抽查场景下完成统一办理，并保证数据可追溯、结果可核验。</w:t>
      </w:r>
    </w:p>
    <w:p>
      <w:pPr>
        <w:spacing w:after="120"/>
      </w:pPr>
      <w:r>
        <w:t>业务分析 “操作日志”不仅服务单点操作，还需要与上游主数据、审批规则、消息通知和统计分析形成联动，确保业务从发起、处理、反馈到归档全程留痕。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安全审计员、运维管理员、系统管理员</w:t>
      </w:r>
    </w:p>
    <w:p>
      <w:pPr>
        <w:spacing w:after="120"/>
      </w:pPr>
      <w:r>
        <w:t>业务前置条件</w:t>
      </w:r>
    </w:p>
    <w:p>
      <w:pPr>
        <w:pStyle w:val="ListBullet"/>
        <w:spacing w:after="40"/>
      </w:pPr>
      <w:r>
        <w:t>已完成系统日志相关主数据建档并通过角色授权。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用户进入“操作日志”功能页面，按角色权限选择查询范围或业务对象。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校验通过后，系统执行“操作日志”对应的业务处理、状态流转或统计计算。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核心展示内容至少覆盖：实现对系统操作日志的记录，并支持多条件的组合筛选查询功能。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“操作日志”应以系统日志模块的业务对象为主，不替代其他模块的主数据维护职责。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错误日志</w:t>
      </w:r>
    </w:p>
    <w:p>
      <w:pPr>
        <w:spacing w:after="120"/>
      </w:pPr>
      <w:r>
        <w:t>功能需求理解 记录系统运行过程中产生的所有异常错误日志，为bug修复提供帮助。该功能需支撑业务主体在标准流程、异常场景和监管抽查场景下完成统一办理，并保证数据可追溯、结果可核验。</w:t>
      </w:r>
    </w:p>
    <w:p>
      <w:pPr>
        <w:spacing w:after="120"/>
      </w:pPr>
      <w:r>
        <w:t>业务分析 “错误日志”不仅服务单点操作，还需要与上游主数据、审批规则、消息通知和统计分析形成联动，确保业务从发起、处理、反馈到归档全程留痕。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安全审计员、运维管理员、系统管理员</w:t>
      </w:r>
    </w:p>
    <w:p>
      <w:pPr>
        <w:spacing w:after="120"/>
      </w:pPr>
      <w:r>
        <w:t>业务前置条件</w:t>
      </w:r>
    </w:p>
    <w:p>
      <w:pPr>
        <w:pStyle w:val="ListBullet"/>
        <w:spacing w:after="40"/>
      </w:pPr>
      <w:r>
        <w:t>已完成系统日志相关主数据建档并通过角色授权。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用户进入“错误日志”功能页面，按角色权限选择查询范围或业务对象。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校验通过后，系统执行“错误日志”对应的业务处理、状态流转或统计计算。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核心展示内容至少覆盖：记录系统运行过程中产生的所有异常错误日志，为bug修复提供帮助。</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“错误日志”应以系统日志模块的业务对象为主，不替代其他模块的主数据维护职责。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本模块涉及移动端能力的功能点包括：登录日志。</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系统日志模块建设完成后，可显著提升业务办理规范性、过程透明度、数据可追溯性和监管支撑能力，为平台整体经营管理和风险管控提供稳定基础。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审核审批配置需求方案</w:t>
      </w:r>
    </w:p>
    <w:p>
      <w:pPr>
        <w:pStyle w:val="Heading2"/>
      </w:pPr>
      <w:r>
        <w:t>1. 模块建设目标</w:t>
      </w:r>
    </w:p>
    <w:p>
      <w:pPr>
        <w:spacing w:after="120"/>
      </w:pPr>
      <w:r>
        <w:t>建立事项、流程、材料配置的审批中台。</w:t>
      </w:r>
    </w:p>
    <w:p>
      <w:pPr>
        <w:pStyle w:val="Heading2"/>
      </w:pPr>
      <w:r>
        <w:t>2. 模块业务定位</w:t>
      </w:r>
    </w:p>
    <w:p>
      <w:pPr>
        <w:spacing w:after="120"/>
      </w:pPr>
      <w:r>
        <w:t>审核审批配置模块为合同、事件、延期、调拨、维修等各类事项提供统一审批规则、节点编排和办事材料配置能力。</w:t>
      </w:r>
    </w:p>
    <w:p>
      <w:pPr>
        <w:pStyle w:val="Heading2"/>
      </w:pPr>
      <w:r>
        <w:t>3. 适用角色与使用场景</w:t>
      </w:r>
    </w:p>
    <w:p>
      <w:pPr>
        <w:spacing w:after="120"/>
      </w:pPr>
      <w:r>
        <w:t>适用角色：平台管理员、流程管理员、制度管理员。 典型场景：建立事项、流程、材料配置的审批中台。模块共包含 3 个核心功能点，覆盖列表、流程配置、办事材料配置等业务场景，面向平台管理员、流程管理员、制度管理员等角色提供业务支撑。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列表</w:t>
            </w:r>
          </w:p>
        </w:tc>
        <w:tc>
          <w:tcPr>
            <w:tcW w:type="dxa" w:w="3022"/>
          </w:tcPr>
          <w:p>
            <w:pPr>
              <w:spacing w:after="40"/>
            </w:pPr>
            <w:r/>
            <w:r>
              <w:rPr>
                <w:rFonts w:ascii="Microsoft YaHei" w:hAnsi="Microsoft YaHei" w:eastAsia="Microsoft YaHei"/>
                <w:sz w:val="21"/>
              </w:rPr>
              <w:t>支持审核审批事项的配置以及审核文书的配置信息的展示；</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流程配置</w:t>
            </w:r>
          </w:p>
        </w:tc>
        <w:tc>
          <w:tcPr>
            <w:tcW w:type="dxa" w:w="3022"/>
          </w:tcPr>
          <w:p>
            <w:pPr>
              <w:spacing w:after="40"/>
            </w:pPr>
            <w:r/>
            <w:r>
              <w:rPr>
                <w:rFonts w:ascii="Microsoft YaHei" w:hAnsi="Microsoft YaHei" w:eastAsia="Microsoft YaHei"/>
                <w:sz w:val="21"/>
              </w:rPr>
              <w:t>审核审批流程自定义配置，自定义审批人员；</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办事材料配置</w:t>
            </w:r>
          </w:p>
        </w:tc>
        <w:tc>
          <w:tcPr>
            <w:tcW w:type="dxa" w:w="3022"/>
          </w:tcPr>
          <w:p>
            <w:pPr>
              <w:spacing w:after="40"/>
            </w:pPr>
            <w:r/>
            <w:r>
              <w:rPr>
                <w:rFonts w:ascii="Microsoft YaHei" w:hAnsi="Microsoft YaHei" w:eastAsia="Microsoft YaHei"/>
                <w:sz w:val="21"/>
              </w:rPr>
              <w:t>支持办事材料的自定义配置，材料是否必填，是否启用/禁用的属性配置；</w:t>
            </w:r>
          </w:p>
        </w:tc>
      </w:tr>
    </w:tbl>
    <w:p/>
    <w:p>
      <w:pPr>
        <w:pStyle w:val="Heading2"/>
      </w:pPr>
      <w:r>
        <w:t>5. 功能需求逐项说明</w:t>
      </w:r>
    </w:p>
    <w:p>
      <w:pPr>
        <w:pStyle w:val="Heading3"/>
      </w:pPr>
      <w:r>
        <w:t>5.1 列表</w:t>
      </w:r>
    </w:p>
    <w:p>
      <w:pPr>
        <w:spacing w:after="120"/>
      </w:pPr>
      <w:r>
        <w:t>功能需求理解 支持审核审批事项的配置以及审核文书的配置信息的展示；该功能需支撑业务主体在标准流程、异常场景和监管抽查场景下完成统一办理，并保证数据可追溯、结果可核验。</w:t>
      </w:r>
    </w:p>
    <w:p>
      <w:pPr>
        <w:spacing w:after="120"/>
      </w:pPr>
      <w:r>
        <w:t>业务分析 “列表”不仅服务单点操作，还需要与上游主数据、审批规则、消息通知和统计分析形成联动，确保业务从发起、处理、反馈到归档全程留痕。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平台管理员、流程管理员、制度管理员</w:t>
      </w:r>
    </w:p>
    <w:p>
      <w:pPr>
        <w:spacing w:after="120"/>
      </w:pPr>
      <w:r>
        <w:t>业务前置条件</w:t>
      </w:r>
    </w:p>
    <w:p>
      <w:pPr>
        <w:pStyle w:val="ListBullet"/>
        <w:spacing w:after="40"/>
      </w:pPr>
      <w:r>
        <w:t>已完成审核审批配置相关主数据建档并通过角色授权。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核心展示内容至少覆盖：支持审核审批事项的配置以及审核文书的配置信息的展示。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“列表”应以审核审批配置模块的业务对象为主，不替代其他模块的主数据维护职责。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流程配置</w:t>
      </w:r>
    </w:p>
    <w:p>
      <w:pPr>
        <w:spacing w:after="120"/>
      </w:pPr>
      <w:r>
        <w:t>功能需求理解 审核审批流程自定义配置，自定义审批人员；该功能需支撑业务主体在标准流程、异常场景和监管抽查场景下完成统一办理，并保证数据可追溯、结果可核验。</w:t>
      </w:r>
    </w:p>
    <w:p>
      <w:pPr>
        <w:spacing w:after="120"/>
      </w:pPr>
      <w:r>
        <w:t>业务分析 “流程配置”不仅服务单点操作，还需要与上游主数据、审批规则、消息通知和统计分析形成联动，确保业务从发起、处理、反馈到归档全程留痕。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平台管理员、流程管理员、制度管理员</w:t>
      </w:r>
    </w:p>
    <w:p>
      <w:pPr>
        <w:spacing w:after="120"/>
      </w:pPr>
      <w:r>
        <w:t>业务前置条件</w:t>
      </w:r>
    </w:p>
    <w:p>
      <w:pPr>
        <w:pStyle w:val="ListBullet"/>
        <w:spacing w:after="40"/>
      </w:pPr>
      <w:r>
        <w:t>已完成审核审批配置相关主数据建档并通过角色授权。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用户进入“流程配置”功能页面，按角色权限选择查询范围或业务对象。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校验通过后，系统执行“流程配置”对应的业务处理、状态流转或统计计算。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核心展示内容至少覆盖：审核审批流程自定义配置，自定义审批人员。</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“流程配置”应以审核审批配置模块的业务对象为主，不替代其他模块的主数据维护职责。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办事材料配置</w:t>
      </w:r>
    </w:p>
    <w:p>
      <w:pPr>
        <w:spacing w:after="120"/>
      </w:pPr>
      <w:r>
        <w:t>功能需求理解 支持办事材料的自定义配置，材料是否必填，是否启用/禁用的属性配置；该功能需支撑业务主体在标准流程、异常场景和监管抽查场景下完成统一办理，并保证数据可追溯、结果可核验。</w:t>
      </w:r>
    </w:p>
    <w:p>
      <w:pPr>
        <w:spacing w:after="120"/>
      </w:pPr>
      <w:r>
        <w:t>业务分析 “办事材料配置”不仅服务单点操作，还需要与上游主数据、审批规则、消息通知和统计分析形成联动，确保业务从发起、处理、反馈到归档全程留痕。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平台管理员、流程管理员、制度管理员</w:t>
      </w:r>
    </w:p>
    <w:p>
      <w:pPr>
        <w:spacing w:after="120"/>
      </w:pPr>
      <w:r>
        <w:t>业务前置条件</w:t>
      </w:r>
    </w:p>
    <w:p>
      <w:pPr>
        <w:pStyle w:val="ListBullet"/>
        <w:spacing w:after="40"/>
      </w:pPr>
      <w:r>
        <w:t>已完成审核审批配置相关主数据建档并通过角色授权。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用户进入“办事材料配置”功能页面，按角色权限选择查询范围或业务对象。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校验通过后，系统执行“办事材料配置”对应的业务处理、状态流转或统计计算。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核心展示内容至少覆盖：支持办事材料的自定义配置，材料是否必填，是否启用/禁用的属性配置。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启用：启用当前配置、规则或对象，启用后立即参与业务判定或展示。</w:t>
      </w:r>
    </w:p>
    <w:p>
      <w:pPr>
        <w:pStyle w:val="ListBullet"/>
        <w:spacing w:after="40"/>
      </w:pPr>
      <w:r>
        <w:t>停用：停用当前配置、规则或对象，停用后不再参与后续业务判定但保留历史数据。</w:t>
      </w:r>
    </w:p>
    <w:p>
      <w:pPr>
        <w:pStyle w:val="ListBullet"/>
        <w:spacing w:after="40"/>
      </w:pPr>
      <w:r>
        <w:t>保存：保存当前录入或配置内容，保存失败时需定位具体失败字段。</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“办事材料配置”应以审核审批配置模块的业务对象为主，不替代其他模块的主数据维护职责。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审核审批配置模块建设完成后，可显著提升业务办理规范性、过程透明度、数据可追溯性和监管支撑能力，为平台整体经营管理和风险管控提供稳定基础。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数据字典需求方案</w:t>
      </w:r>
    </w:p>
    <w:p>
      <w:pPr>
        <w:pStyle w:val="Heading2"/>
      </w:pPr>
      <w:r>
        <w:t>1. 模块建设目标</w:t>
      </w:r>
    </w:p>
    <w:p>
      <w:pPr>
        <w:spacing w:after="120"/>
      </w:pPr>
      <w:r>
        <w:t>建立平台通用字典的统一配置与治理能力。</w:t>
      </w:r>
    </w:p>
    <w:p>
      <w:pPr>
        <w:pStyle w:val="Heading2"/>
      </w:pPr>
      <w:r>
        <w:t>2. 模块业务定位</w:t>
      </w:r>
    </w:p>
    <w:p>
      <w:pPr>
        <w:spacing w:after="120"/>
      </w:pPr>
      <w:r>
        <w:t>数据字典模块为平台各业务模块提供基础枚举、状态、类型、分类等主数据支持，保障跨模块编码一致。</w:t>
      </w:r>
    </w:p>
    <w:p>
      <w:pPr>
        <w:pStyle w:val="Heading2"/>
      </w:pPr>
      <w:r>
        <w:t>3. 适用角色与使用场景</w:t>
      </w:r>
    </w:p>
    <w:p>
      <w:pPr>
        <w:spacing w:after="120"/>
      </w:pPr>
      <w:r>
        <w:t>适用角色：系统管理员、实施顾问。 典型场景：建立平台通用字典的统一配置与治理能力。模块共包含 2 个核心功能点，覆盖列表、新增和编辑等业务场景，面向系统管理员、实施顾问等角色提供业务支撑。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列表</w:t>
            </w:r>
          </w:p>
        </w:tc>
        <w:tc>
          <w:tcPr>
            <w:tcW w:type="dxa" w:w="3022"/>
          </w:tcPr>
          <w:p>
            <w:pPr>
              <w:spacing w:after="40"/>
            </w:pPr>
            <w:r/>
            <w:r>
              <w:rPr>
                <w:rFonts w:ascii="Microsoft YaHei" w:hAnsi="Microsoft YaHei" w:eastAsia="Microsoft YaHei"/>
                <w:sz w:val="21"/>
              </w:rPr>
              <w:t>支持系统通用类型的数据字典的自定义配置；</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新增和编辑</w:t>
            </w:r>
          </w:p>
        </w:tc>
        <w:tc>
          <w:tcPr>
            <w:tcW w:type="dxa" w:w="3022"/>
          </w:tcPr>
          <w:p>
            <w:pPr>
              <w:spacing w:after="40"/>
            </w:pPr>
            <w:r/>
            <w:r>
              <w:rPr>
                <w:rFonts w:ascii="Microsoft YaHei" w:hAnsi="Microsoft YaHei" w:eastAsia="Microsoft YaHei"/>
                <w:sz w:val="21"/>
              </w:rPr>
              <w:t>实现数据字典的自定义编辑和新增；</w:t>
            </w:r>
          </w:p>
        </w:tc>
      </w:tr>
    </w:tbl>
    <w:p/>
    <w:p>
      <w:pPr>
        <w:pStyle w:val="Heading2"/>
      </w:pPr>
      <w:r>
        <w:t>5. 功能需求逐项说明</w:t>
      </w:r>
    </w:p>
    <w:p>
      <w:pPr>
        <w:pStyle w:val="Heading3"/>
      </w:pPr>
      <w:r>
        <w:t>5.1 列表</w:t>
      </w:r>
    </w:p>
    <w:p>
      <w:pPr>
        <w:spacing w:after="120"/>
      </w:pPr>
      <w:r>
        <w:t>功能需求理解 支持系统通用类型的数据字典的自定义配置；该功能需支撑业务主体在标准流程、异常场景和监管抽查场景下完成统一办理，并保证数据可追溯、结果可核验。</w:t>
      </w:r>
    </w:p>
    <w:p>
      <w:pPr>
        <w:spacing w:after="120"/>
      </w:pPr>
      <w:r>
        <w:t>业务分析 “列表”不仅服务单点操作，还需要与上游主数据、审批规则、消息通知和统计分析形成联动，确保业务从发起、处理、反馈到归档全程留痕。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系统管理员、实施顾问</w:t>
      </w:r>
    </w:p>
    <w:p>
      <w:pPr>
        <w:spacing w:after="120"/>
      </w:pPr>
      <w:r>
        <w:t>业务前置条件</w:t>
      </w:r>
    </w:p>
    <w:p>
      <w:pPr>
        <w:pStyle w:val="ListBullet"/>
        <w:spacing w:after="40"/>
      </w:pPr>
      <w:r>
        <w:t>已完成数据字典相关主数据建档并通过角色授权。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用户进入“列表”功能页面，按角色权限选择查询范围或业务对象。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校验通过后，系统执行“列表”对应的业务处理、状态流转或统计计算。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核心展示内容至少覆盖：支持系统通用类型的数据字典的自定义配置。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“列表”应以数据字典模块的业务对象为主，不替代其他模块的主数据维护职责。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新增和编辑</w:t>
      </w:r>
    </w:p>
    <w:p>
      <w:pPr>
        <w:spacing w:after="120"/>
      </w:pPr>
      <w:r>
        <w:t>功能需求理解 实现数据字典的自定义编辑和新增；该功能需支撑业务主体在标准流程、异常场景和监管抽查场景下完成统一办理，并保证数据可追溯、结果可核验。</w:t>
      </w:r>
    </w:p>
    <w:p>
      <w:pPr>
        <w:spacing w:after="120"/>
      </w:pPr>
      <w:r>
        <w:t>业务分析 “新增和编辑”不仅服务单点操作，还需要与上游主数据、审批规则、消息通知和统计分析形成联动，确保业务从发起、处理、反馈到归档全程留痕。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系统管理员、实施顾问</w:t>
      </w:r>
    </w:p>
    <w:p>
      <w:pPr>
        <w:spacing w:after="120"/>
      </w:pPr>
      <w:r>
        <w:t>业务前置条件</w:t>
      </w:r>
    </w:p>
    <w:p>
      <w:pPr>
        <w:pStyle w:val="ListBullet"/>
        <w:spacing w:after="40"/>
      </w:pPr>
      <w:r>
        <w:t>已完成数据字典相关主数据建档并通过角色授权。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用户进入“新增和编辑”功能页面，按角色权限选择查询范围或业务对象。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校验通过后，系统执行“新增和编辑”对应的业务处理、状态流转或统计计算。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核心展示内容至少覆盖：实现数据字典的自定义编辑和新增。</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“新增和编辑”应以数据字典模块的业务对象为主，不替代其他模块的主数据维护职责。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数据字典模块建设完成后，可显著提升业务办理规范性、过程透明度、数据可追溯性和监管支撑能力，为平台整体经营管理和风险管控提供稳定基础。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系统参数配置需求方案</w:t>
      </w:r>
    </w:p>
    <w:p>
      <w:pPr>
        <w:pStyle w:val="Heading2"/>
      </w:pPr>
      <w:r>
        <w:t>1. 模块建设目标</w:t>
      </w:r>
    </w:p>
    <w:p>
      <w:pPr>
        <w:spacing w:after="120"/>
      </w:pPr>
      <w:r>
        <w:t>建立系统级业务参数和运行参数的集中管理能力。</w:t>
      </w:r>
    </w:p>
    <w:p>
      <w:pPr>
        <w:pStyle w:val="Heading2"/>
      </w:pPr>
      <w:r>
        <w:t>2. 模块业务定位</w:t>
      </w:r>
    </w:p>
    <w:p>
      <w:pPr>
        <w:spacing w:after="120"/>
      </w:pPr>
      <w:r>
        <w:t>系统参数配置模块用于统一承载阈值、开关、默认值、集成地址、业务期限等平台参数，满足可配置与可审计要求。</w:t>
      </w:r>
    </w:p>
    <w:p>
      <w:pPr>
        <w:pStyle w:val="Heading2"/>
      </w:pPr>
      <w:r>
        <w:t>3. 适用角色与使用场景</w:t>
      </w:r>
    </w:p>
    <w:p>
      <w:pPr>
        <w:spacing w:after="120"/>
      </w:pPr>
      <w:r>
        <w:t>适用角色：系统管理员、运维管理员。 典型场景：建立系统级业务参数和运行参数的集中管理能力。模块共包含 1 个核心功能点，覆盖列表和编辑等业务场景，面向系统管理员、运维管理员等角色提供业务支撑。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列表和编辑</w:t>
            </w:r>
          </w:p>
        </w:tc>
        <w:tc>
          <w:tcPr>
            <w:tcW w:type="dxa" w:w="3022"/>
          </w:tcPr>
          <w:p>
            <w:pPr>
              <w:spacing w:after="40"/>
            </w:pPr>
            <w:r/>
            <w:r>
              <w:rPr>
                <w:rFonts w:ascii="Microsoft YaHei" w:hAnsi="Microsoft YaHei" w:eastAsia="Microsoft YaHei"/>
                <w:sz w:val="21"/>
              </w:rPr>
              <w:t>支持系统参数的展示以及具体参数值的配置编辑；</w:t>
            </w:r>
          </w:p>
        </w:tc>
      </w:tr>
    </w:tbl>
    <w:p/>
    <w:p>
      <w:pPr>
        <w:pStyle w:val="Heading2"/>
      </w:pPr>
      <w:r>
        <w:t>5. 功能需求逐项说明</w:t>
      </w:r>
    </w:p>
    <w:p>
      <w:pPr>
        <w:pStyle w:val="Heading3"/>
      </w:pPr>
      <w:r>
        <w:t>5.1 列表和编辑</w:t>
      </w:r>
    </w:p>
    <w:p>
      <w:pPr>
        <w:spacing w:after="120"/>
      </w:pPr>
      <w:r>
        <w:t>功能需求理解 支持系统参数的展示以及具体参数值的配置编辑；该功能需支撑业务主体在标准流程、异常场景和监管抽查场景下完成统一办理，并保证数据可追溯、结果可核验。</w:t>
      </w:r>
    </w:p>
    <w:p>
      <w:pPr>
        <w:spacing w:after="120"/>
      </w:pPr>
      <w:r>
        <w:t>业务分析 “列表和编辑”不仅服务单点操作，还需要与上游主数据、审批规则、消息通知和统计分析形成联动，确保业务从发起、处理、反馈到归档全程留痕。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系统管理员、运维管理员</w:t>
      </w:r>
    </w:p>
    <w:p>
      <w:pPr>
        <w:spacing w:after="120"/>
      </w:pPr>
      <w:r>
        <w:t>业务前置条件</w:t>
      </w:r>
    </w:p>
    <w:p>
      <w:pPr>
        <w:pStyle w:val="ListBullet"/>
        <w:spacing w:after="40"/>
      </w:pPr>
      <w:r>
        <w:t>已完成系统参数配置相关主数据建档并通过角色授权。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用户进入“列表和编辑”功能页面，按角色权限选择查询范围或业务对象。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校验通过后，系统执行“列表和编辑”对应的业务处理、状态流转或统计计算。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核心展示内容至少覆盖：支持系统参数的展示以及具体参数值的配置编辑。</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新增：打开新增表单，录入业务对象基础信息并保存为草稿或正式记录。</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“列表和编辑”应以系统参数配置模块的业务对象为主，不替代其他模块的主数据维护职责。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系统参数配置模块建设完成后，可显著提升业务办理规范性、过程透明度、数据可追溯性和监管支撑能力，为平台整体经营管理和风险管控提供稳定基础。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统计分析需求方案</w:t>
      </w:r>
    </w:p>
    <w:p>
      <w:pPr>
        <w:pStyle w:val="Heading2"/>
      </w:pPr>
      <w:r>
        <w:t>1. 模块建设目标</w:t>
      </w:r>
    </w:p>
    <w:p>
      <w:pPr>
        <w:spacing w:after="120"/>
      </w:pPr>
      <w:r>
        <w:t>形成经营、运力、场地、项目等多维分析能力。</w:t>
      </w:r>
    </w:p>
    <w:p>
      <w:pPr>
        <w:pStyle w:val="Heading2"/>
      </w:pPr>
      <w:r>
        <w:t>2. 模块业务定位</w:t>
      </w:r>
    </w:p>
    <w:p>
      <w:pPr>
        <w:spacing w:after="120"/>
      </w:pPr>
      <w:r>
        <w:t>统计分析模块面向领导驾驶舱和运营分析场景，强调指标聚合、趋势分析、统计口径统一和导出共享能力。</w:t>
      </w:r>
    </w:p>
    <w:p>
      <w:pPr>
        <w:pStyle w:val="Heading2"/>
      </w:pPr>
      <w:r>
        <w:t>3. 适用角色与使用场景</w:t>
      </w:r>
    </w:p>
    <w:p>
      <w:pPr>
        <w:spacing w:after="120"/>
      </w:pPr>
      <w:r>
        <w:t>适用角色：领导层、运营管理人员、监管人员。 典型场景：形成经营、运力、场地、项目等多维分析能力。模块共包含 4 个核心功能点，覆盖总体分析、运力分析、消纳场地报表、项目报表等业务场景，面向领导层、运营管理人员、监管人员等角色提供业务支撑。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总体分析</w:t>
            </w:r>
          </w:p>
        </w:tc>
        <w:tc>
          <w:tcPr>
            <w:tcW w:type="dxa" w:w="3022"/>
          </w:tcPr>
          <w:p>
            <w:pPr>
              <w:spacing w:after="40"/>
            </w:pPr>
            <w:r/>
            <w:r>
              <w:rPr>
                <w:rFonts w:ascii="Microsoft YaHei" w:hAnsi="Microsoft YaHei" w:eastAsia="Microsoft YaHei"/>
                <w:sz w:val="21"/>
              </w:rPr>
              <w:t>总体分析消纳场地、消纳项目、实运单位数据的一张图统计展示；</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运力分析</w:t>
            </w:r>
          </w:p>
        </w:tc>
        <w:tc>
          <w:tcPr>
            <w:tcW w:type="dxa" w:w="3022"/>
          </w:tcPr>
          <w:p>
            <w:pPr>
              <w:spacing w:after="40"/>
            </w:pPr>
            <w:r/>
            <w:r>
              <w:rPr>
                <w:rFonts w:ascii="Microsoft YaHei" w:hAnsi="Microsoft YaHei" w:eastAsia="Microsoft YaHei"/>
                <w:sz w:val="21"/>
              </w:rPr>
              <w:t>各车辆支持自定义日月年均运载量；车辆运载里程(荷载)；车辆运载里程(空载)；车辆运营能耗；</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消纳场地报表</w:t>
            </w:r>
          </w:p>
        </w:tc>
        <w:tc>
          <w:tcPr>
            <w:tcW w:type="dxa" w:w="3022"/>
          </w:tcPr>
          <w:p>
            <w:pPr>
              <w:spacing w:after="40"/>
            </w:pPr>
            <w:r/>
            <w:r>
              <w:rPr>
                <w:rFonts w:ascii="Microsoft YaHei" w:hAnsi="Microsoft YaHei" w:eastAsia="Microsoft YaHei"/>
                <w:sz w:val="21"/>
              </w:rPr>
              <w:t>消纳场地数据的展示包含：场地名称、场地类型、当前状态、场地容量、已消纳量</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项目报表</w:t>
            </w:r>
          </w:p>
        </w:tc>
        <w:tc>
          <w:tcPr>
            <w:tcW w:type="dxa" w:w="3022"/>
          </w:tcPr>
          <w:p>
            <w:pPr>
              <w:spacing w:after="40"/>
            </w:pPr>
            <w:r/>
            <w:r>
              <w:rPr>
                <w:rFonts w:ascii="Microsoft YaHei" w:hAnsi="Microsoft YaHei" w:eastAsia="Microsoft YaHei"/>
                <w:sz w:val="21"/>
              </w:rPr>
              <w:t>项目报表的展示包含：项目名称、工程总量、已消纳量；支持自定义日月年数据统计及导出</w:t>
            </w:r>
          </w:p>
        </w:tc>
      </w:tr>
    </w:tbl>
    <w:p/>
    <w:p>
      <w:pPr>
        <w:pStyle w:val="Heading2"/>
      </w:pPr>
      <w:r>
        <w:t>5. 功能需求逐项说明</w:t>
      </w:r>
    </w:p>
    <w:p>
      <w:pPr>
        <w:pStyle w:val="Heading3"/>
      </w:pPr>
      <w:r>
        <w:t>5.1 总体分析</w:t>
      </w:r>
    </w:p>
    <w:p>
      <w:pPr>
        <w:spacing w:after="120"/>
      </w:pPr>
      <w:r>
        <w:t>功能需求理解 总体分析消纳场地、消纳项目、实运单位数据的一张图统计展示；该功能需支撑业务主体在标准流程、异常场景和监管抽查场景下完成统一办理，并保证数据可追溯、结果可核验。</w:t>
      </w:r>
    </w:p>
    <w:p>
      <w:pPr>
        <w:spacing w:after="120"/>
      </w:pPr>
      <w:r>
        <w:t>业务分析 “总体分析”不仅服务单点操作，还需要与上游主数据、审批规则、消息通知和统计分析形成联动，确保业务从发起、处理、反馈到归档全程留痕。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领导层、运营管理人员、监管人员</w:t>
      </w:r>
    </w:p>
    <w:p>
      <w:pPr>
        <w:spacing w:after="120"/>
      </w:pPr>
      <w:r>
        <w:t>业务前置条件</w:t>
      </w:r>
    </w:p>
    <w:p>
      <w:pPr>
        <w:pStyle w:val="ListBullet"/>
        <w:spacing w:after="40"/>
      </w:pPr>
      <w:r>
        <w:t>已完成统计分析相关主数据建档并通过角色授权。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用户进入“总体分析”功能页面，按角色权限选择查询范围或业务对象。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校验通过后，系统执行“总体分析”对应的业务处理、状态流转或统计计算。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核心展示内容至少覆盖：总体分析消纳场地、消纳项目、实运单位数据的一张图统计展示。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“总体分析”应以统计分析模块的业务对象为主，不替代其他模块的主数据维护职责。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运力分析</w:t>
      </w:r>
    </w:p>
    <w:p>
      <w:pPr>
        <w:spacing w:after="120"/>
      </w:pPr>
      <w:r>
        <w:t>功能需求理解 各车辆支持自定义日月年均运载量；车辆运载里程(荷载)；车辆运载里程(空载)；车辆运营能耗；该功能需支撑业务主体在标准流程、异常场景和监管抽查场景下完成统一办理，并保证数据可追溯、结果可核验。</w:t>
      </w:r>
    </w:p>
    <w:p>
      <w:pPr>
        <w:spacing w:after="120"/>
      </w:pPr>
      <w:r>
        <w:t>业务分析 “运力分析”不仅服务单点操作，还需要与上游主数据、审批规则、消息通知和统计分析形成联动，确保业务从发起、处理、反馈到归档全程留痕。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领导层、运营管理人员、监管人员</w:t>
      </w:r>
    </w:p>
    <w:p>
      <w:pPr>
        <w:spacing w:after="120"/>
      </w:pPr>
      <w:r>
        <w:t>业务前置条件</w:t>
      </w:r>
    </w:p>
    <w:p>
      <w:pPr>
        <w:pStyle w:val="ListBullet"/>
        <w:spacing w:after="40"/>
      </w:pPr>
      <w:r>
        <w:t>已完成统计分析相关主数据建档并通过角色授权。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用户进入“运力分析”功能页面，按角色权限选择查询范围或业务对象。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校验通过后，系统执行“运力分析”对应的业务处理、状态流转或统计计算。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核心展示内容至少覆盖：各车辆支持自定义日月年均运载量；车辆运载里程(荷载)；车辆运载里程(空载)；车辆运营能耗。</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“运力分析”应以统计分析模块的业务对象为主，不替代其他模块的主数据维护职责。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消纳场地报表</w:t>
      </w:r>
    </w:p>
    <w:p>
      <w:pPr>
        <w:spacing w:after="120"/>
      </w:pPr>
      <w:r>
        <w:t>功能需求理解 消纳场地数据的展示包含：场地名称、场地类型、当前状态、场地容量、已消纳量该功能需支撑业务主体在标准流程、异常场景和监管抽查场景下完成统一办理，并保证数据可追溯、结果可核验。</w:t>
      </w:r>
    </w:p>
    <w:p>
      <w:pPr>
        <w:spacing w:after="120"/>
      </w:pPr>
      <w:r>
        <w:t>业务分析 “消纳场地报表”不仅服务单点操作，还需要与上游主数据、审批规则、消息通知和统计分析形成联动，确保业务从发起、处理、反馈到归档全程留痕。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领导层、运营管理人员、监管人员</w:t>
      </w:r>
    </w:p>
    <w:p>
      <w:pPr>
        <w:spacing w:after="120"/>
      </w:pPr>
      <w:r>
        <w:t>业务前置条件</w:t>
      </w:r>
    </w:p>
    <w:p>
      <w:pPr>
        <w:pStyle w:val="ListBullet"/>
        <w:spacing w:after="40"/>
      </w:pPr>
      <w:r>
        <w:t>已完成统计分析相关主数据建档并通过角色授权。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用户进入“消纳场地报表”功能页面，按角色权限选择查询范围或业务对象。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校验通过后，系统执行“消纳场地报表”对应的业务处理、状态流转或统计计算。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核心展示内容至少覆盖：消纳场地数据的展示包含：场地名称、场地类型、当前状态、场地容量、已消纳量。</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“消纳场地报表”应以统计分析模块的业务对象为主，不替代其他模块的主数据维护职责。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项目报表</w:t>
      </w:r>
    </w:p>
    <w:p>
      <w:pPr>
        <w:spacing w:after="120"/>
      </w:pPr>
      <w:r>
        <w:t>功能需求理解 项目报表的展示包含：项目名称、工程总量、已消纳量；支持自定义日月年数据统计及导出该功能需支撑业务主体在标准流程、异常场景和监管抽查场景下完成统一办理，并保证数据可追溯、结果可核验。</w:t>
      </w:r>
    </w:p>
    <w:p>
      <w:pPr>
        <w:spacing w:after="120"/>
      </w:pPr>
      <w:r>
        <w:t>业务分析 “项目报表”不仅服务单点操作，还需要与上游主数据、审批规则、消息通知和统计分析形成联动，确保业务从发起、处理、反馈到归档全程留痕。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领导层、运营管理人员、监管人员</w:t>
      </w:r>
    </w:p>
    <w:p>
      <w:pPr>
        <w:spacing w:after="120"/>
      </w:pPr>
      <w:r>
        <w:t>业务前置条件</w:t>
      </w:r>
    </w:p>
    <w:p>
      <w:pPr>
        <w:pStyle w:val="ListBullet"/>
        <w:spacing w:after="40"/>
      </w:pPr>
      <w:r>
        <w:t>已完成统计分析相关主数据建档并通过角色授权。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用户进入“项目报表”功能页面，按角色权限选择查询范围或业务对象。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校验通过后，系统执行“项目报表”对应的业务处理、状态流转或统计计算。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核心展示内容至少覆盖：项目报表的展示包含：项目名称、工程总量、已消纳量；支持自定义日月年数据统计及导出。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“项目报表”应以统计分析模块的业务对象为主，不替代其他模块的主数据维护职责。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统计分析模块建设完成后，可显著提升业务办理规范性、过程透明度、数据可追溯性和监管支撑能力，为平台整体经营管理和风险管控提供稳定基础。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数据看板需求方案</w:t>
      </w:r>
    </w:p>
    <w:p>
      <w:pPr>
        <w:pStyle w:val="Heading2"/>
      </w:pPr>
      <w:r>
        <w:t>1. 模块建设目标</w:t>
      </w:r>
    </w:p>
    <w:p>
      <w:pPr>
        <w:spacing w:after="120"/>
      </w:pPr>
      <w:r>
        <w:t>构建面向指挥调度和态势感知的可视化看板体系。</w:t>
      </w:r>
    </w:p>
    <w:p>
      <w:pPr>
        <w:pStyle w:val="Heading2"/>
      </w:pPr>
      <w:r>
        <w:t>2. 模块业务定位</w:t>
      </w:r>
    </w:p>
    <w:p>
      <w:pPr>
        <w:spacing w:after="120"/>
      </w:pPr>
      <w:r>
        <w:t>数据看板模块聚焦全局可视化展示，突出场地、项目、车辆、地图和排行分析的实时呈现能力。</w:t>
      </w:r>
    </w:p>
    <w:p>
      <w:pPr>
        <w:pStyle w:val="Heading2"/>
      </w:pPr>
      <w:r>
        <w:t>3. 适用角色与使用场景</w:t>
      </w:r>
    </w:p>
    <w:p>
      <w:pPr>
        <w:spacing w:after="120"/>
      </w:pPr>
      <w:r>
        <w:t>适用角色：领导层、监管人员、运营人员。 典型场景：构建面向指挥调度和态势感知的可视化看板体系。模块共包含 4 个核心功能点，覆盖消纳场数据、项目数据、地图展示、消纳场地等业务场景，面向领导层、监管人员、运营人员等角色提供业务支撑。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消纳场数据</w:t>
            </w:r>
          </w:p>
        </w:tc>
        <w:tc>
          <w:tcPr>
            <w:tcW w:type="dxa" w:w="3022"/>
          </w:tcPr>
          <w:p>
            <w:pPr>
              <w:spacing w:after="40"/>
            </w:pPr>
            <w:r/>
            <w:r>
              <w:rPr>
                <w:rFonts w:ascii="Microsoft YaHei" w:hAnsi="Microsoft YaHei" w:eastAsia="Microsoft YaHei"/>
                <w:sz w:val="21"/>
              </w:rPr>
              <w:t>支持消纳场地容量和已消纳量的展示，以及自定义日月年消纳数据的展示，可以根据自定义日月年消纳数据进行排名展示；</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项目数据</w:t>
            </w:r>
          </w:p>
        </w:tc>
        <w:tc>
          <w:tcPr>
            <w:tcW w:type="dxa" w:w="3022"/>
          </w:tcPr>
          <w:p>
            <w:pPr>
              <w:spacing w:after="40"/>
            </w:pPr>
            <w:r/>
            <w:r>
              <w:rPr>
                <w:rFonts w:ascii="Microsoft YaHei" w:hAnsi="Microsoft YaHei" w:eastAsia="Microsoft YaHei"/>
                <w:sz w:val="21"/>
              </w:rPr>
              <w:t>支持项目工程量和进度展示，以及自定义日月年消纳数据展示，并根据自定义日月年消纳数据进行排名展示；</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地图展示</w:t>
            </w:r>
          </w:p>
        </w:tc>
        <w:tc>
          <w:tcPr>
            <w:tcW w:type="dxa" w:w="3022"/>
          </w:tcPr>
          <w:p>
            <w:pPr>
              <w:spacing w:after="40"/>
            </w:pPr>
            <w:r/>
            <w:r>
              <w:rPr>
                <w:rFonts w:ascii="Microsoft YaHei" w:hAnsi="Microsoft YaHei" w:eastAsia="Microsoft YaHei"/>
                <w:sz w:val="21"/>
              </w:rPr>
              <w:t>支持消纳场地、项目、车辆的分布展示；并支持对车辆的轨迹进行回放查看；</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消纳场地</w:t>
            </w:r>
          </w:p>
        </w:tc>
        <w:tc>
          <w:tcPr>
            <w:tcW w:type="dxa" w:w="3022"/>
          </w:tcPr>
          <w:p>
            <w:pPr>
              <w:spacing w:after="40"/>
            </w:pPr>
            <w:r/>
            <w:r>
              <w:rPr>
                <w:rFonts w:ascii="Microsoft YaHei" w:hAnsi="Microsoft YaHei" w:eastAsia="Microsoft YaHei"/>
                <w:sz w:val="21"/>
              </w:rPr>
              <w:t>支持场地红线范围在地图上的展示，以及场地设备的地理位置标记；</w:t>
            </w:r>
          </w:p>
        </w:tc>
      </w:tr>
    </w:tbl>
    <w:p/>
    <w:p>
      <w:pPr>
        <w:pStyle w:val="Heading2"/>
      </w:pPr>
      <w:r>
        <w:t>5. 功能需求逐项说明</w:t>
      </w:r>
    </w:p>
    <w:p>
      <w:pPr>
        <w:pStyle w:val="Heading3"/>
      </w:pPr>
      <w:r>
        <w:t>5.1 消纳场数据</w:t>
      </w:r>
    </w:p>
    <w:p>
      <w:pPr>
        <w:spacing w:after="120"/>
      </w:pPr>
      <w:r>
        <w:t>功能需求理解 支持消纳场地容量和已消纳量的展示，以及自定义日月年消纳数据的展示，可以根据自定义日月年消纳数据进行排名展示；该功能需支撑业务主体在标准流程、异常场景和监管抽查场景下完成统一办理，并保证数据可追溯、结果可核验。</w:t>
      </w:r>
    </w:p>
    <w:p>
      <w:pPr>
        <w:spacing w:after="120"/>
      </w:pPr>
      <w:r>
        <w:t>业务分析 “消纳场数据”不仅服务单点操作，还需要与上游主数据、审批规则、消息通知和统计分析形成联动，确保业务从发起、处理、反馈到归档全程留痕。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领导层、监管人员、运营人员</w:t>
      </w:r>
    </w:p>
    <w:p>
      <w:pPr>
        <w:spacing w:after="120"/>
      </w:pPr>
      <w:r>
        <w:t>业务前置条件</w:t>
      </w:r>
    </w:p>
    <w:p>
      <w:pPr>
        <w:pStyle w:val="ListBullet"/>
        <w:spacing w:after="40"/>
      </w:pPr>
      <w:r>
        <w:t>已完成数据看板相关主数据建档并通过角色授权。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用户进入“消纳场数据”功能页面，按角色权限选择查询范围或业务对象。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校验通过后，系统执行“消纳场数据”对应的业务处理、状态流转或统计计算。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核心展示内容至少覆盖：支持消纳场地容量和已消纳量的展示，以及自定义日月年消纳数据的展示，可以根据自定义日月年消纳数据进行排名展示。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“消纳场数据”应以数据看板模块的业务对象为主，不替代其他模块的主数据维护职责。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项目数据</w:t>
      </w:r>
    </w:p>
    <w:p>
      <w:pPr>
        <w:spacing w:after="120"/>
      </w:pPr>
      <w:r>
        <w:t>功能需求理解 支持项目工程量和进度展示，以及自定义日月年消纳数据展示，并根据自定义日月年消纳数据进行排名展示；该功能需支撑业务主体在标准流程、异常场景和监管抽查场景下完成统一办理，并保证数据可追溯、结果可核验。</w:t>
      </w:r>
    </w:p>
    <w:p>
      <w:pPr>
        <w:spacing w:after="120"/>
      </w:pPr>
      <w:r>
        <w:t>业务分析 “项目数据”不仅服务单点操作，还需要与上游主数据、审批规则、消息通知和统计分析形成联动，确保业务从发起、处理、反馈到归档全程留痕。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领导层、监管人员、运营人员</w:t>
      </w:r>
    </w:p>
    <w:p>
      <w:pPr>
        <w:spacing w:after="120"/>
      </w:pPr>
      <w:r>
        <w:t>业务前置条件</w:t>
      </w:r>
    </w:p>
    <w:p>
      <w:pPr>
        <w:pStyle w:val="ListBullet"/>
        <w:spacing w:after="40"/>
      </w:pPr>
      <w:r>
        <w:t>已完成数据看板相关主数据建档并通过角色授权。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用户进入“项目数据”功能页面，按角色权限选择查询范围或业务对象。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校验通过后，系统执行“项目数据”对应的业务处理、状态流转或统计计算。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核心展示内容至少覆盖：支持项目工程量和进度展示，以及自定义日月年消纳数据展示，并根据自定义日月年消纳数据进行排名展示。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“项目数据”应以数据看板模块的业务对象为主，不替代其他模块的主数据维护职责。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地图展示</w:t>
      </w:r>
    </w:p>
    <w:p>
      <w:pPr>
        <w:spacing w:after="120"/>
      </w:pPr>
      <w:r>
        <w:t>功能需求理解 支持消纳场地、项目、车辆的分布展示；并支持对车辆的轨迹进行回放查看；该功能需支撑业务主体在标准流程、异常场景和监管抽查场景下完成统一办理，并保证数据可追溯、结果可核验。</w:t>
      </w:r>
    </w:p>
    <w:p>
      <w:pPr>
        <w:spacing w:after="120"/>
      </w:pPr>
      <w:r>
        <w:t>业务分析 “地图展示”不仅服务单点操作，还需要与上游主数据、审批规则、消息通知和统计分析形成联动，确保业务从发起、处理、反馈到归档全程留痕。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领导层、监管人员、运营人员</w:t>
      </w:r>
    </w:p>
    <w:p>
      <w:pPr>
        <w:spacing w:after="120"/>
      </w:pPr>
      <w:r>
        <w:t>业务前置条件</w:t>
      </w:r>
    </w:p>
    <w:p>
      <w:pPr>
        <w:pStyle w:val="ListBullet"/>
        <w:spacing w:after="40"/>
      </w:pPr>
      <w:r>
        <w:t>已完成数据看板相关主数据建档并通过角色授权。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用户进入“地图展示”功能页面，按角色权限选择查询范围或业务对象。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校验通过后，系统执行“地图展示”对应的业务处理、状态流转或统计计算。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核心展示内容至少覆盖：支持消纳场地、项目、车辆的分布展示；并支持对车辆的轨迹进行回放查看。</w:t>
      </w:r>
    </w:p>
    <w:p>
      <w:pPr>
        <w:pStyle w:val="ListBullet"/>
        <w:spacing w:after="40"/>
      </w:pPr>
      <w:r>
        <w:t>涉及流程事项时，页面需展示当前状态、办理节点、经办人、更新时间和历史轨迹。</w:t>
      </w:r>
    </w:p>
    <w:p>
      <w:pPr>
        <w:pStyle w:val="ListBullet"/>
        <w:spacing w:after="40"/>
      </w:pPr>
      <w:r>
        <w:t>地图类页面需支持图层切换、点位定位、轨迹回放和围栏展示。</w:t>
      </w:r>
    </w:p>
    <w:p>
      <w:pPr>
        <w:spacing w:after="120"/>
      </w:pPr>
      <w:r>
        <w:t>按钮及操作说明</w:t>
      </w:r>
    </w:p>
    <w:p>
      <w:pPr>
        <w:pStyle w:val="ListBullet"/>
        <w:spacing w:after="40"/>
      </w:pPr>
      <w:r>
        <w:t>定位查询：在地图上定位目标对象并刷新当前位置和周边信息。</w:t>
      </w:r>
    </w:p>
    <w:p>
      <w:pPr>
        <w:pStyle w:val="ListBullet"/>
        <w:spacing w:after="40"/>
      </w:pPr>
      <w:r>
        <w:t>轨迹回放：按时间范围回放历史轨迹，支持播放速度和节点查看。</w:t>
      </w:r>
    </w:p>
    <w:p>
      <w:pPr>
        <w:pStyle w:val="ListBullet"/>
        <w:spacing w:after="40"/>
      </w:pPr>
      <w:r>
        <w:t>围栏设置：新增或调整电子围栏范围、方向、时段和触发策略。</w:t>
      </w:r>
    </w:p>
    <w:p>
      <w:pPr>
        <w:pStyle w:val="ListBullet"/>
        <w:spacing w:after="40"/>
      </w:pPr>
      <w:r>
        <w:t>导出轨迹：下载轨迹明细或轨迹回放结果文件。</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地理坐标统一采用标准坐标系存储，范围类数据需校验闭合性和坐标有效性。</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“地图展示”应以数据看板模块的业务对象为主，不替代其他模块的主数据维护职责。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5.4 消纳场地</w:t>
      </w:r>
    </w:p>
    <w:p>
      <w:pPr>
        <w:spacing w:after="120"/>
      </w:pPr>
      <w:r>
        <w:t>功能需求理解 支持场地红线范围在地图上的展示，以及场地设备的地理位置标记；该功能需支撑业务主体在标准流程、异常场景和监管抽查场景下完成统一办理，并保证数据可追溯、结果可核验。</w:t>
      </w:r>
    </w:p>
    <w:p>
      <w:pPr>
        <w:spacing w:after="120"/>
      </w:pPr>
      <w:r>
        <w:t>业务分析 “消纳场地”不仅服务单点操作，还需要与上游主数据、审批规则、消息通知和统计分析形成联动，确保业务从发起、处理、反馈到归档全程留痕。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领导层、监管人员、运营人员</w:t>
      </w:r>
    </w:p>
    <w:p>
      <w:pPr>
        <w:spacing w:after="120"/>
      </w:pPr>
      <w:r>
        <w:t>业务前置条件</w:t>
      </w:r>
    </w:p>
    <w:p>
      <w:pPr>
        <w:pStyle w:val="ListBullet"/>
        <w:spacing w:after="40"/>
      </w:pPr>
      <w:r>
        <w:t>已完成数据看板相关主数据建档并通过角色授权。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用户进入“消纳场地”功能页面，按角色权限选择查询范围或业务对象。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校验通过后，系统执行“消纳场地”对应的业务处理、状态流转或统计计算。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核心展示内容至少覆盖：支持场地红线范围在地图上的展示，以及场地设备的地理位置标记。</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“消纳场地”应以数据看板模块的业务对象为主，不替代其他模块的主数据维护职责。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本模块涉及移动端能力的功能点包括：地图展示。</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数据看板模块建设完成后，可显著提升业务办理规范性、过程透明度、数据可追溯性和监管支撑能力，为平台整体经营管理和风险管控提供稳定基础。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平台对接需求方案</w:t>
      </w:r>
    </w:p>
    <w:p>
      <w:pPr>
        <w:pStyle w:val="Heading2"/>
      </w:pPr>
      <w:r>
        <w:t>1. 模块建设目标</w:t>
      </w:r>
    </w:p>
    <w:p>
      <w:pPr>
        <w:spacing w:after="120"/>
      </w:pPr>
      <w:r>
        <w:t>建立面向政务监管、现场运营、轨迹监管和跨平台访问的一体化对接能力，形成“统一接入、统一鉴权、统一日志、统一补偿、统一运维”的平台对接中心。</w:t>
      </w:r>
    </w:p>
    <w:p>
      <w:pPr>
        <w:pStyle w:val="Heading2"/>
      </w:pPr>
      <w:r>
        <w:t>2. 模块业务定位</w:t>
      </w:r>
    </w:p>
    <w:p>
      <w:pPr>
        <w:spacing w:after="120"/>
      </w:pPr>
      <w:r>
        <w:t>平台对接模块承担外部系统连接中心职责，需要统一管理政务网、定位/GPS、视频、地磅、统一身份认证与单点登录等能力。该模块既服务甲方对监管数据接入和现场设备接入的要求，也服务项目管理、系统预警、数据看板、小程序、消纳场地等业务模块的联动需求。</w:t>
      </w:r>
    </w:p>
    <w:p>
      <w:pPr>
        <w:pStyle w:val="Heading2"/>
      </w:pPr>
      <w:r>
        <w:t>3. 适用角色与使用场景</w:t>
      </w:r>
    </w:p>
    <w:p>
      <w:pPr>
        <w:spacing w:after="120"/>
      </w:pPr>
      <w:r>
        <w:t>适用角色：集成管理员、第三方实施人员、运维管理员、监管平台管理员。 典型场景：</w:t>
      </w:r>
    </w:p>
    <w:p>
      <w:pPr>
        <w:pStyle w:val="ListBullet"/>
        <w:spacing w:after="40"/>
      </w:pPr>
      <w:r>
        <w:t>政务网准运证、处置证数据定时同步与人工补同步。</w:t>
      </w:r>
    </w:p>
    <w:p>
      <w:pPr>
        <w:pStyle w:val="ListBullet"/>
        <w:spacing w:after="40"/>
      </w:pPr>
      <w:r>
        <w:t>车辆定位轨迹接入、围栏判定、轨迹回放和异常补传。</w:t>
      </w:r>
    </w:p>
    <w:p>
      <w:pPr>
        <w:pStyle w:val="ListBullet"/>
        <w:spacing w:after="40"/>
      </w:pPr>
      <w:r>
        <w:t>项目/场地视频设备接入、通道管理、实时查看和异常告警。</w:t>
      </w:r>
    </w:p>
    <w:p>
      <w:pPr>
        <w:pStyle w:val="ListBullet"/>
        <w:spacing w:after="40"/>
      </w:pPr>
      <w:r>
        <w:t>地磅称重数据采集、设备控制、异常对账和回写消纳台账。</w:t>
      </w:r>
    </w:p>
    <w:p>
      <w:pPr>
        <w:pStyle w:val="ListBullet"/>
        <w:spacing w:after="40"/>
      </w:pPr>
      <w:r>
        <w:t>基于统一身份认证的跨平台免密单点登录。</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政务网数据对接</w:t>
            </w:r>
          </w:p>
        </w:tc>
        <w:tc>
          <w:tcPr>
            <w:tcW w:type="dxa" w:w="3022"/>
          </w:tcPr>
          <w:p>
            <w:pPr>
              <w:spacing w:after="40"/>
            </w:pPr>
            <w:r/>
            <w:r>
              <w:rPr>
                <w:rFonts w:ascii="Microsoft YaHei" w:hAnsi="Microsoft YaHei" w:eastAsia="Microsoft YaHei"/>
                <w:sz w:val="21"/>
              </w:rPr>
              <w:t>实现车辆准运证、处置证等监管数据同步，支持手动同步、自动同步、批次追踪和失败补偿。</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定位/GPS 对接</w:t>
            </w:r>
          </w:p>
        </w:tc>
        <w:tc>
          <w:tcPr>
            <w:tcW w:type="dxa" w:w="3022"/>
          </w:tcPr>
          <w:p>
            <w:pPr>
              <w:spacing w:after="40"/>
            </w:pPr>
            <w:r/>
            <w:r>
              <w:rPr>
                <w:rFonts w:ascii="Microsoft YaHei" w:hAnsi="Microsoft YaHei" w:eastAsia="Microsoft YaHei"/>
                <w:sz w:val="21"/>
              </w:rPr>
              <w:t>实现车辆实时定位、历史轨迹、围栏判定、轨迹补传和轨迹共享能力，支撑监管、预警和移动端查询。</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视频对接</w:t>
            </w:r>
          </w:p>
        </w:tc>
        <w:tc>
          <w:tcPr>
            <w:tcW w:type="dxa" w:w="3022"/>
          </w:tcPr>
          <w:p>
            <w:pPr>
              <w:spacing w:after="40"/>
            </w:pPr>
            <w:r/>
            <w:r>
              <w:rPr>
                <w:rFonts w:ascii="Microsoft YaHei" w:hAnsi="Microsoft YaHei" w:eastAsia="Microsoft YaHei"/>
                <w:sz w:val="21"/>
              </w:rPr>
              <w:t>支持项目和场地监控设备、抓拍机、视频通道接入，实现平台内实时查看、抓拍和设备状态监测。</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地磅数据对接</w:t>
            </w:r>
          </w:p>
        </w:tc>
        <w:tc>
          <w:tcPr>
            <w:tcW w:type="dxa" w:w="3022"/>
          </w:tcPr>
          <w:p>
            <w:pPr>
              <w:spacing w:after="40"/>
            </w:pPr>
            <w:r/>
            <w:r>
              <w:rPr>
                <w:rFonts w:ascii="Microsoft YaHei" w:hAnsi="Microsoft YaHei" w:eastAsia="Microsoft YaHei"/>
                <w:sz w:val="21"/>
              </w:rPr>
              <w:t>实现地磅称重数据实时采集、本地控制设备联动、异常对账和消纳/结算口径回写。</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统一身份认证与单点登录</w:t>
            </w:r>
          </w:p>
        </w:tc>
        <w:tc>
          <w:tcPr>
            <w:tcW w:type="dxa" w:w="3022"/>
          </w:tcPr>
          <w:p>
            <w:pPr>
              <w:spacing w:after="40"/>
            </w:pPr>
            <w:r/>
            <w:r>
              <w:rPr>
                <w:rFonts w:ascii="Microsoft YaHei" w:hAnsi="Microsoft YaHei" w:eastAsia="Microsoft YaHei"/>
                <w:sz w:val="21"/>
              </w:rPr>
              <w:t>支持基于统一身份认证的跨平台免密访问、票据交换、会话校验和统一退出。</w:t>
            </w:r>
          </w:p>
        </w:tc>
      </w:tr>
    </w:tbl>
    <w:p/>
    <w:p>
      <w:pPr>
        <w:pStyle w:val="Heading2"/>
      </w:pPr>
      <w:r>
        <w:t>5. 功能需求逐项说明</w:t>
      </w:r>
    </w:p>
    <w:p>
      <w:pPr>
        <w:pStyle w:val="Heading3"/>
      </w:pPr>
      <w:r>
        <w:t>5.1 政务网数据对接</w:t>
      </w:r>
    </w:p>
    <w:p>
      <w:pPr>
        <w:spacing w:after="120"/>
      </w:pPr>
      <w:r>
        <w:t>功能需求理解 该功能用于把监管侧准运证、处置证等数据同步到平台业务域内，保证政务数据与平台数据一致、可追溯、可回查。</w:t>
      </w:r>
    </w:p>
    <w:p>
      <w:pPr>
        <w:spacing w:after="120"/>
      </w:pPr>
      <w:r>
        <w:t>业务分析 政务网数据对接不是简单的数据拉取，而是需要形成“连接配置、同步任务、批次日志、解析校验、业务落库、失败补偿”的完整闭环。</w:t>
      </w:r>
    </w:p>
    <w:p>
      <w:pPr>
        <w:spacing w:after="120"/>
      </w:pPr>
      <w:r>
        <w:t>适用角色</w:t>
      </w:r>
    </w:p>
    <w:p>
      <w:pPr>
        <w:pStyle w:val="ListBullet"/>
        <w:spacing w:after="40"/>
      </w:pPr>
      <w:r>
        <w:t>集成管理员</w:t>
      </w:r>
    </w:p>
    <w:p>
      <w:pPr>
        <w:pStyle w:val="ListBullet"/>
        <w:spacing w:after="40"/>
      </w:pPr>
      <w:r>
        <w:t>第三方实施人员</w:t>
      </w:r>
    </w:p>
    <w:p>
      <w:pPr>
        <w:pStyle w:val="ListBullet"/>
        <w:spacing w:after="40"/>
      </w:pPr>
      <w:r>
        <w:t>监管平台管理员</w:t>
      </w:r>
    </w:p>
    <w:p>
      <w:pPr>
        <w:spacing w:after="120"/>
      </w:pPr>
      <w:r>
        <w:t>业务前置条件</w:t>
      </w:r>
    </w:p>
    <w:p>
      <w:pPr>
        <w:pStyle w:val="ListBullet"/>
        <w:spacing w:after="40"/>
      </w:pPr>
      <w:r>
        <w:t>已完成政务网连接地址、鉴权方式、证书或账号参数配置。</w:t>
      </w:r>
    </w:p>
    <w:p>
      <w:pPr>
        <w:pStyle w:val="ListBullet"/>
        <w:spacing w:after="40"/>
      </w:pPr>
      <w:r>
        <w:t>已建立准运证、处置证与平台项目、合同、车辆、场地的映射规则。</w:t>
      </w:r>
    </w:p>
    <w:p>
      <w:pPr>
        <w:pStyle w:val="ListBullet"/>
        <w:spacing w:after="40"/>
      </w:pPr>
      <w:r>
        <w:t>已配置同步周期、批次编号规则和失败重试策略。</w:t>
      </w:r>
    </w:p>
    <w:p>
      <w:pPr>
        <w:spacing w:after="120"/>
      </w:pPr>
      <w:r>
        <w:t>功能操作流程</w:t>
      </w:r>
    </w:p>
    <w:p>
      <w:pPr>
        <w:pStyle w:val="ListNumber"/>
        <w:spacing w:after="40"/>
      </w:pPr>
      <w:r>
        <w:t>管理员进入政务对接页面，配置连接参数并执行测试连接。</w:t>
      </w:r>
    </w:p>
    <w:p>
      <w:pPr>
        <w:pStyle w:val="ListNumber"/>
        <w:spacing w:after="40"/>
      </w:pPr>
      <w:r>
        <w:t>系统根据定时任务或人工触发发起同步，生成同步批次号。</w:t>
      </w:r>
    </w:p>
    <w:p>
      <w:pPr>
        <w:pStyle w:val="ListNumber"/>
        <w:spacing w:after="40"/>
      </w:pPr>
      <w:r>
        <w:t>平台接收政务数据后进行字段解析、重复校验、状态校验和业务映射。</w:t>
      </w:r>
    </w:p>
    <w:p>
      <w:pPr>
        <w:pStyle w:val="ListNumber"/>
        <w:spacing w:after="40"/>
      </w:pPr>
      <w:r>
        <w:t>成功数据回写平台业务主表，失败数据进入异常队列并生成失败原因。</w:t>
      </w:r>
    </w:p>
    <w:p>
      <w:pPr>
        <w:pStyle w:val="ListNumber"/>
        <w:spacing w:after="40"/>
      </w:pPr>
      <w:r>
        <w:t>管理员在同步日志中查看批次结果，并对失败记录执行重试或人工补录。</w:t>
      </w:r>
    </w:p>
    <w:p>
      <w:pPr>
        <w:spacing w:after="120"/>
      </w:pPr>
      <w:r>
        <w:t>页面展示要求</w:t>
      </w:r>
    </w:p>
    <w:p>
      <w:pPr>
        <w:pStyle w:val="ListBullet"/>
        <w:spacing w:after="40"/>
      </w:pPr>
      <w:r>
        <w:t>页面需展示连接状态、最近同步时间、最近同步结果、失败数量和批次明细。</w:t>
      </w:r>
    </w:p>
    <w:p>
      <w:pPr>
        <w:pStyle w:val="ListBullet"/>
        <w:spacing w:after="40"/>
      </w:pPr>
      <w:r>
        <w:t>同步日志需支持按批次号、时间、对象类型、结果状态筛选。</w:t>
      </w:r>
    </w:p>
    <w:p>
      <w:pPr>
        <w:pStyle w:val="ListBullet"/>
        <w:spacing w:after="40"/>
      </w:pPr>
      <w:r>
        <w:t>失败记录需展示失败原因、原始报文摘要和重试入口。</w:t>
      </w:r>
    </w:p>
    <w:p>
      <w:pPr>
        <w:spacing w:after="120"/>
      </w:pPr>
      <w:r>
        <w:t>按钮及操作说明</w:t>
      </w:r>
    </w:p>
    <w:p>
      <w:pPr>
        <w:pStyle w:val="ListBullet"/>
        <w:spacing w:after="40"/>
      </w:pPr>
      <w:r>
        <w:t>配置连接：维护政务网地址、鉴权方式、账号或证书信息，并保存当前配置版本。</w:t>
      </w:r>
    </w:p>
    <w:p>
      <w:pPr>
        <w:pStyle w:val="ListBullet"/>
        <w:spacing w:after="40"/>
      </w:pPr>
      <w:r>
        <w:t>测试连接：验证当前配置是否可连通，返回测试结果、响应耗时和失败原因。</w:t>
      </w:r>
    </w:p>
    <w:p>
      <w:pPr>
        <w:pStyle w:val="ListBullet"/>
        <w:spacing w:after="40"/>
      </w:pPr>
      <w:r>
        <w:t>立即同步：立即发起一次政务数据同步任务，生成批次号并进入日志跟踪。</w:t>
      </w:r>
    </w:p>
    <w:p>
      <w:pPr>
        <w:pStyle w:val="ListBullet"/>
        <w:spacing w:after="40"/>
      </w:pPr>
      <w:r>
        <w:t>查看日志：查看政务同步日志、批次结果、失败原因和重试记录。</w:t>
      </w:r>
    </w:p>
    <w:p>
      <w:pPr>
        <w:pStyle w:val="ListBullet"/>
        <w:spacing w:after="40"/>
      </w:pPr>
      <w:r>
        <w:t>重试：针对失败批次或失败记录重新发起处理，保留原失败信息和重试次数。</w:t>
      </w:r>
    </w:p>
    <w:p>
      <w:pPr>
        <w:spacing w:after="120"/>
      </w:pPr>
      <w:r>
        <w:t>字段与内容限制</w:t>
      </w:r>
    </w:p>
    <w:p>
      <w:pPr>
        <w:pStyle w:val="ListBullet"/>
        <w:spacing w:after="40"/>
      </w:pPr>
      <w:r>
        <w:t>外部编码、证照编号、批次号等字段必须唯一且不可为空。</w:t>
      </w:r>
    </w:p>
    <w:p>
      <w:pPr>
        <w:pStyle w:val="ListBullet"/>
        <w:spacing w:after="40"/>
      </w:pPr>
      <w:r>
        <w:t>时间字段需统一时区口径；同步时间、签发时间、失效时间需可校验。</w:t>
      </w:r>
    </w:p>
    <w:p>
      <w:pPr>
        <w:pStyle w:val="ListBullet"/>
        <w:spacing w:after="40"/>
      </w:pPr>
      <w:r>
        <w:t>原始报文需加密留存，避免敏感字段直接暴露到前端。</w:t>
      </w:r>
    </w:p>
    <w:p>
      <w:pPr>
        <w:spacing w:after="120"/>
      </w:pPr>
      <w:r>
        <w:t>输出结果</w:t>
      </w:r>
    </w:p>
    <w:p>
      <w:pPr>
        <w:pStyle w:val="ListBullet"/>
        <w:spacing w:after="40"/>
      </w:pPr>
      <w:r>
        <w:t>输出同步批次、同步明细、失败明细、来源平台标识和业务落库结果。</w:t>
      </w:r>
    </w:p>
    <w:p>
      <w:pPr>
        <w:spacing w:after="120"/>
      </w:pPr>
      <w:r>
        <w:t>异常与提示</w:t>
      </w:r>
    </w:p>
    <w:p>
      <w:pPr>
        <w:pStyle w:val="ListBullet"/>
        <w:spacing w:after="40"/>
      </w:pPr>
      <w:r>
        <w:t>连接失败时提示连接地址或网络异常。</w:t>
      </w:r>
    </w:p>
    <w:p>
      <w:pPr>
        <w:pStyle w:val="ListBullet"/>
        <w:spacing w:after="40"/>
      </w:pPr>
      <w:r>
        <w:t>鉴权失败时提示证书、签名或凭据失效。</w:t>
      </w:r>
    </w:p>
    <w:p>
      <w:pPr>
        <w:pStyle w:val="ListBullet"/>
        <w:spacing w:after="40"/>
      </w:pPr>
      <w:r>
        <w:t>数据校验失败时提示具体失败字段、对象编码和失败原因。</w:t>
      </w:r>
    </w:p>
    <w:p>
      <w:pPr>
        <w:pStyle w:val="ListBullet"/>
        <w:spacing w:after="40"/>
      </w:pPr>
      <w:r>
        <w:t>批次处理中断时需保留已成功数据和待补偿队列。</w:t>
      </w:r>
    </w:p>
    <w:p>
      <w:pPr>
        <w:spacing w:after="120"/>
      </w:pPr>
      <w:r>
        <w:t>边界说明</w:t>
      </w:r>
    </w:p>
    <w:p>
      <w:pPr>
        <w:pStyle w:val="ListBullet"/>
        <w:spacing w:after="40"/>
      </w:pPr>
      <w:r>
        <w:t>政务网数据对接负责监管数据接入和同步，不直接替代处置证、准运证业务模块的主数据维护。</w:t>
      </w:r>
    </w:p>
    <w:p>
      <w:pPr>
        <w:pStyle w:val="ListBullet"/>
        <w:spacing w:after="40"/>
      </w:pPr>
      <w:r>
        <w:t>政务数据回写后，业务变更仍由所属业务模块继续承接。</w:t>
      </w:r>
    </w:p>
    <w:p>
      <w:pPr>
        <w:pStyle w:val="Heading3"/>
      </w:pPr>
      <w:r>
        <w:t>5.2 定位/GPS 对接</w:t>
      </w:r>
    </w:p>
    <w:p>
      <w:pPr>
        <w:spacing w:after="120"/>
      </w:pPr>
      <w:r>
        <w:t>功能需求理解 该功能用于接入车辆实时位置、历史轨迹、停留点、进出围栏事件和轨迹补传数据，支撑项目线路监管、预警判定、移动端车辆查询和地图回放。</w:t>
      </w:r>
    </w:p>
    <w:p>
      <w:pPr>
        <w:spacing w:after="120"/>
      </w:pPr>
      <w:r>
        <w:t>业务分析 定位/GPS 对接需同时满足“高频数据接入、高并发轨迹查询、围栏事件计算、异常补传、地图服务共享”五类需求，是系统预警和移动端能力的基础数据来源。</w:t>
      </w:r>
    </w:p>
    <w:p>
      <w:pPr>
        <w:spacing w:after="120"/>
      </w:pPr>
      <w:r>
        <w:t>适用角色</w:t>
      </w:r>
    </w:p>
    <w:p>
      <w:pPr>
        <w:pStyle w:val="ListBullet"/>
        <w:spacing w:after="40"/>
      </w:pPr>
      <w:r>
        <w:t>集成管理员</w:t>
      </w:r>
    </w:p>
    <w:p>
      <w:pPr>
        <w:pStyle w:val="ListBullet"/>
        <w:spacing w:after="40"/>
      </w:pPr>
      <w:r>
        <w:t>监管平台管理员</w:t>
      </w:r>
    </w:p>
    <w:p>
      <w:pPr>
        <w:pStyle w:val="ListBullet"/>
        <w:spacing w:after="40"/>
      </w:pPr>
      <w:r>
        <w:t>运维管理员</w:t>
      </w:r>
    </w:p>
    <w:p>
      <w:pPr>
        <w:spacing w:after="120"/>
      </w:pPr>
      <w:r>
        <w:t>业务前置条件</w:t>
      </w:r>
    </w:p>
    <w:p>
      <w:pPr>
        <w:pStyle w:val="ListBullet"/>
        <w:spacing w:after="40"/>
      </w:pPr>
      <w:r>
        <w:t>已完成车辆编码、设备编号和定位平台车辆标识映射。</w:t>
      </w:r>
    </w:p>
    <w:p>
      <w:pPr>
        <w:pStyle w:val="ListBullet"/>
        <w:spacing w:after="40"/>
      </w:pPr>
      <w:r>
        <w:t>已配置围栏、线路、轨迹保留周期和补传策略。</w:t>
      </w:r>
    </w:p>
    <w:p>
      <w:pPr>
        <w:pStyle w:val="ListBullet"/>
        <w:spacing w:after="40"/>
      </w:pPr>
      <w:r>
        <w:t>已确定坐标系、采样频率和轨迹压缩规则。</w:t>
      </w:r>
    </w:p>
    <w:p>
      <w:pPr>
        <w:spacing w:after="120"/>
      </w:pPr>
      <w:r>
        <w:t>功能操作流程</w:t>
      </w:r>
    </w:p>
    <w:p>
      <w:pPr>
        <w:pStyle w:val="ListNumber"/>
        <w:spacing w:after="40"/>
      </w:pPr>
      <w:r>
        <w:t>定位平台按推送或拉取方式向平台传输轨迹点和设备状态。</w:t>
      </w:r>
    </w:p>
    <w:p>
      <w:pPr>
        <w:pStyle w:val="ListNumber"/>
        <w:spacing w:after="40"/>
      </w:pPr>
      <w:r>
        <w:t>系统对轨迹点执行时间、坐标、设备、车辆、方向和载重状态校验。</w:t>
      </w:r>
    </w:p>
    <w:p>
      <w:pPr>
        <w:pStyle w:val="ListNumber"/>
        <w:spacing w:after="40"/>
      </w:pPr>
      <w:r>
        <w:t>合格轨迹点写入轨迹库并触发围栏判定、线路偏离判定和停留分析。</w:t>
      </w:r>
    </w:p>
    <w:p>
      <w:pPr>
        <w:pStyle w:val="ListNumber"/>
        <w:spacing w:after="40"/>
      </w:pPr>
      <w:r>
        <w:t>轨迹服务向数据看板、信息查询、小程序和预警模块提供查询结果。</w:t>
      </w:r>
    </w:p>
    <w:p>
      <w:pPr>
        <w:pStyle w:val="ListNumber"/>
        <w:spacing w:after="40"/>
      </w:pPr>
      <w:r>
        <w:t>对断点、缺失或异常轨迹执行补传并生成异常轨迹日志。</w:t>
      </w:r>
    </w:p>
    <w:p>
      <w:pPr>
        <w:spacing w:after="120"/>
      </w:pPr>
      <w:r>
        <w:t>页面展示要求</w:t>
      </w:r>
    </w:p>
    <w:p>
      <w:pPr>
        <w:pStyle w:val="ListBullet"/>
        <w:spacing w:after="40"/>
      </w:pPr>
      <w:r>
        <w:t>页面需展示定位平台状态、在线车辆数、异常车辆数、最新心跳时间和轨迹积压量。</w:t>
      </w:r>
    </w:p>
    <w:p>
      <w:pPr>
        <w:pStyle w:val="ListBullet"/>
        <w:spacing w:after="40"/>
      </w:pPr>
      <w:r>
        <w:t>需支持车辆实时列表、历史轨迹查询、围栏事件列表和补传任务列表。</w:t>
      </w:r>
    </w:p>
    <w:p>
      <w:pPr>
        <w:pStyle w:val="ListBullet"/>
        <w:spacing w:after="40"/>
      </w:pPr>
      <w:r>
        <w:t>需支持地图预览、轨迹回放和异常轨迹标识。</w:t>
      </w:r>
    </w:p>
    <w:p>
      <w:pPr>
        <w:spacing w:after="120"/>
      </w:pPr>
      <w:r>
        <w:t>按钮及操作说明</w:t>
      </w:r>
    </w:p>
    <w:p>
      <w:pPr>
        <w:pStyle w:val="ListBullet"/>
        <w:spacing w:after="40"/>
      </w:pPr>
      <w:r>
        <w:t>配置连接：维护定位平台地址、鉴权参数、回调地址和心跳参数。</w:t>
      </w:r>
    </w:p>
    <w:p>
      <w:pPr>
        <w:pStyle w:val="ListBullet"/>
        <w:spacing w:after="40"/>
      </w:pPr>
      <w:r>
        <w:t>测试连接：验证定位平台连通性和鉴权有效性。</w:t>
      </w:r>
    </w:p>
    <w:p>
      <w:pPr>
        <w:pStyle w:val="ListBullet"/>
        <w:spacing w:after="40"/>
      </w:pPr>
      <w:r>
        <w:t>查看日志：查看轨迹接收日志、围栏判定日志和异常轨迹日志。</w:t>
      </w:r>
    </w:p>
    <w:p>
      <w:pPr>
        <w:pStyle w:val="ListBullet"/>
        <w:spacing w:after="40"/>
      </w:pPr>
      <w:r>
        <w:t>重试：重新发起轨迹补传或异常轨迹处理。</w:t>
      </w:r>
    </w:p>
    <w:p>
      <w:pPr>
        <w:pStyle w:val="ListBullet"/>
        <w:spacing w:after="40"/>
      </w:pPr>
      <w:r>
        <w:t>查看记录：查看指定车辆的轨迹接入记录、围栏事件和停留点分析结果。</w:t>
      </w:r>
    </w:p>
    <w:p>
      <w:pPr>
        <w:spacing w:after="120"/>
      </w:pPr>
      <w:r>
        <w:t>字段与内容限制</w:t>
      </w:r>
    </w:p>
    <w:p>
      <w:pPr>
        <w:pStyle w:val="ListBullet"/>
        <w:spacing w:after="40"/>
      </w:pPr>
      <w:r>
        <w:t>轨迹点必须包含车辆编码、定位时间、经纬度、速度、方向等基础字段。</w:t>
      </w:r>
    </w:p>
    <w:p>
      <w:pPr>
        <w:pStyle w:val="ListBullet"/>
        <w:spacing w:after="40"/>
      </w:pPr>
      <w:r>
        <w:t>坐标必须在有效地理范围内；异常坐标不得参与围栏判定。</w:t>
      </w:r>
    </w:p>
    <w:p>
      <w:pPr>
        <w:pStyle w:val="ListBullet"/>
        <w:spacing w:after="40"/>
      </w:pPr>
      <w:r>
        <w:t>高频轨迹需支持分片存储和按时间窗查询。</w:t>
      </w:r>
    </w:p>
    <w:p>
      <w:pPr>
        <w:spacing w:after="120"/>
      </w:pPr>
      <w:r>
        <w:t>输出结果</w:t>
      </w:r>
    </w:p>
    <w:p>
      <w:pPr>
        <w:pStyle w:val="ListBullet"/>
        <w:spacing w:after="40"/>
      </w:pPr>
      <w:r>
        <w:t>输出实时位置、历史轨迹、围栏事件、停留点记录、轨迹异常记录和补传结果。</w:t>
      </w:r>
    </w:p>
    <w:p>
      <w:pPr>
        <w:spacing w:after="120"/>
      </w:pPr>
      <w:r>
        <w:t>异常与提示</w:t>
      </w:r>
    </w:p>
    <w:p>
      <w:pPr>
        <w:pStyle w:val="ListBullet"/>
        <w:spacing w:after="40"/>
      </w:pPr>
      <w:r>
        <w:t>轨迹中断时提示中断区间、最后有效时间和补传状态。</w:t>
      </w:r>
    </w:p>
    <w:p>
      <w:pPr>
        <w:pStyle w:val="ListBullet"/>
        <w:spacing w:after="40"/>
      </w:pPr>
      <w:r>
        <w:t>坐标异常时提示异常点数量和丢弃原因。</w:t>
      </w:r>
    </w:p>
    <w:p>
      <w:pPr>
        <w:pStyle w:val="ListBullet"/>
        <w:spacing w:after="40"/>
      </w:pPr>
      <w:r>
        <w:t>设备离线时提示离线开始时间和影响车辆数。</w:t>
      </w:r>
    </w:p>
    <w:p>
      <w:pPr>
        <w:spacing w:after="120"/>
      </w:pPr>
      <w:r>
        <w:t>边界说明</w:t>
      </w:r>
    </w:p>
    <w:p>
      <w:pPr>
        <w:pStyle w:val="ListBullet"/>
        <w:spacing w:after="40"/>
      </w:pPr>
      <w:r>
        <w:t>定位/GPS 对接只提供轨迹与事件基础数据，不直接承担业务处罚或审批动作。</w:t>
      </w:r>
    </w:p>
    <w:p>
      <w:pPr>
        <w:pStyle w:val="ListBullet"/>
        <w:spacing w:after="40"/>
      </w:pPr>
      <w:r>
        <w:t>围栏预警、线路违规、移动端查询等业务处理由相关业务模块继续承接。</w:t>
      </w:r>
    </w:p>
    <w:p>
      <w:pPr>
        <w:pStyle w:val="Heading3"/>
      </w:pPr>
      <w:r>
        <w:t>5.3 视频对接</w:t>
      </w:r>
    </w:p>
    <w:p>
      <w:pPr>
        <w:spacing w:after="120"/>
      </w:pPr>
      <w:r>
        <w:t>功能需求理解 该功能用于接入项目和场地的视频设备、抓拍设备和视频通道，实现平台内实时查看、抓拍联动和设备状态监测。</w:t>
      </w:r>
    </w:p>
    <w:p>
      <w:pPr>
        <w:spacing w:after="120"/>
      </w:pPr>
      <w:r>
        <w:t>业务分析 视频对接需同时关注设备映射、通道授权、播放鉴权、实时查看、抓拍留存和设备运维，既满足监管查看，又满足现场设备管理。</w:t>
      </w:r>
    </w:p>
    <w:p>
      <w:pPr>
        <w:spacing w:after="120"/>
      </w:pPr>
      <w:r>
        <w:t>适用角色</w:t>
      </w:r>
    </w:p>
    <w:p>
      <w:pPr>
        <w:pStyle w:val="ListBullet"/>
        <w:spacing w:after="40"/>
      </w:pPr>
      <w:r>
        <w:t>集成管理员</w:t>
      </w:r>
    </w:p>
    <w:p>
      <w:pPr>
        <w:pStyle w:val="ListBullet"/>
        <w:spacing w:after="40"/>
      </w:pPr>
      <w:r>
        <w:t>第三方实施人员</w:t>
      </w:r>
    </w:p>
    <w:p>
      <w:pPr>
        <w:pStyle w:val="ListBullet"/>
        <w:spacing w:after="40"/>
      </w:pPr>
      <w:r>
        <w:t>运维管理员</w:t>
      </w:r>
    </w:p>
    <w:p>
      <w:pPr>
        <w:spacing w:after="120"/>
      </w:pPr>
      <w:r>
        <w:t>业务前置条件</w:t>
      </w:r>
    </w:p>
    <w:p>
      <w:pPr>
        <w:pStyle w:val="ListBullet"/>
        <w:spacing w:after="40"/>
      </w:pPr>
      <w:r>
        <w:t>已配置视频平台地址、设备账号、通道映射和播放协议。</w:t>
      </w:r>
    </w:p>
    <w:p>
      <w:pPr>
        <w:pStyle w:val="ListBullet"/>
        <w:spacing w:after="40"/>
      </w:pPr>
      <w:r>
        <w:t>已建立视频设备与项目、场地、设备台账的映射关系。</w:t>
      </w:r>
    </w:p>
    <w:p>
      <w:pPr>
        <w:pStyle w:val="ListBullet"/>
        <w:spacing w:after="40"/>
      </w:pPr>
      <w:r>
        <w:t>已定义实时播放、抓拍留存和离线告警规则。</w:t>
      </w:r>
    </w:p>
    <w:p>
      <w:pPr>
        <w:spacing w:after="120"/>
      </w:pPr>
      <w:r>
        <w:t>功能操作流程</w:t>
      </w:r>
    </w:p>
    <w:p>
      <w:pPr>
        <w:pStyle w:val="ListNumber"/>
        <w:spacing w:after="40"/>
      </w:pPr>
      <w:r>
        <w:t>管理员接入视频平台并维护设备及通道映射。</w:t>
      </w:r>
    </w:p>
    <w:p>
      <w:pPr>
        <w:pStyle w:val="ListNumber"/>
        <w:spacing w:after="40"/>
      </w:pPr>
      <w:r>
        <w:t>系统定时检测设备和通道状态，记录心跳和在线情况。</w:t>
      </w:r>
    </w:p>
    <w:p>
      <w:pPr>
        <w:pStyle w:val="ListNumber"/>
        <w:spacing w:after="40"/>
      </w:pPr>
      <w:r>
        <w:t>用户发起查看时，系统生成播放凭证或短期播放令牌。</w:t>
      </w:r>
    </w:p>
    <w:p>
      <w:pPr>
        <w:pStyle w:val="ListNumber"/>
        <w:spacing w:after="40"/>
      </w:pPr>
      <w:r>
        <w:t>平台返回视频流地址、通道信息和抓拍能力参数。</w:t>
      </w:r>
    </w:p>
    <w:p>
      <w:pPr>
        <w:pStyle w:val="ListNumber"/>
        <w:spacing w:after="40"/>
      </w:pPr>
      <w:r>
        <w:t>当设备离线、通道失效或播放失败时，系统生成异常告警并记录日志。</w:t>
      </w:r>
    </w:p>
    <w:p>
      <w:pPr>
        <w:spacing w:after="120"/>
      </w:pPr>
      <w:r>
        <w:t>页面展示要求</w:t>
      </w:r>
    </w:p>
    <w:p>
      <w:pPr>
        <w:pStyle w:val="ListBullet"/>
        <w:spacing w:after="40"/>
      </w:pPr>
      <w:r>
        <w:t>页面需展示设备列表、在线状态、所属项目/场地、通道数、最近心跳时间。</w:t>
      </w:r>
    </w:p>
    <w:p>
      <w:pPr>
        <w:pStyle w:val="ListBullet"/>
        <w:spacing w:after="40"/>
      </w:pPr>
      <w:r>
        <w:t>支持设备详情查看、实时预览入口、抓拍记录查看和异常告警查看。</w:t>
      </w:r>
    </w:p>
    <w:p>
      <w:pPr>
        <w:pStyle w:val="ListBullet"/>
        <w:spacing w:after="40"/>
      </w:pPr>
      <w:r>
        <w:t>对离线设备、故障通道、鉴权失败通道进行显著标识。</w:t>
      </w:r>
    </w:p>
    <w:p>
      <w:pPr>
        <w:spacing w:after="120"/>
      </w:pPr>
      <w:r>
        <w:t>按钮及操作说明</w:t>
      </w:r>
    </w:p>
    <w:p>
      <w:pPr>
        <w:pStyle w:val="ListBullet"/>
        <w:spacing w:after="40"/>
      </w:pPr>
      <w:r>
        <w:t>配置连接：维护视频平台地址、账号、协议、回调地址和设备映射。</w:t>
      </w:r>
    </w:p>
    <w:p>
      <w:pPr>
        <w:pStyle w:val="ListBullet"/>
        <w:spacing w:after="40"/>
      </w:pPr>
      <w:r>
        <w:t>测试连接：测试平台连通性、设备拉取能力和通道可访问性。</w:t>
      </w:r>
    </w:p>
    <w:p>
      <w:pPr>
        <w:pStyle w:val="ListBullet"/>
        <w:spacing w:after="40"/>
      </w:pPr>
      <w:r>
        <w:t>查看记录：查看设备状态变化、抓拍记录和播放日志。</w:t>
      </w:r>
    </w:p>
    <w:p>
      <w:pPr>
        <w:pStyle w:val="ListBullet"/>
        <w:spacing w:after="40"/>
      </w:pPr>
      <w:r>
        <w:t>查看日志：查看视频接入日志、通道异常日志和播放失败日志。</w:t>
      </w:r>
    </w:p>
    <w:p>
      <w:pPr>
        <w:pStyle w:val="ListBullet"/>
        <w:spacing w:after="40"/>
      </w:pPr>
      <w:r>
        <w:t>重试：针对失败的设备同步、通道拉取或播放鉴权重新执行。</w:t>
      </w:r>
    </w:p>
    <w:p>
      <w:pPr>
        <w:spacing w:after="120"/>
      </w:pPr>
      <w:r>
        <w:t>字段与内容限制</w:t>
      </w:r>
    </w:p>
    <w:p>
      <w:pPr>
        <w:pStyle w:val="ListBullet"/>
        <w:spacing w:after="40"/>
      </w:pPr>
      <w:r>
        <w:t>设备编码、通道编码、所属项目/场地必须唯一映射。</w:t>
      </w:r>
    </w:p>
    <w:p>
      <w:pPr>
        <w:pStyle w:val="ListBullet"/>
        <w:spacing w:after="40"/>
      </w:pPr>
      <w:r>
        <w:t>播放令牌需具备时效性，不允许长期明文暴露。</w:t>
      </w:r>
    </w:p>
    <w:p>
      <w:pPr>
        <w:pStyle w:val="ListBullet"/>
        <w:spacing w:after="40"/>
      </w:pPr>
      <w:r>
        <w:t>抓拍图片和视频索引需按保存周期归档。</w:t>
      </w:r>
    </w:p>
    <w:p>
      <w:pPr>
        <w:spacing w:after="120"/>
      </w:pPr>
      <w:r>
        <w:t>输出结果</w:t>
      </w:r>
    </w:p>
    <w:p>
      <w:pPr>
        <w:pStyle w:val="ListBullet"/>
        <w:spacing w:after="40"/>
      </w:pPr>
      <w:r>
        <w:t>输出设备接入状态、通道列表、播放凭证、抓拍记录和异常告警结果。</w:t>
      </w:r>
    </w:p>
    <w:p>
      <w:pPr>
        <w:spacing w:after="120"/>
      </w:pPr>
      <w:r>
        <w:t>异常与提示</w:t>
      </w:r>
    </w:p>
    <w:p>
      <w:pPr>
        <w:pStyle w:val="ListBullet"/>
        <w:spacing w:after="40"/>
      </w:pPr>
      <w:r>
        <w:t>设备离线时提示离线开始时间和影响范围。</w:t>
      </w:r>
    </w:p>
    <w:p>
      <w:pPr>
        <w:pStyle w:val="ListBullet"/>
        <w:spacing w:after="40"/>
      </w:pPr>
      <w:r>
        <w:t>播放失败时提示鉴权失败、通道关闭、网络超时等具体原因。</w:t>
      </w:r>
    </w:p>
    <w:p>
      <w:pPr>
        <w:pStyle w:val="ListBullet"/>
        <w:spacing w:after="40"/>
      </w:pPr>
      <w:r>
        <w:t>抓拍失败时提示抓拍失败原因并保留原请求记录。</w:t>
      </w:r>
    </w:p>
    <w:p>
      <w:pPr>
        <w:spacing w:after="120"/>
      </w:pPr>
      <w:r>
        <w:t>边界说明</w:t>
      </w:r>
    </w:p>
    <w:p>
      <w:pPr>
        <w:pStyle w:val="ListBullet"/>
        <w:spacing w:after="40"/>
      </w:pPr>
      <w:r>
        <w:t>视频对接负责设备接入和播放能力，不替代安防平台的原生设备管理职责。</w:t>
      </w:r>
    </w:p>
    <w:p>
      <w:pPr>
        <w:pStyle w:val="ListBullet"/>
        <w:spacing w:after="40"/>
      </w:pPr>
      <w:r>
        <w:t>业务模块仅消费视频结果，不直接维护第三方设备底层协议。</w:t>
      </w:r>
    </w:p>
    <w:p>
      <w:pPr>
        <w:pStyle w:val="Heading3"/>
      </w:pPr>
      <w:r>
        <w:t>5.4 地磅数据对接</w:t>
      </w:r>
    </w:p>
    <w:p>
      <w:pPr>
        <w:spacing w:after="120"/>
      </w:pPr>
      <w:r>
        <w:t>功能需求理解 该功能用于接入地磅称重数据和本地控制设备，实现过磅数据采集、异常对账、设备控制和消纳/结算口径联动。</w:t>
      </w:r>
    </w:p>
    <w:p>
      <w:pPr>
        <w:spacing w:after="120"/>
      </w:pPr>
      <w:r>
        <w:t>业务分析 地磅数据对接需打通“设备接入、记录采集、业务匹配、异常识别、人工对账、口径回写”全流程，以满足消纳场地、项目结算和监管对账需求。</w:t>
      </w:r>
    </w:p>
    <w:p>
      <w:pPr>
        <w:spacing w:after="120"/>
      </w:pPr>
      <w:r>
        <w:t>适用角色</w:t>
      </w:r>
    </w:p>
    <w:p>
      <w:pPr>
        <w:pStyle w:val="ListBullet"/>
        <w:spacing w:after="40"/>
      </w:pPr>
      <w:r>
        <w:t>集成管理员</w:t>
      </w:r>
    </w:p>
    <w:p>
      <w:pPr>
        <w:pStyle w:val="ListBullet"/>
        <w:spacing w:after="40"/>
      </w:pPr>
      <w:r>
        <w:t>场地管理员</w:t>
      </w:r>
    </w:p>
    <w:p>
      <w:pPr>
        <w:pStyle w:val="ListBullet"/>
        <w:spacing w:after="40"/>
      </w:pPr>
      <w:r>
        <w:t>运维管理员</w:t>
      </w:r>
    </w:p>
    <w:p>
      <w:pPr>
        <w:spacing w:after="120"/>
      </w:pPr>
      <w:r>
        <w:t>业务前置条件</w:t>
      </w:r>
    </w:p>
    <w:p>
      <w:pPr>
        <w:pStyle w:val="ListBullet"/>
        <w:spacing w:after="40"/>
      </w:pPr>
      <w:r>
        <w:t>已配置地磅设备编码、所属场地、借磅关系和控制软件参数。</w:t>
      </w:r>
    </w:p>
    <w:p>
      <w:pPr>
        <w:pStyle w:val="ListBullet"/>
        <w:spacing w:after="40"/>
      </w:pPr>
      <w:r>
        <w:t>已完成车牌、车辆、项目、场地、合同映射规则配置。</w:t>
      </w:r>
    </w:p>
    <w:p>
      <w:pPr>
        <w:pStyle w:val="ListBullet"/>
        <w:spacing w:after="40"/>
      </w:pPr>
      <w:r>
        <w:t>已明确净重校验、重复判重和异常对账规则。</w:t>
      </w:r>
    </w:p>
    <w:p>
      <w:pPr>
        <w:spacing w:after="120"/>
      </w:pPr>
      <w:r>
        <w:t>功能操作流程</w:t>
      </w:r>
    </w:p>
    <w:p>
      <w:pPr>
        <w:pStyle w:val="ListNumber"/>
        <w:spacing w:after="40"/>
      </w:pPr>
      <w:r>
        <w:t>地磅设备或本地控制软件实时推送过磅记录。</w:t>
      </w:r>
    </w:p>
    <w:p>
      <w:pPr>
        <w:pStyle w:val="ListNumber"/>
        <w:spacing w:after="40"/>
      </w:pPr>
      <w:r>
        <w:t>系统校验设备、车牌、时间、重量和记录唯一性。</w:t>
      </w:r>
    </w:p>
    <w:p>
      <w:pPr>
        <w:pStyle w:val="ListNumber"/>
        <w:spacing w:after="40"/>
      </w:pPr>
      <w:r>
        <w:t>系统按业务规则匹配项目、场地、车辆和合同，并判断是否异常。</w:t>
      </w:r>
    </w:p>
    <w:p>
      <w:pPr>
        <w:pStyle w:val="ListNumber"/>
        <w:spacing w:after="40"/>
      </w:pPr>
      <w:r>
        <w:t>正常记录回写消纳清单或结算明细，异常记录进入对账池。</w:t>
      </w:r>
    </w:p>
    <w:p>
      <w:pPr>
        <w:pStyle w:val="ListNumber"/>
        <w:spacing w:after="40"/>
      </w:pPr>
      <w:r>
        <w:t>管理员可对异常记录进行人工确认、补录、重算或忽略处理。</w:t>
      </w:r>
    </w:p>
    <w:p>
      <w:pPr>
        <w:spacing w:after="120"/>
      </w:pPr>
      <w:r>
        <w:t>页面展示要求</w:t>
      </w:r>
    </w:p>
    <w:p>
      <w:pPr>
        <w:pStyle w:val="ListBullet"/>
        <w:spacing w:after="40"/>
      </w:pPr>
      <w:r>
        <w:t>页面需展示设备状态、过磅记录列表、异常记录列表、人工对账列表和设备心跳。</w:t>
      </w:r>
    </w:p>
    <w:p>
      <w:pPr>
        <w:pStyle w:val="ListBullet"/>
        <w:spacing w:after="40"/>
      </w:pPr>
      <w:r>
        <w:t>需支持按设备、车牌、时间窗、场地、项目、对账状态筛选记录。</w:t>
      </w:r>
    </w:p>
    <w:p>
      <w:pPr>
        <w:pStyle w:val="ListBullet"/>
        <w:spacing w:after="40"/>
      </w:pPr>
      <w:r>
        <w:t>需支持查看原始报文、净重计算结果和业务回写结果。</w:t>
      </w:r>
    </w:p>
    <w:p>
      <w:pPr>
        <w:spacing w:after="120"/>
      </w:pPr>
      <w:r>
        <w:t>按钮及操作说明</w:t>
      </w:r>
    </w:p>
    <w:p>
      <w:pPr>
        <w:pStyle w:val="ListBullet"/>
        <w:spacing w:after="40"/>
      </w:pPr>
      <w:r>
        <w:t>配置连接：维护地磅设备参数、推送地址、控制指令参数和借磅关系。</w:t>
      </w:r>
    </w:p>
    <w:p>
      <w:pPr>
        <w:pStyle w:val="ListBullet"/>
        <w:spacing w:after="40"/>
      </w:pPr>
      <w:r>
        <w:t>测试连接：验证设备连通性、推送链路和控制软件响应状态。</w:t>
      </w:r>
    </w:p>
    <w:p>
      <w:pPr>
        <w:pStyle w:val="ListBullet"/>
        <w:spacing w:after="40"/>
      </w:pPr>
      <w:r>
        <w:t>查看记录：查看原始称重记录、匹配结果、异常原因和回写状态。</w:t>
      </w:r>
    </w:p>
    <w:p>
      <w:pPr>
        <w:pStyle w:val="ListBullet"/>
        <w:spacing w:after="40"/>
      </w:pPr>
      <w:r>
        <w:t>查看日志：查看设备日志、推送日志、对账日志和控制指令日志。</w:t>
      </w:r>
    </w:p>
    <w:p>
      <w:pPr>
        <w:pStyle w:val="ListBullet"/>
        <w:spacing w:after="40"/>
      </w:pPr>
      <w:r>
        <w:t>重试：对失败记录重新匹配或重新回写业务台账。</w:t>
      </w:r>
    </w:p>
    <w:p>
      <w:pPr>
        <w:spacing w:after="120"/>
      </w:pPr>
      <w:r>
        <w:t>字段与内容限制</w:t>
      </w:r>
    </w:p>
    <w:p>
      <w:pPr>
        <w:pStyle w:val="ListBullet"/>
        <w:spacing w:after="40"/>
      </w:pPr>
      <w:r>
        <w:t>地磅记录必须包含设备编码、车牌号、称重时间、毛重、皮重、净重。</w:t>
      </w:r>
    </w:p>
    <w:p>
      <w:pPr>
        <w:pStyle w:val="ListBullet"/>
        <w:spacing w:after="40"/>
      </w:pPr>
      <w:r>
        <w:t>同一设备同一记录号不得重复入库。</w:t>
      </w:r>
    </w:p>
    <w:p>
      <w:pPr>
        <w:pStyle w:val="ListBullet"/>
        <w:spacing w:after="40"/>
      </w:pPr>
      <w:r>
        <w:t>原始报文和称重图片需按审计要求留存。</w:t>
      </w:r>
    </w:p>
    <w:p>
      <w:pPr>
        <w:spacing w:after="120"/>
      </w:pPr>
      <w:r>
        <w:t>输出结果</w:t>
      </w:r>
    </w:p>
    <w:p>
      <w:pPr>
        <w:pStyle w:val="ListBullet"/>
        <w:spacing w:after="40"/>
      </w:pPr>
      <w:r>
        <w:t>输出地磅记录、对账状态、业务回写结果、控制指令执行结果和异常记录。</w:t>
      </w:r>
    </w:p>
    <w:p>
      <w:pPr>
        <w:spacing w:after="120"/>
      </w:pPr>
      <w:r>
        <w:t>异常与提示</w:t>
      </w:r>
    </w:p>
    <w:p>
      <w:pPr>
        <w:pStyle w:val="ListBullet"/>
        <w:spacing w:after="40"/>
      </w:pPr>
      <w:r>
        <w:t>设备离线时提示离线时间和最近心跳。</w:t>
      </w:r>
    </w:p>
    <w:p>
      <w:pPr>
        <w:pStyle w:val="ListBullet"/>
        <w:spacing w:after="40"/>
      </w:pPr>
      <w:r>
        <w:t>称重异常时提示异常类型，如净重异常、重复记录、车牌不匹配。</w:t>
      </w:r>
    </w:p>
    <w:p>
      <w:pPr>
        <w:pStyle w:val="ListBullet"/>
        <w:spacing w:after="40"/>
      </w:pPr>
      <w:r>
        <w:t>回写失败时提示失败对象、失败原因和可重试入口。</w:t>
      </w:r>
    </w:p>
    <w:p>
      <w:pPr>
        <w:spacing w:after="120"/>
      </w:pPr>
      <w:r>
        <w:t>边界说明</w:t>
      </w:r>
    </w:p>
    <w:p>
      <w:pPr>
        <w:pStyle w:val="ListBullet"/>
        <w:spacing w:after="40"/>
      </w:pPr>
      <w:r>
        <w:t>地磅对接负责称重数据接入与对账，不替代场地业务人员对最终业务口径的人工确认职责。</w:t>
      </w:r>
    </w:p>
    <w:p>
      <w:pPr>
        <w:pStyle w:val="ListBullet"/>
        <w:spacing w:after="40"/>
      </w:pPr>
      <w:r>
        <w:t>业务结算逻辑仍由项目结算、场地结算等模块承接。</w:t>
      </w:r>
    </w:p>
    <w:p>
      <w:pPr>
        <w:pStyle w:val="Heading3"/>
      </w:pPr>
      <w:r>
        <w:t>5.5 统一身份认证与单点登录</w:t>
      </w:r>
    </w:p>
    <w:p>
      <w:pPr>
        <w:spacing w:after="120"/>
      </w:pPr>
      <w:r>
        <w:t>功能需求理解 该功能用于支持基于统一身份认证的跨平台免密访问，满足平台与外部监管系统、业务协同平台之间的单点登录要求。</w:t>
      </w:r>
    </w:p>
    <w:p>
      <w:pPr>
        <w:spacing w:after="120"/>
      </w:pPr>
      <w:r>
        <w:t>业务分析 单点登录能力不仅要实现“登录即通”，还要保证票据安全、会话一致、统一退出和登录审计，避免跨平台身份失控。</w:t>
      </w:r>
    </w:p>
    <w:p>
      <w:pPr>
        <w:spacing w:after="120"/>
      </w:pPr>
      <w:r>
        <w:t>适用角色</w:t>
      </w:r>
    </w:p>
    <w:p>
      <w:pPr>
        <w:pStyle w:val="ListBullet"/>
        <w:spacing w:after="40"/>
      </w:pPr>
      <w:r>
        <w:t>集成管理员</w:t>
      </w:r>
    </w:p>
    <w:p>
      <w:pPr>
        <w:pStyle w:val="ListBullet"/>
        <w:spacing w:after="40"/>
      </w:pPr>
      <w:r>
        <w:t>系统管理员</w:t>
      </w:r>
    </w:p>
    <w:p>
      <w:pPr>
        <w:pStyle w:val="ListBullet"/>
        <w:spacing w:after="40"/>
      </w:pPr>
      <w:r>
        <w:t>运维管理员</w:t>
      </w:r>
    </w:p>
    <w:p>
      <w:pPr>
        <w:spacing w:after="120"/>
      </w:pPr>
      <w:r>
        <w:t>业务前置条件</w:t>
      </w:r>
    </w:p>
    <w:p>
      <w:pPr>
        <w:pStyle w:val="ListBullet"/>
        <w:spacing w:after="40"/>
      </w:pPr>
      <w:r>
        <w:t>已明确身份源、票据协议、签名方式和回调地址。</w:t>
      </w:r>
    </w:p>
    <w:p>
      <w:pPr>
        <w:pStyle w:val="ListBullet"/>
        <w:spacing w:after="40"/>
      </w:pPr>
      <w:r>
        <w:t>已完成平台用户、组织、角色与外部身份标识的映射。</w:t>
      </w:r>
    </w:p>
    <w:p>
      <w:pPr>
        <w:pStyle w:val="ListBullet"/>
        <w:spacing w:after="40"/>
      </w:pPr>
      <w:r>
        <w:t>已定义票据有效期、刷新规则和统一退出规则。</w:t>
      </w:r>
    </w:p>
    <w:p>
      <w:pPr>
        <w:spacing w:after="120"/>
      </w:pPr>
      <w:r>
        <w:t>功能操作流程</w:t>
      </w:r>
    </w:p>
    <w:p>
      <w:pPr>
        <w:pStyle w:val="ListNumber"/>
        <w:spacing w:after="40"/>
      </w:pPr>
      <w:r>
        <w:t>外部平台生成登录票据并跳转至本平台入口。</w:t>
      </w:r>
    </w:p>
    <w:p>
      <w:pPr>
        <w:pStyle w:val="ListNumber"/>
        <w:spacing w:after="40"/>
      </w:pPr>
      <w:r>
        <w:t>本平台验证票据合法性、时效性和签名信息。</w:t>
      </w:r>
    </w:p>
    <w:p>
      <w:pPr>
        <w:pStyle w:val="ListNumber"/>
        <w:spacing w:after="40"/>
      </w:pPr>
      <w:r>
        <w:t>系统根据身份映射关系创建或恢复本地会话。</w:t>
      </w:r>
    </w:p>
    <w:p>
      <w:pPr>
        <w:pStyle w:val="ListNumber"/>
        <w:spacing w:after="40"/>
      </w:pPr>
      <w:r>
        <w:t>用户进入目标系统，无需重复输入账号密码。</w:t>
      </w:r>
    </w:p>
    <w:p>
      <w:pPr>
        <w:pStyle w:val="ListNumber"/>
        <w:spacing w:after="40"/>
      </w:pPr>
      <w:r>
        <w:t>退出时同步销毁本地会话和跨平台票据状态。</w:t>
      </w:r>
    </w:p>
    <w:p>
      <w:pPr>
        <w:spacing w:after="120"/>
      </w:pPr>
      <w:r>
        <w:t>页面展示要求</w:t>
      </w:r>
    </w:p>
    <w:p>
      <w:pPr>
        <w:pStyle w:val="ListBullet"/>
        <w:spacing w:after="40"/>
      </w:pPr>
      <w:r>
        <w:t>页面需展示 SSO 配置、票据状态、最近交换记录、失败原因和回调地址。</w:t>
      </w:r>
    </w:p>
    <w:p>
      <w:pPr>
        <w:pStyle w:val="ListBullet"/>
        <w:spacing w:after="40"/>
      </w:pPr>
      <w:r>
        <w:t>需支持查看登录日志、票据日志和失败交换记录。</w:t>
      </w:r>
    </w:p>
    <w:p>
      <w:pPr>
        <w:spacing w:after="120"/>
      </w:pPr>
      <w:r>
        <w:t>按钮及操作说明</w:t>
      </w:r>
    </w:p>
    <w:p>
      <w:pPr>
        <w:pStyle w:val="ListBullet"/>
        <w:spacing w:after="40"/>
      </w:pPr>
      <w:r>
        <w:t>配置连接：维护身份源地址、票据协议、签名密钥或证书、回调地址。</w:t>
      </w:r>
    </w:p>
    <w:p>
      <w:pPr>
        <w:pStyle w:val="ListBullet"/>
        <w:spacing w:after="40"/>
      </w:pPr>
      <w:r>
        <w:t>测试连接：验证票据交换链路、签名校验和回调可用性。</w:t>
      </w:r>
    </w:p>
    <w:p>
      <w:pPr>
        <w:pStyle w:val="ListBullet"/>
        <w:spacing w:after="40"/>
      </w:pPr>
      <w:r>
        <w:t>查看日志：查看票据创建、票据交换、会话恢复和统一退出日志。</w:t>
      </w:r>
    </w:p>
    <w:p>
      <w:pPr>
        <w:pStyle w:val="ListBullet"/>
        <w:spacing w:after="40"/>
      </w:pPr>
      <w:r>
        <w:t>重试：对失败的票据交换或回调事件重新执行处理。</w:t>
      </w:r>
    </w:p>
    <w:p>
      <w:pPr>
        <w:spacing w:after="120"/>
      </w:pPr>
      <w:r>
        <w:t>字段与内容限制</w:t>
      </w:r>
    </w:p>
    <w:p>
      <w:pPr>
        <w:pStyle w:val="ListBullet"/>
        <w:spacing w:after="40"/>
      </w:pPr>
      <w:r>
        <w:t>票据必须具备唯一编号、签发时间、过期时间和签名信息。</w:t>
      </w:r>
    </w:p>
    <w:p>
      <w:pPr>
        <w:pStyle w:val="ListBullet"/>
        <w:spacing w:after="40"/>
      </w:pPr>
      <w:r>
        <w:t>身份映射关系必须可追踪到本地用户、组织和角色。</w:t>
      </w:r>
    </w:p>
    <w:p>
      <w:pPr>
        <w:pStyle w:val="ListBullet"/>
        <w:spacing w:after="40"/>
      </w:pPr>
      <w:r>
        <w:t>退出日志和失败日志必须留痕，满足审计要求。</w:t>
      </w:r>
    </w:p>
    <w:p>
      <w:pPr>
        <w:spacing w:after="120"/>
      </w:pPr>
      <w:r>
        <w:t>输出结果</w:t>
      </w:r>
    </w:p>
    <w:p>
      <w:pPr>
        <w:pStyle w:val="ListBullet"/>
        <w:spacing w:after="40"/>
      </w:pPr>
      <w:r>
        <w:t>输出票据交换结果、登录状态、失败原因、会话标识和统一退出结果。</w:t>
      </w:r>
    </w:p>
    <w:p>
      <w:pPr>
        <w:spacing w:after="120"/>
      </w:pPr>
      <w:r>
        <w:t>异常与提示</w:t>
      </w:r>
    </w:p>
    <w:p>
      <w:pPr>
        <w:pStyle w:val="ListBullet"/>
        <w:spacing w:after="40"/>
      </w:pPr>
      <w:r>
        <w:t>票据过期时提示重新获取票据。</w:t>
      </w:r>
    </w:p>
    <w:p>
      <w:pPr>
        <w:pStyle w:val="ListBullet"/>
        <w:spacing w:after="40"/>
      </w:pPr>
      <w:r>
        <w:t>签名校验失败时提示身份源异常或密钥错误。</w:t>
      </w:r>
    </w:p>
    <w:p>
      <w:pPr>
        <w:pStyle w:val="ListBullet"/>
        <w:spacing w:after="40"/>
      </w:pPr>
      <w:r>
        <w:t>映射失败时提示未绑定本地账号或组织关系。</w:t>
      </w:r>
    </w:p>
    <w:p>
      <w:pPr>
        <w:spacing w:after="120"/>
      </w:pPr>
      <w:r>
        <w:t>边界说明</w:t>
      </w:r>
    </w:p>
    <w:p>
      <w:pPr>
        <w:pStyle w:val="ListBullet"/>
        <w:spacing w:after="40"/>
      </w:pPr>
      <w:r>
        <w:t>单点登录负责身份交换和会话建立，不替代本地权限模型和数据范围控制。</w:t>
      </w:r>
    </w:p>
    <w:p>
      <w:pPr>
        <w:pStyle w:val="ListBullet"/>
        <w:spacing w:after="40"/>
      </w:pPr>
      <w:r>
        <w:t>用户登录后的菜单、按钮和数据可见范围仍以本平台本地授权结果为准。</w:t>
      </w:r>
    </w:p>
    <w:p>
      <w:pPr>
        <w:pStyle w:val="Heading2"/>
      </w:pPr>
      <w:r>
        <w:t>6. 移动端能力要求</w:t>
      </w:r>
    </w:p>
    <w:p>
      <w:pPr>
        <w:pStyle w:val="ListBullet"/>
        <w:spacing w:after="40"/>
      </w:pPr>
      <w:r>
        <w:t>平台对接模块本身以后台配置台为主，但定位/GPS、统一身份认证与单点登录需要直接服务小程序和移动端访问。</w:t>
      </w:r>
    </w:p>
    <w:p>
      <w:pPr>
        <w:pStyle w:val="ListBullet"/>
        <w:spacing w:after="40"/>
      </w:pPr>
      <w:r>
        <w:t>移动端获取位置、轨迹、围栏结果时，必须由后台统一转发并做权限裁剪，不直接暴露第三方原始接口。</w:t>
      </w:r>
    </w:p>
    <w:p>
      <w:pPr>
        <w:pStyle w:val="ListBullet"/>
        <w:spacing w:after="40"/>
      </w:pPr>
      <w:r>
        <w:t>视频播放、定位查询、单点登录结果应兼容移动端的弱网和短会话场景。</w:t>
      </w:r>
    </w:p>
    <w:p>
      <w:pPr>
        <w:pStyle w:val="Heading2"/>
      </w:pPr>
      <w:r>
        <w:t>7. 业务规则与口径说明</w:t>
      </w:r>
    </w:p>
    <w:p>
      <w:pPr>
        <w:pStyle w:val="ListBullet"/>
        <w:spacing w:after="40"/>
      </w:pPr>
      <w:r>
        <w:t>对接配置、同步任务、同步日志、异常补偿和运维监控必须统一纳入对接中心治理。</w:t>
      </w:r>
    </w:p>
    <w:p>
      <w:pPr>
        <w:pStyle w:val="ListBullet"/>
        <w:spacing w:after="40"/>
      </w:pPr>
      <w:r>
        <w:t>外部数据先落原始记录或中间记录，再按业务规则回写业务主表，避免直接污染业务数据。</w:t>
      </w:r>
    </w:p>
    <w:p>
      <w:pPr>
        <w:pStyle w:val="ListBullet"/>
        <w:spacing w:after="40"/>
      </w:pPr>
      <w:r>
        <w:t>所有对接能力必须支持来源平台标识、批次号、外部编码和重试次数记录。</w:t>
      </w:r>
    </w:p>
    <w:p>
      <w:pPr>
        <w:pStyle w:val="Heading2"/>
      </w:pPr>
      <w:r>
        <w:t>8. 功能边界与非本期边界</w:t>
      </w:r>
    </w:p>
    <w:p>
      <w:pPr>
        <w:pStyle w:val="ListBullet"/>
        <w:spacing w:after="40"/>
      </w:pPr>
      <w:r>
        <w:t>本模块负责平台级对接能力建设，不替代业务模块的主流程管理职责。</w:t>
      </w:r>
    </w:p>
    <w:p>
      <w:pPr>
        <w:pStyle w:val="ListBullet"/>
        <w:spacing w:after="40"/>
      </w:pPr>
      <w:r>
        <w:t>各业务模块消费对接结果时，仍需执行本模块外的业务校验、流程校验和权限校验。</w:t>
      </w:r>
    </w:p>
    <w:p>
      <w:pPr>
        <w:pStyle w:val="Heading2"/>
      </w:pPr>
      <w:r>
        <w:t>9. 关键页面与按钮说明</w:t>
      </w:r>
    </w:p>
    <w:p>
      <w:pPr>
        <w:pStyle w:val="ListBullet"/>
        <w:spacing w:after="40"/>
      </w:pPr>
      <w:r>
        <w:t>对接首页需展示五类对接能力的接入状态、最近同步结果、异常数量和运维摘要。</w:t>
      </w:r>
    </w:p>
    <w:p>
      <w:pPr>
        <w:pStyle w:val="ListBullet"/>
        <w:spacing w:after="40"/>
      </w:pPr>
      <w:r>
        <w:t>每类对接页面需提供配置、测试、同步/拉取、日志、重试、结果查看等关键按钮。</w:t>
      </w:r>
    </w:p>
    <w:p>
      <w:pPr>
        <w:pStyle w:val="ListBullet"/>
        <w:spacing w:after="40"/>
      </w:pPr>
      <w:r>
        <w:t>高风险按钮如“立即同步”“重试”“配置连接”需提供二次确认和操作留痕。</w:t>
      </w:r>
    </w:p>
    <w:p>
      <w:pPr>
        <w:pStyle w:val="Heading2"/>
      </w:pPr>
      <w:r>
        <w:t>10. 输入项、输出项与内容限制</w:t>
      </w:r>
    </w:p>
    <w:p>
      <w:pPr>
        <w:pStyle w:val="ListBullet"/>
        <w:spacing w:after="40"/>
      </w:pPr>
      <w:r>
        <w:t>输入项包括连接地址、鉴权参数、设备映射、票据参数、过滤条件、时间窗、批次号等。</w:t>
      </w:r>
    </w:p>
    <w:p>
      <w:pPr>
        <w:pStyle w:val="ListBullet"/>
        <w:spacing w:after="40"/>
      </w:pPr>
      <w:r>
        <w:t>输出项包括同步结果、对账结果、日志编号、播放令牌、轨迹结果、票据交换结果等。</w:t>
      </w:r>
    </w:p>
    <w:p>
      <w:pPr>
        <w:pStyle w:val="ListBullet"/>
        <w:spacing w:after="40"/>
      </w:pPr>
      <w:r>
        <w:t>敏感字段如账号、密钥、证书、签名串等不得在前端明文展示。</w:t>
      </w:r>
    </w:p>
    <w:p>
      <w:pPr>
        <w:pStyle w:val="Heading2"/>
      </w:pPr>
      <w:r>
        <w:t>11. 异常场景与提示要求</w:t>
      </w:r>
    </w:p>
    <w:p>
      <w:pPr>
        <w:pStyle w:val="ListBullet"/>
        <w:spacing w:after="40"/>
      </w:pPr>
      <w:r>
        <w:t>对接异常需明确区分连接失败、鉴权失败、数据解析失败、业务映射失败、回写失败、超时失败。</w:t>
      </w:r>
    </w:p>
    <w:p>
      <w:pPr>
        <w:pStyle w:val="ListBullet"/>
        <w:spacing w:after="40"/>
      </w:pPr>
      <w:r>
        <w:t>所有异常需提供追踪编号、批次号、对象编号和建议处理方式。</w:t>
      </w:r>
    </w:p>
    <w:p>
      <w:pPr>
        <w:pStyle w:val="ListBullet"/>
        <w:spacing w:after="40"/>
      </w:pPr>
      <w:r>
        <w:t>对设备离线、轨迹中断、视频不可用、票据过期等关键异常需同步纳入运维告警。</w:t>
      </w:r>
    </w:p>
    <w:p>
      <w:pPr>
        <w:pStyle w:val="Heading2"/>
      </w:pPr>
      <w:r>
        <w:t>12. 与其他模块协同关系</w:t>
      </w:r>
    </w:p>
    <w:p>
      <w:pPr>
        <w:pStyle w:val="ListBullet"/>
        <w:spacing w:after="40"/>
      </w:pPr>
      <w:r>
        <w:t>与处置证、项目管理、消纳场地、数据看板、系统预警、小程序等模块形成数据联动。</w:t>
      </w:r>
    </w:p>
    <w:p>
      <w:pPr>
        <w:pStyle w:val="ListBullet"/>
        <w:spacing w:after="40"/>
      </w:pPr>
      <w:r>
        <w:t>与消息管理、系统日志、运维保障、安全合规方案形成统一治理链路。</w:t>
      </w:r>
    </w:p>
    <w:p>
      <w:pPr>
        <w:pStyle w:val="ListBullet"/>
        <w:spacing w:after="40"/>
      </w:pPr>
      <w:r>
        <w:t>与第三方系统对接专项方案互相引用，专项方案负责总体规范，本文件负责模块级落地要求。</w:t>
      </w:r>
    </w:p>
    <w:p>
      <w:pPr>
        <w:pStyle w:val="Heading2"/>
      </w:pPr>
      <w:r>
        <w:t>13. 本模块建设价值</w:t>
      </w:r>
    </w:p>
    <w:p>
      <w:pPr>
        <w:spacing w:after="120"/>
      </w:pPr>
      <w:r>
        <w:t>平台对接模块建设完成后，可有效消除外部系统接入分散、接口口径不统一、异常难排查的问题，为甲方提供面向监管、运营和移动端的一体化集成底座。</w:t>
      </w:r>
    </w:p>
    <w:p>
      <w:pPr>
        <w:sectPr>
          <w:pgSz w:w="12240" w:h="15840"/>
          <w:pgMar w:top="1440" w:right="1587" w:bottom="1440" w:left="1587" w:header="720" w:footer="720" w:gutter="0"/>
          <w:cols w:space="720"/>
          <w:docGrid w:linePitch="360"/>
        </w:sectPr>
      </w:pPr>
    </w:p>
    <w:p>
      <w:pPr>
        <w:pStyle w:val="Heading1"/>
      </w:pPr>
      <w:r>
        <w:t>消息管理需求方案</w:t>
      </w:r>
    </w:p>
    <w:p>
      <w:pPr>
        <w:pStyle w:val="Heading2"/>
      </w:pPr>
      <w:r>
        <w:t>1. 模块建设目标</w:t>
      </w:r>
    </w:p>
    <w:p>
      <w:pPr>
        <w:spacing w:after="120"/>
      </w:pPr>
      <w:r>
        <w:t>建立面向不同角色的统一消息中心与推送体系。</w:t>
      </w:r>
    </w:p>
    <w:p>
      <w:pPr>
        <w:pStyle w:val="Heading2"/>
      </w:pPr>
      <w:r>
        <w:t>2. 模块业务定位</w:t>
      </w:r>
    </w:p>
    <w:p>
      <w:pPr>
        <w:spacing w:after="120"/>
      </w:pPr>
      <w:r>
        <w:t>消息管理模块用于承接审批结果、预警事件、系统通知和移动端消息推送，强调按权限可见、按状态分类和可追溯。</w:t>
      </w:r>
    </w:p>
    <w:p>
      <w:pPr>
        <w:pStyle w:val="Heading2"/>
      </w:pPr>
      <w:r>
        <w:t>3. 适用角色与使用场景</w:t>
      </w:r>
    </w:p>
    <w:p>
      <w:pPr>
        <w:spacing w:after="120"/>
      </w:pPr>
      <w:r>
        <w:t>适用角色：全体业务人员、审批人员、平台管理员。 典型场景：建立面向不同角色的统一消息中心与推送体系。模块共包含 2 个核心功能点，覆盖消息管理、消息推送等业务场景，面向全体业务人员、审批人员、平台管理员等角色提供业务支撑。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消息管理</w:t>
            </w:r>
          </w:p>
        </w:tc>
        <w:tc>
          <w:tcPr>
            <w:tcW w:type="dxa" w:w="3022"/>
          </w:tcPr>
          <w:p>
            <w:pPr>
              <w:spacing w:after="40"/>
            </w:pPr>
            <w:r/>
            <w:r>
              <w:rPr>
                <w:rFonts w:ascii="Microsoft YaHei" w:hAnsi="Microsoft YaHei" w:eastAsia="Microsoft YaHei"/>
                <w:sz w:val="21"/>
              </w:rPr>
              <w:t>根据登录人员的数据权限展示自己的消息数据清单；消息按照不同的状态分类展示，并且支持时间筛选；</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消息推送</w:t>
            </w:r>
          </w:p>
        </w:tc>
        <w:tc>
          <w:tcPr>
            <w:tcW w:type="dxa" w:w="3022"/>
          </w:tcPr>
          <w:p>
            <w:pPr>
              <w:spacing w:after="40"/>
            </w:pPr>
            <w:r/>
            <w:r>
              <w:rPr>
                <w:rFonts w:ascii="Microsoft YaHei" w:hAnsi="Microsoft YaHei" w:eastAsia="Microsoft YaHei"/>
                <w:sz w:val="21"/>
              </w:rPr>
              <w:t>对接短信平台，实现重点审批环节的审批结果的通知；对接推送平台，实现平台所有重点流程结果的推送；</w:t>
            </w:r>
          </w:p>
        </w:tc>
      </w:tr>
    </w:tbl>
    <w:p/>
    <w:p>
      <w:pPr>
        <w:pStyle w:val="Heading2"/>
      </w:pPr>
      <w:r>
        <w:t>5. 功能需求逐项说明</w:t>
      </w:r>
    </w:p>
    <w:p>
      <w:pPr>
        <w:pStyle w:val="Heading3"/>
      </w:pPr>
      <w:r>
        <w:t>5.1 消息管理</w:t>
      </w:r>
    </w:p>
    <w:p>
      <w:pPr>
        <w:spacing w:after="120"/>
      </w:pPr>
      <w:r>
        <w:t>功能需求理解 根据登录人员的数据权限展示自己的消息数据清单；消息按照不同的状态分类展示，并且支持时间筛选；该功能需支撑业务主体在标准流程、异常场景和监管抽查场景下完成统一办理，并保证数据可追溯、结果可核验。</w:t>
      </w:r>
    </w:p>
    <w:p>
      <w:pPr>
        <w:spacing w:after="120"/>
      </w:pPr>
      <w:r>
        <w:t>业务分析 “消息管理”不仅服务单点操作，还需要与上游主数据、审批规则、消息通知和统计分析形成联动，确保业务从发起、处理、反馈到归档全程留痕。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全体业务人员、审批人员、平台管理员</w:t>
      </w:r>
    </w:p>
    <w:p>
      <w:pPr>
        <w:spacing w:after="120"/>
      </w:pPr>
      <w:r>
        <w:t>业务前置条件</w:t>
      </w:r>
    </w:p>
    <w:p>
      <w:pPr>
        <w:pStyle w:val="ListBullet"/>
        <w:spacing w:after="40"/>
      </w:pPr>
      <w:r>
        <w:t>已完成消息管理相关主数据建档并通过角色授权。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用户进入“消息管理”功能页面，按角色权限选择查询范围或业务对象。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校验通过后，系统执行“消息管理”对应的业务处理、状态流转或统计计算。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核心展示内容至少覆盖：根据登录人员的数据权限展示自己的消息数据清单；消息按照不同的状态分类展示，并且支持时间筛选。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“消息管理”应以消息管理模块的业务对象为主，不替代其他模块的主数据维护职责。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5.2 消息推送</w:t>
      </w:r>
    </w:p>
    <w:p>
      <w:pPr>
        <w:spacing w:after="120"/>
      </w:pPr>
      <w:r>
        <w:t>功能需求理解 对接短信平台，实现重点审批环节的审批结果的通知；对接推送平台，实现平台所有重点流程结果的推送；该功能需支撑业务主体在标准流程、异常场景和监管抽查场景下完成统一办理，并保证数据可追溯、结果可核验。</w:t>
      </w:r>
    </w:p>
    <w:p>
      <w:pPr>
        <w:spacing w:after="120"/>
      </w:pPr>
      <w:r>
        <w:t>业务分析 “消息推送”不仅服务单点操作，还需要与上游主数据、审批规则、消息通知和统计分析形成联动，确保业务从发起、处理、反馈到归档全程留痕。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全体业务人员、审批人员、平台管理员</w:t>
      </w:r>
    </w:p>
    <w:p>
      <w:pPr>
        <w:spacing w:after="120"/>
      </w:pPr>
      <w:r>
        <w:t>业务前置条件</w:t>
      </w:r>
    </w:p>
    <w:p>
      <w:pPr>
        <w:pStyle w:val="ListBullet"/>
        <w:spacing w:after="40"/>
      </w:pPr>
      <w:r>
        <w:t>已完成消息管理相关主数据建档并通过角色授权。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用户进入“消息推送”功能页面，按角色权限选择查询范围或业务对象。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校验通过后，系统执行“消息推送”对应的业务处理、状态流转或统计计算。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核心展示内容至少覆盖：对接短信平台，实现重点审批环节的审批结果的通知；对接推送平台，实现平台所有重点流程结果的推送。</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“消息推送”应以消息管理模块的业务对象为主，不替代其他模块的主数据维护职责。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2"/>
      </w:pPr>
      <w:r>
        <w:t>6. 移动端能力要求</w:t>
      </w:r>
    </w:p>
    <w:p>
      <w:pPr>
        <w:spacing w:after="120"/>
      </w:pPr>
      <w:r>
        <w:t>本模块涉及移动端能力的功能点包括：消息管理、消息推送。</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消息管理模块建设完成后，可显著提升业务办理规范性、过程透明度、数据可追溯性和监管支撑能力，为平台整体经营管理和风险管控提供稳定基础。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小程序需求方案</w:t>
      </w:r>
    </w:p>
    <w:p>
      <w:pPr>
        <w:pStyle w:val="Heading2"/>
      </w:pPr>
      <w:r>
        <w:t>1. 模块建设目标</w:t>
      </w:r>
    </w:p>
    <w:p>
      <w:pPr>
        <w:spacing w:after="120"/>
      </w:pPr>
      <w:r>
        <w:t>建设覆盖移动端登录、拍照、打卡、申报、查询、学习、分享的移动业务门户。</w:t>
      </w:r>
    </w:p>
    <w:p>
      <w:pPr>
        <w:pStyle w:val="Heading2"/>
      </w:pPr>
      <w:r>
        <w:t>2. 模块业务定位</w:t>
      </w:r>
    </w:p>
    <w:p>
      <w:pPr>
        <w:spacing w:after="120"/>
      </w:pPr>
      <w:r>
        <w:t>小程序模块是平台向现场和移动角色延伸的重要渠道，需要提供轻量交互、定位拍照、消息触达、离散工单和轨迹查询等能力。</w:t>
      </w:r>
    </w:p>
    <w:p>
      <w:pPr>
        <w:pStyle w:val="Heading2"/>
      </w:pPr>
      <w:r>
        <w:t>3. 适用角色与使用场景</w:t>
      </w:r>
    </w:p>
    <w:p>
      <w:pPr>
        <w:spacing w:after="120"/>
      </w:pPr>
      <w:r>
        <w:t>适用角色：场地人员、司机、项目经办人、建设/施工单位人员。 典型场景：建设覆盖移动端登录、拍照、打卡、申报、查询、学习、分享的移动业务门户。模块共包含 16 个核心功能点，覆盖消纳清单、事件上报、出土单位、出土拍照等业务场景，面向场地人员、司机、项目经办人等角色提供业务支撑。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消纳清单</w:t>
            </w:r>
          </w:p>
        </w:tc>
        <w:tc>
          <w:tcPr>
            <w:tcW w:type="dxa" w:w="3022"/>
          </w:tcPr>
          <w:p>
            <w:pPr>
              <w:spacing w:after="40"/>
            </w:pPr>
            <w:r/>
            <w:r>
              <w:rPr>
                <w:rFonts w:ascii="Microsoft YaHei" w:hAnsi="Microsoft YaHei" w:eastAsia="Microsoft YaHei"/>
                <w:sz w:val="21"/>
              </w:rPr>
              <w:t>支持消纳场地人员登录，并查看消纳清单数据的功能；</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事件上报</w:t>
            </w:r>
          </w:p>
        </w:tc>
        <w:tc>
          <w:tcPr>
            <w:tcW w:type="dxa" w:w="3022"/>
          </w:tcPr>
          <w:p>
            <w:pPr>
              <w:spacing w:after="40"/>
            </w:pPr>
            <w:r/>
            <w:r>
              <w:rPr>
                <w:rFonts w:ascii="Microsoft YaHei" w:hAnsi="Microsoft YaHei" w:eastAsia="Microsoft YaHei"/>
                <w:sz w:val="21"/>
              </w:rPr>
              <w:t>支持简易事件的人工上报，包含事件的标题、图片、内容等信息；</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出土单位</w:t>
            </w:r>
          </w:p>
        </w:tc>
        <w:tc>
          <w:tcPr>
            <w:tcW w:type="dxa" w:w="3022"/>
          </w:tcPr>
          <w:p>
            <w:pPr>
              <w:spacing w:after="40"/>
            </w:pPr>
            <w:r/>
            <w:r>
              <w:rPr>
                <w:rFonts w:ascii="Microsoft YaHei" w:hAnsi="Microsoft YaHei" w:eastAsia="Microsoft YaHei"/>
                <w:sz w:val="21"/>
              </w:rPr>
              <w:t>支持建设单位/施工单位登录，根据当前登录账号数据权限查看项目数据，以及项目消纳清单数据的查看；</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出土拍照</w:t>
            </w:r>
          </w:p>
        </w:tc>
        <w:tc>
          <w:tcPr>
            <w:tcW w:type="dxa" w:w="3022"/>
          </w:tcPr>
          <w:p>
            <w:pPr>
              <w:spacing w:after="40"/>
            </w:pPr>
            <w:r/>
            <w:r>
              <w:rPr>
                <w:rFonts w:ascii="Microsoft YaHei" w:hAnsi="Microsoft YaHei" w:eastAsia="Microsoft YaHei"/>
                <w:sz w:val="21"/>
              </w:rPr>
              <w:t>支持按项目出土打卡功能、车牌拍照识别；</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打卡异常申报</w:t>
            </w:r>
          </w:p>
        </w:tc>
        <w:tc>
          <w:tcPr>
            <w:tcW w:type="dxa" w:w="3022"/>
          </w:tcPr>
          <w:p>
            <w:pPr>
              <w:spacing w:after="40"/>
            </w:pPr>
            <w:r/>
            <w:r>
              <w:rPr>
                <w:rFonts w:ascii="Microsoft YaHei" w:hAnsi="Microsoft YaHei" w:eastAsia="Microsoft YaHei"/>
                <w:sz w:val="21"/>
              </w:rPr>
              <w:t>支持异常打卡数据和延期消纳情况申报；</w:t>
            </w:r>
          </w:p>
        </w:tc>
      </w:tr>
      <w:tr>
        <w:tc>
          <w:tcPr>
            <w:tcW w:type="dxa" w:w="3022"/>
          </w:tcPr>
          <w:p>
            <w:pPr>
              <w:spacing w:after="40"/>
            </w:pPr>
            <w:r/>
            <w:r>
              <w:rPr>
                <w:rFonts w:ascii="Microsoft YaHei" w:hAnsi="Microsoft YaHei" w:eastAsia="Microsoft YaHei"/>
                <w:sz w:val="21"/>
              </w:rPr>
              <w:t>6</w:t>
            </w:r>
          </w:p>
        </w:tc>
        <w:tc>
          <w:tcPr>
            <w:tcW w:type="dxa" w:w="3022"/>
          </w:tcPr>
          <w:p>
            <w:pPr>
              <w:spacing w:after="40"/>
            </w:pPr>
            <w:r/>
            <w:r>
              <w:rPr>
                <w:rFonts w:ascii="Microsoft YaHei" w:hAnsi="Microsoft YaHei" w:eastAsia="Microsoft YaHei"/>
                <w:sz w:val="21"/>
              </w:rPr>
              <w:t>消纳场</w:t>
            </w:r>
          </w:p>
        </w:tc>
        <w:tc>
          <w:tcPr>
            <w:tcW w:type="dxa" w:w="3022"/>
          </w:tcPr>
          <w:p>
            <w:pPr>
              <w:spacing w:after="40"/>
            </w:pPr>
            <w:r/>
            <w:r>
              <w:rPr>
                <w:rFonts w:ascii="Microsoft YaHei" w:hAnsi="Microsoft YaHei" w:eastAsia="Microsoft YaHei"/>
                <w:sz w:val="21"/>
              </w:rPr>
              <w:t>支持消纳场人员的登录，登录后可以查看消纳场地基础信息以及场地消纳数据；</w:t>
            </w:r>
          </w:p>
        </w:tc>
      </w:tr>
      <w:tr>
        <w:tc>
          <w:tcPr>
            <w:tcW w:type="dxa" w:w="3022"/>
          </w:tcPr>
          <w:p>
            <w:pPr>
              <w:spacing w:after="40"/>
            </w:pPr>
            <w:r/>
            <w:r>
              <w:rPr>
                <w:rFonts w:ascii="Microsoft YaHei" w:hAnsi="Microsoft YaHei" w:eastAsia="Microsoft YaHei"/>
                <w:sz w:val="21"/>
              </w:rPr>
              <w:t>7</w:t>
            </w:r>
          </w:p>
        </w:tc>
        <w:tc>
          <w:tcPr>
            <w:tcW w:type="dxa" w:w="3022"/>
          </w:tcPr>
          <w:p>
            <w:pPr>
              <w:spacing w:after="40"/>
            </w:pPr>
            <w:r/>
            <w:r>
              <w:rPr>
                <w:rFonts w:ascii="Microsoft YaHei" w:hAnsi="Microsoft YaHei" w:eastAsia="Microsoft YaHei"/>
                <w:sz w:val="21"/>
              </w:rPr>
              <w:t>手动消纳</w:t>
            </w:r>
          </w:p>
        </w:tc>
        <w:tc>
          <w:tcPr>
            <w:tcW w:type="dxa" w:w="3022"/>
          </w:tcPr>
          <w:p>
            <w:pPr>
              <w:spacing w:after="40"/>
            </w:pPr>
            <w:r/>
            <w:r>
              <w:rPr>
                <w:rFonts w:ascii="Microsoft YaHei" w:hAnsi="Microsoft YaHei" w:eastAsia="Microsoft YaHei"/>
                <w:sz w:val="21"/>
              </w:rPr>
              <w:t>支持当出现停电等异常情况下，消纳人员可以手动拍照消纳；</w:t>
            </w:r>
          </w:p>
        </w:tc>
      </w:tr>
      <w:tr>
        <w:tc>
          <w:tcPr>
            <w:tcW w:type="dxa" w:w="3022"/>
          </w:tcPr>
          <w:p>
            <w:pPr>
              <w:spacing w:after="40"/>
            </w:pPr>
            <w:r/>
            <w:r>
              <w:rPr>
                <w:rFonts w:ascii="Microsoft YaHei" w:hAnsi="Microsoft YaHei" w:eastAsia="Microsoft YaHei"/>
                <w:sz w:val="21"/>
              </w:rPr>
              <w:t>8</w:t>
            </w:r>
          </w:p>
        </w:tc>
        <w:tc>
          <w:tcPr>
            <w:tcW w:type="dxa" w:w="3022"/>
          </w:tcPr>
          <w:p>
            <w:pPr>
              <w:spacing w:after="40"/>
            </w:pPr>
            <w:r/>
            <w:r>
              <w:rPr>
                <w:rFonts w:ascii="Microsoft YaHei" w:hAnsi="Microsoft YaHei" w:eastAsia="Microsoft YaHei"/>
                <w:sz w:val="21"/>
              </w:rPr>
              <w:t>延期申报</w:t>
            </w:r>
          </w:p>
        </w:tc>
        <w:tc>
          <w:tcPr>
            <w:tcW w:type="dxa" w:w="3022"/>
          </w:tcPr>
          <w:p>
            <w:pPr>
              <w:spacing w:after="40"/>
            </w:pPr>
            <w:r/>
            <w:r>
              <w:rPr>
                <w:rFonts w:ascii="Microsoft YaHei" w:hAnsi="Microsoft YaHei" w:eastAsia="Microsoft YaHei"/>
                <w:sz w:val="21"/>
              </w:rPr>
              <w:t>渣土消纳运输时因不可避免的原因需要进行延期消纳的申报，支持用户进行申请上报；</w:t>
            </w:r>
          </w:p>
        </w:tc>
      </w:tr>
      <w:tr>
        <w:tc>
          <w:tcPr>
            <w:tcW w:type="dxa" w:w="3022"/>
          </w:tcPr>
          <w:p>
            <w:pPr>
              <w:spacing w:after="40"/>
            </w:pPr>
            <w:r/>
            <w:r>
              <w:rPr>
                <w:rFonts w:ascii="Microsoft YaHei" w:hAnsi="Microsoft YaHei" w:eastAsia="Microsoft YaHei"/>
                <w:sz w:val="21"/>
              </w:rPr>
              <w:t>9</w:t>
            </w:r>
          </w:p>
        </w:tc>
        <w:tc>
          <w:tcPr>
            <w:tcW w:type="dxa" w:w="3022"/>
          </w:tcPr>
          <w:p>
            <w:pPr>
              <w:spacing w:after="40"/>
            </w:pPr>
            <w:r/>
            <w:r>
              <w:rPr>
                <w:rFonts w:ascii="Microsoft YaHei" w:hAnsi="Microsoft YaHei" w:eastAsia="Microsoft YaHei"/>
                <w:sz w:val="21"/>
              </w:rPr>
              <w:t>统计报表</w:t>
            </w:r>
          </w:p>
        </w:tc>
        <w:tc>
          <w:tcPr>
            <w:tcW w:type="dxa" w:w="3022"/>
          </w:tcPr>
          <w:p>
            <w:pPr>
              <w:spacing w:after="40"/>
            </w:pPr>
            <w:r/>
            <w:r>
              <w:rPr>
                <w:rFonts w:ascii="Microsoft YaHei" w:hAnsi="Microsoft YaHei" w:eastAsia="Microsoft YaHei"/>
                <w:sz w:val="21"/>
              </w:rPr>
              <w:t>1.支持移动端的场地报表生成、展示和分享；2.支持移动端的项目报表生成、展示和分享；</w:t>
            </w:r>
          </w:p>
        </w:tc>
      </w:tr>
      <w:tr>
        <w:tc>
          <w:tcPr>
            <w:tcW w:type="dxa" w:w="3022"/>
          </w:tcPr>
          <w:p>
            <w:pPr>
              <w:spacing w:after="40"/>
            </w:pPr>
            <w:r/>
            <w:r>
              <w:rPr>
                <w:rFonts w:ascii="Microsoft YaHei" w:hAnsi="Microsoft YaHei" w:eastAsia="Microsoft YaHei"/>
                <w:sz w:val="21"/>
              </w:rPr>
              <w:t>10</w:t>
            </w:r>
          </w:p>
        </w:tc>
        <w:tc>
          <w:tcPr>
            <w:tcW w:type="dxa" w:w="3022"/>
          </w:tcPr>
          <w:p>
            <w:pPr>
              <w:spacing w:after="40"/>
            </w:pPr>
            <w:r/>
            <w:r>
              <w:rPr>
                <w:rFonts w:ascii="Microsoft YaHei" w:hAnsi="Microsoft YaHei" w:eastAsia="Microsoft YaHei"/>
                <w:sz w:val="21"/>
              </w:rPr>
              <w:t>密码修改</w:t>
            </w:r>
          </w:p>
        </w:tc>
        <w:tc>
          <w:tcPr>
            <w:tcW w:type="dxa" w:w="3022"/>
          </w:tcPr>
          <w:p>
            <w:pPr>
              <w:spacing w:after="40"/>
            </w:pPr>
            <w:r/>
            <w:r>
              <w:rPr>
                <w:rFonts w:ascii="Microsoft YaHei" w:hAnsi="Microsoft YaHei" w:eastAsia="Microsoft YaHei"/>
                <w:sz w:val="21"/>
              </w:rPr>
              <w:t>支持个人密码的修改，通过旧密码校验修改和短信验证修改；</w:t>
            </w:r>
          </w:p>
        </w:tc>
      </w:tr>
      <w:tr>
        <w:tc>
          <w:tcPr>
            <w:tcW w:type="dxa" w:w="3022"/>
          </w:tcPr>
          <w:p>
            <w:pPr>
              <w:spacing w:after="40"/>
            </w:pPr>
            <w:r/>
            <w:r>
              <w:rPr>
                <w:rFonts w:ascii="Microsoft YaHei" w:hAnsi="Microsoft YaHei" w:eastAsia="Microsoft YaHei"/>
                <w:sz w:val="21"/>
              </w:rPr>
              <w:t>11</w:t>
            </w:r>
          </w:p>
        </w:tc>
        <w:tc>
          <w:tcPr>
            <w:tcW w:type="dxa" w:w="3022"/>
          </w:tcPr>
          <w:p>
            <w:pPr>
              <w:spacing w:after="40"/>
            </w:pPr>
            <w:r/>
            <w:r>
              <w:rPr>
                <w:rFonts w:ascii="Microsoft YaHei" w:hAnsi="Microsoft YaHei" w:eastAsia="Microsoft YaHei"/>
                <w:sz w:val="21"/>
              </w:rPr>
              <w:t>账号绑定</w:t>
            </w:r>
          </w:p>
        </w:tc>
        <w:tc>
          <w:tcPr>
            <w:tcW w:type="dxa" w:w="3022"/>
          </w:tcPr>
          <w:p>
            <w:pPr>
              <w:spacing w:after="40"/>
            </w:pPr>
            <w:r/>
            <w:r>
              <w:rPr>
                <w:rFonts w:ascii="Microsoft YaHei" w:hAnsi="Microsoft YaHei" w:eastAsia="Microsoft YaHei"/>
                <w:sz w:val="21"/>
              </w:rPr>
              <w:t>支持和微信账号绑定，实现免账号登录已经系统消息的推送</w:t>
            </w:r>
          </w:p>
        </w:tc>
      </w:tr>
      <w:tr>
        <w:tc>
          <w:tcPr>
            <w:tcW w:type="dxa" w:w="3022"/>
          </w:tcPr>
          <w:p>
            <w:pPr>
              <w:spacing w:after="40"/>
            </w:pPr>
            <w:r/>
            <w:r>
              <w:rPr>
                <w:rFonts w:ascii="Microsoft YaHei" w:hAnsi="Microsoft YaHei" w:eastAsia="Microsoft YaHei"/>
                <w:sz w:val="21"/>
              </w:rPr>
              <w:t>12</w:t>
            </w:r>
          </w:p>
        </w:tc>
        <w:tc>
          <w:tcPr>
            <w:tcW w:type="dxa" w:w="3022"/>
          </w:tcPr>
          <w:p>
            <w:pPr>
              <w:spacing w:after="40"/>
            </w:pPr>
            <w:r/>
            <w:r>
              <w:rPr>
                <w:rFonts w:ascii="Microsoft YaHei" w:hAnsi="Microsoft YaHei" w:eastAsia="Microsoft YaHei"/>
                <w:sz w:val="21"/>
              </w:rPr>
              <w:t>问题反馈</w:t>
            </w:r>
          </w:p>
        </w:tc>
        <w:tc>
          <w:tcPr>
            <w:tcW w:type="dxa" w:w="3022"/>
          </w:tcPr>
          <w:p>
            <w:pPr>
              <w:spacing w:after="40"/>
            </w:pPr>
            <w:r/>
            <w:r>
              <w:rPr>
                <w:rFonts w:ascii="Microsoft YaHei" w:hAnsi="Microsoft YaHei" w:eastAsia="Microsoft YaHei"/>
                <w:sz w:val="21"/>
              </w:rPr>
              <w:t>支持系统问题反馈</w:t>
            </w:r>
          </w:p>
        </w:tc>
      </w:tr>
      <w:tr>
        <w:tc>
          <w:tcPr>
            <w:tcW w:type="dxa" w:w="3022"/>
          </w:tcPr>
          <w:p>
            <w:pPr>
              <w:spacing w:after="40"/>
            </w:pPr>
            <w:r/>
            <w:r>
              <w:rPr>
                <w:rFonts w:ascii="Microsoft YaHei" w:hAnsi="Microsoft YaHei" w:eastAsia="Microsoft YaHei"/>
                <w:sz w:val="21"/>
              </w:rPr>
              <w:t>13</w:t>
            </w:r>
          </w:p>
        </w:tc>
        <w:tc>
          <w:tcPr>
            <w:tcW w:type="dxa" w:w="3022"/>
          </w:tcPr>
          <w:p>
            <w:pPr>
              <w:spacing w:after="40"/>
            </w:pPr>
            <w:r/>
            <w:r>
              <w:rPr>
                <w:rFonts w:ascii="Microsoft YaHei" w:hAnsi="Microsoft YaHei" w:eastAsia="Microsoft YaHei"/>
                <w:sz w:val="21"/>
              </w:rPr>
              <w:t>登录</w:t>
            </w:r>
          </w:p>
        </w:tc>
        <w:tc>
          <w:tcPr>
            <w:tcW w:type="dxa" w:w="3022"/>
          </w:tcPr>
          <w:p>
            <w:pPr>
              <w:spacing w:after="40"/>
            </w:pPr>
            <w:r/>
            <w:r>
              <w:rPr>
                <w:rFonts w:ascii="Microsoft YaHei" w:hAnsi="Microsoft YaHei" w:eastAsia="Microsoft YaHei"/>
                <w:sz w:val="21"/>
              </w:rPr>
              <w:t>实现平台账号密码、手机短信二次校验的登录；</w:t>
            </w:r>
          </w:p>
        </w:tc>
      </w:tr>
      <w:tr>
        <w:tc>
          <w:tcPr>
            <w:tcW w:type="dxa" w:w="3022"/>
          </w:tcPr>
          <w:p>
            <w:pPr>
              <w:spacing w:after="40"/>
            </w:pPr>
            <w:r/>
            <w:r>
              <w:rPr>
                <w:rFonts w:ascii="Microsoft YaHei" w:hAnsi="Microsoft YaHei" w:eastAsia="Microsoft YaHei"/>
                <w:sz w:val="21"/>
              </w:rPr>
              <w:t>14</w:t>
            </w:r>
          </w:p>
        </w:tc>
        <w:tc>
          <w:tcPr>
            <w:tcW w:type="dxa" w:w="3022"/>
          </w:tcPr>
          <w:p>
            <w:pPr>
              <w:spacing w:after="40"/>
            </w:pPr>
            <w:r/>
            <w:r>
              <w:rPr>
                <w:rFonts w:ascii="Microsoft YaHei" w:hAnsi="Microsoft YaHei" w:eastAsia="Microsoft YaHei"/>
                <w:sz w:val="21"/>
              </w:rPr>
              <w:t>车辆检查</w:t>
            </w:r>
          </w:p>
        </w:tc>
        <w:tc>
          <w:tcPr>
            <w:tcW w:type="dxa" w:w="3022"/>
          </w:tcPr>
          <w:p>
            <w:pPr>
              <w:spacing w:after="40"/>
            </w:pPr>
            <w:r/>
            <w:r>
              <w:rPr>
                <w:rFonts w:ascii="Microsoft YaHei" w:hAnsi="Microsoft YaHei" w:eastAsia="Microsoft YaHei"/>
                <w:sz w:val="21"/>
              </w:rPr>
              <w:t>司机按调度指令接车后，可以通过小程序拍摄车辆状况照片及车辆必备相关证件照片上传系统留存。</w:t>
            </w:r>
          </w:p>
        </w:tc>
      </w:tr>
      <w:tr>
        <w:tc>
          <w:tcPr>
            <w:tcW w:type="dxa" w:w="3022"/>
          </w:tcPr>
          <w:p>
            <w:pPr>
              <w:spacing w:after="40"/>
            </w:pPr>
            <w:r/>
            <w:r>
              <w:rPr>
                <w:rFonts w:ascii="Microsoft YaHei" w:hAnsi="Microsoft YaHei" w:eastAsia="Microsoft YaHei"/>
                <w:sz w:val="21"/>
              </w:rPr>
              <w:t>15</w:t>
            </w:r>
          </w:p>
        </w:tc>
        <w:tc>
          <w:tcPr>
            <w:tcW w:type="dxa" w:w="3022"/>
          </w:tcPr>
          <w:p>
            <w:pPr>
              <w:spacing w:after="40"/>
            </w:pPr>
            <w:r/>
            <w:r>
              <w:rPr>
                <w:rFonts w:ascii="Microsoft YaHei" w:hAnsi="Microsoft YaHei" w:eastAsia="Microsoft YaHei"/>
                <w:sz w:val="21"/>
              </w:rPr>
              <w:t>车辆实时查询</w:t>
            </w:r>
          </w:p>
        </w:tc>
        <w:tc>
          <w:tcPr>
            <w:tcW w:type="dxa" w:w="3022"/>
          </w:tcPr>
          <w:p>
            <w:pPr>
              <w:spacing w:after="40"/>
            </w:pPr>
            <w:r/>
            <w:r>
              <w:rPr>
                <w:rFonts w:ascii="Microsoft YaHei" w:hAnsi="Microsoft YaHei" w:eastAsia="Microsoft YaHei"/>
                <w:sz w:val="21"/>
              </w:rPr>
              <w:t>移动端实现车辆行驶速度、车牌号、运行状态、速度、位置信息、不同播放速度的历史轨迹回放、车辆停止信息查询、电子围栏设置，围栏半径设置、围栏名称、车辆选择、围栏警告时间、警告进出方向设置、功能使用人的权限管理</w:t>
            </w:r>
          </w:p>
        </w:tc>
      </w:tr>
      <w:tr>
        <w:tc>
          <w:tcPr>
            <w:tcW w:type="dxa" w:w="3022"/>
          </w:tcPr>
          <w:p>
            <w:pPr>
              <w:spacing w:after="40"/>
            </w:pPr>
            <w:r/>
            <w:r>
              <w:rPr>
                <w:rFonts w:ascii="Microsoft YaHei" w:hAnsi="Microsoft YaHei" w:eastAsia="Microsoft YaHei"/>
                <w:sz w:val="21"/>
              </w:rPr>
              <w:t>16</w:t>
            </w:r>
          </w:p>
        </w:tc>
        <w:tc>
          <w:tcPr>
            <w:tcW w:type="dxa" w:w="3022"/>
          </w:tcPr>
          <w:p>
            <w:pPr>
              <w:spacing w:after="40"/>
            </w:pPr>
            <w:r/>
            <w:r>
              <w:rPr>
                <w:rFonts w:ascii="Microsoft YaHei" w:hAnsi="Microsoft YaHei" w:eastAsia="Microsoft YaHei"/>
                <w:sz w:val="21"/>
              </w:rPr>
              <w:t>安全教育</w:t>
            </w:r>
          </w:p>
        </w:tc>
        <w:tc>
          <w:tcPr>
            <w:tcW w:type="dxa" w:w="3022"/>
          </w:tcPr>
          <w:p>
            <w:pPr>
              <w:spacing w:after="40"/>
            </w:pPr>
            <w:r/>
            <w:r>
              <w:rPr>
                <w:rFonts w:ascii="Microsoft YaHei" w:hAnsi="Microsoft YaHei" w:eastAsia="Microsoft YaHei"/>
                <w:sz w:val="21"/>
              </w:rPr>
              <w:t>移动端人工上报简易事件，填写标题/上传图片/描述内容，快速上报、视频或者文档安全教育学习，学习过程上随机时间人脸识别验证。</w:t>
            </w:r>
          </w:p>
        </w:tc>
      </w:tr>
    </w:tbl>
    <w:p/>
    <w:p>
      <w:pPr>
        <w:pStyle w:val="Heading2"/>
      </w:pPr>
      <w:r>
        <w:t>5. 功能需求逐项说明</w:t>
      </w:r>
    </w:p>
    <w:p>
      <w:pPr>
        <w:pStyle w:val="Heading3"/>
      </w:pPr>
      <w:r>
        <w:t>5.1 消纳清单</w:t>
      </w:r>
    </w:p>
    <w:p>
      <w:pPr>
        <w:spacing w:after="120"/>
      </w:pPr>
      <w:r>
        <w:t>功能需求理解 支持消纳场地人员登录，并查看消纳清单数据的功能；该功能需支撑业务主体在标准流程、异常场景和监管抽查场景下完成统一办理，并保证数据可追溯、结果可核验。</w:t>
      </w:r>
    </w:p>
    <w:p>
      <w:pPr>
        <w:spacing w:after="120"/>
      </w:pPr>
      <w:r>
        <w:t>业务分析 “消纳清单”不仅服务单点操作，还需要与上游主数据、审批规则、消息通知和统计分析形成联动，确保业务从发起、处理、反馈到归档全程留痕。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用户进入“消纳清单”功能页面，按角色权限选择查询范围或业务对象。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校验通过后，系统执行“消纳清单”对应的业务处理、状态流转或统计计算。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核心展示内容至少覆盖：支持消纳场地人员登录，并查看消纳清单数据的功能。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重置：清空当前筛选条件并恢复默认查询口径。</w:t>
      </w:r>
    </w:p>
    <w:p>
      <w:pPr>
        <w:pStyle w:val="ListBullet"/>
        <w:spacing w:after="40"/>
      </w:pPr>
      <w:r>
        <w:t>查看详情：打开详情页或详情抽屉，展示全量业务信息、流程轨迹、附件和历史记录。</w:t>
      </w:r>
    </w:p>
    <w:p>
      <w:pPr>
        <w:pStyle w:val="ListBullet"/>
        <w:spacing w:after="40"/>
      </w:pPr>
      <w:r>
        <w:t>导出：仅在用户具备导出权限且当前结果集不为空时显示，点击后生成导出任务并返回任务编号。</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“消纳清单”应以小程序模块的业务对象为主，不替代其他模块的主数据维护职责。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5.2 事件上报</w:t>
      </w:r>
    </w:p>
    <w:p>
      <w:pPr>
        <w:spacing w:after="120"/>
      </w:pPr>
      <w:r>
        <w:t>功能需求理解 支持简易事件的人工上报，包含事件的标题、图片、内容等信息；该功能需支撑业务主体在标准流程、异常场景和监管抽查场景下完成统一办理，并保证数据可追溯、结果可核验。</w:t>
      </w:r>
    </w:p>
    <w:p>
      <w:pPr>
        <w:spacing w:after="120"/>
      </w:pPr>
      <w:r>
        <w:t>业务分析 “事件上报”不仅服务单点操作，还需要与上游主数据、审批规则、消息通知和统计分析形成联动，确保业务从发起、处理、反馈到归档全程留痕。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用户进入“事件上报”功能页面，按角色权限选择查询范围或业务对象。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校验通过后，系统执行“事件上报”对应的业务处理、状态流转或统计计算。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核心展示内容至少覆盖：支持简易事件的人工上报，包含事件的标题、图片、内容等信息。</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“事件上报”应以小程序模块的业务对象为主，不替代其他模块的主数据维护职责。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出土单位</w:t>
      </w:r>
    </w:p>
    <w:p>
      <w:pPr>
        <w:spacing w:after="120"/>
      </w:pPr>
      <w:r>
        <w:t>功能需求理解 支持建设单位/施工单位登录，根据当前登录账号数据权限查看项目数据，以及项目消纳清单数据的查看；该功能需支撑业务主体在标准流程、异常场景和监管抽查场景下完成统一办理，并保证数据可追溯、结果可核验。</w:t>
      </w:r>
    </w:p>
    <w:p>
      <w:pPr>
        <w:spacing w:after="120"/>
      </w:pPr>
      <w:r>
        <w:t>业务分析 “出土单位”不仅服务单点操作，还需要与上游主数据、审批规则、消息通知和统计分析形成联动，确保业务从发起、处理、反馈到归档全程留痕。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用户进入“出土单位”功能页面，按角色权限选择查询范围或业务对象。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校验通过后，系统执行“出土单位”对应的业务处理、状态流转或统计计算。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核心展示内容至少覆盖：支持建设单位/施工单位登录，根据当前登录账号数据权限查看项目数据，以及项目消纳清单数据的查看。</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“出土单位”应以小程序模块的业务对象为主，不替代其他模块的主数据维护职责。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5.4 出土拍照</w:t>
      </w:r>
    </w:p>
    <w:p>
      <w:pPr>
        <w:spacing w:after="120"/>
      </w:pPr>
      <w:r>
        <w:t>功能需求理解 支持按项目出土打卡功能、车牌拍照识别；该功能需支撑业务主体在标准流程、异常场景和监管抽查场景下完成统一办理，并保证数据可追溯、结果可核验。</w:t>
      </w:r>
    </w:p>
    <w:p>
      <w:pPr>
        <w:spacing w:after="120"/>
      </w:pPr>
      <w:r>
        <w:t>业务分析 “出土拍照”不仅服务单点操作，还需要与上游主数据、审批规则、消息通知和统计分析形成联动，确保业务从发起、处理、反馈到归档全程留痕。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pStyle w:val="ListBullet"/>
        <w:spacing w:after="40"/>
      </w:pPr>
      <w:r>
        <w:t>移动端设备已授权相机、定位、网络或消息权限。</w:t>
      </w:r>
    </w:p>
    <w:p>
      <w:pPr>
        <w:spacing w:after="120"/>
      </w:pPr>
      <w:r>
        <w:t>功能操作流程</w:t>
      </w:r>
    </w:p>
    <w:p>
      <w:pPr>
        <w:pStyle w:val="ListNumber"/>
        <w:spacing w:after="40"/>
      </w:pPr>
      <w:r>
        <w:t>用户进入“出土拍照”功能页面，按角色权限选择查询范围或业务对象。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校验通过后，系统执行“出土拍照”对应的业务处理、状态流转或统计计算。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核心展示内容至少覆盖：支持按项目出土打卡功能、车牌拍照识别。</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拍照上传：调用设备相机采集现场照片并上传，保留时间、坐标和设备标识。</w:t>
      </w:r>
    </w:p>
    <w:p>
      <w:pPr>
        <w:pStyle w:val="ListBullet"/>
        <w:spacing w:after="40"/>
      </w:pPr>
      <w:r>
        <w:t>重拍：删除当前待提交照片并重新采集。</w:t>
      </w:r>
    </w:p>
    <w:p>
      <w:pPr>
        <w:pStyle w:val="ListBullet"/>
        <w:spacing w:after="40"/>
      </w:pPr>
      <w:r>
        <w:t>提交：完成校验后正式提交，进入后续处理、审批或同步流程。</w:t>
      </w:r>
    </w:p>
    <w:p>
      <w:pPr>
        <w:pStyle w:val="ListBullet"/>
        <w:spacing w:after="40"/>
      </w:pPr>
      <w:r>
        <w:t>查看记录：查看当前对象历史操作、历史预警、历史维护或历史处理记录。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“出土拍照”应以小程序模块的业务对象为主，不替代其他模块的主数据维护职责。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5.5 打卡异常申报</w:t>
      </w:r>
    </w:p>
    <w:p>
      <w:pPr>
        <w:spacing w:after="120"/>
      </w:pPr>
      <w:r>
        <w:t>功能需求理解 支持异常打卡数据和延期消纳情况申报；该功能需支撑业务主体在标准流程、异常场景和监管抽查场景下完成统一办理，并保证数据可追溯、结果可核验。</w:t>
      </w:r>
    </w:p>
    <w:p>
      <w:pPr>
        <w:spacing w:after="120"/>
      </w:pPr>
      <w:r>
        <w:t>业务分析 “打卡异常申报”不仅服务单点操作，还需要与上游主数据、审批规则、消息通知和统计分析形成联动，确保业务从发起、处理、反馈到归档全程留痕。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用户进入“打卡异常申报”功能页面，按角色权限选择查询范围或业务对象。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校验通过后，系统执行“打卡异常申报”对应的业务处理、状态流转或统计计算。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核心展示内容至少覆盖：支持异常打卡数据和延期消纳情况申报。</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“打卡异常申报”应以小程序模块的业务对象为主，不替代其他模块的主数据维护职责。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5.6 消纳场</w:t>
      </w:r>
    </w:p>
    <w:p>
      <w:pPr>
        <w:spacing w:after="120"/>
      </w:pPr>
      <w:r>
        <w:t>功能需求理解 支持消纳场人员的登录，登录后可以查看消纳场地基础信息以及场地消纳数据；该功能需支撑业务主体在标准流程、异常场景和监管抽查场景下完成统一办理，并保证数据可追溯、结果可核验。</w:t>
      </w:r>
    </w:p>
    <w:p>
      <w:pPr>
        <w:spacing w:after="120"/>
      </w:pPr>
      <w:r>
        <w:t>业务分析 “消纳场”不仅服务单点操作，还需要与上游主数据、审批规则、消息通知和统计分析形成联动，确保业务从发起、处理、反馈到归档全程留痕。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用户进入“消纳场”功能页面，按角色权限选择查询范围或业务对象。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校验通过后，系统执行“消纳场”对应的业务处理、状态流转或统计计算。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核心展示内容至少覆盖：支持消纳场人员的登录，登录后可以查看消纳场地基础信息以及场地消纳数据。</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“消纳场”应以小程序模块的业务对象为主，不替代其他模块的主数据维护职责。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5.7 手动消纳</w:t>
      </w:r>
    </w:p>
    <w:p>
      <w:pPr>
        <w:spacing w:after="120"/>
      </w:pPr>
      <w:r>
        <w:t>功能需求理解 支持当出现停电等异常情况下，消纳人员可以手动拍照消纳；该功能需支撑业务主体在标准流程、异常场景和监管抽查场景下完成统一办理，并保证数据可追溯、结果可核验。</w:t>
      </w:r>
    </w:p>
    <w:p>
      <w:pPr>
        <w:spacing w:after="120"/>
      </w:pPr>
      <w:r>
        <w:t>业务分析 “手动消纳”不仅服务单点操作，还需要与上游主数据、审批规则、消息通知和统计分析形成联动，确保业务从发起、处理、反馈到归档全程留痕。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pStyle w:val="ListBullet"/>
        <w:spacing w:after="40"/>
      </w:pPr>
      <w:r>
        <w:t>移动端设备已授权相机、定位、网络或消息权限。</w:t>
      </w:r>
    </w:p>
    <w:p>
      <w:pPr>
        <w:spacing w:after="120"/>
      </w:pPr>
      <w:r>
        <w:t>功能操作流程</w:t>
      </w:r>
    </w:p>
    <w:p>
      <w:pPr>
        <w:pStyle w:val="ListNumber"/>
        <w:spacing w:after="40"/>
      </w:pPr>
      <w:r>
        <w:t>用户进入“手动消纳”功能页面，按角色权限选择查询范围或业务对象。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校验通过后，系统执行“手动消纳”对应的业务处理、状态流转或统计计算。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核心展示内容至少覆盖：支持当出现停电等异常情况下，消纳人员可以手动拍照消纳。</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“手动消纳”应以小程序模块的业务对象为主，不替代其他模块的主数据维护职责。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5.8 延期申报</w:t>
      </w:r>
    </w:p>
    <w:p>
      <w:pPr>
        <w:spacing w:after="120"/>
      </w:pPr>
      <w:r>
        <w:t>功能需求理解 渣土消纳运输时因不可避免的原因需要进行延期消纳的申报，支持用户进行申请上报；该功能需支撑业务主体在标准流程、异常场景和监管抽查场景下完成统一办理，并保证数据可追溯、结果可核验。</w:t>
      </w:r>
    </w:p>
    <w:p>
      <w:pPr>
        <w:spacing w:after="120"/>
      </w:pPr>
      <w:r>
        <w:t>业务分析 “延期申报”不仅服务单点操作，还需要与上游主数据、审批规则、消息通知和统计分析形成联动，确保业务从发起、处理、反馈到归档全程留痕。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用户进入“延期申报”功能页面，按角色权限选择查询范围或业务对象。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校验通过后，系统执行“延期申报”对应的业务处理、状态流转或统计计算。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核心展示内容至少覆盖：渣土消纳运输时因不可避免的原因需要进行延期消纳的申报，支持用户进行申请上报。</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“延期申报”应以小程序模块的业务对象为主，不替代其他模块的主数据维护职责。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5.9 统计报表</w:t>
      </w:r>
    </w:p>
    <w:p>
      <w:pPr>
        <w:spacing w:after="120"/>
      </w:pPr>
      <w:r>
        <w:t>功能需求理解 1.支持移动端的场地报表生成、展示和分享；2.支持移动端的项目报表生成、展示和分享；该功能需支撑业务主体在标准流程、异常场景和监管抽查场景下完成统一办理，并保证数据可追溯、结果可核验。</w:t>
      </w:r>
    </w:p>
    <w:p>
      <w:pPr>
        <w:spacing w:after="120"/>
      </w:pPr>
      <w:r>
        <w:t>业务分析 “统计报表”不仅服务单点操作，还需要与上游主数据、审批规则、消息通知和统计分析形成联动，确保业务从发起、处理、反馈到归档全程留痕。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用户进入“统计报表”功能页面，按角色权限选择查询范围或业务对象。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校验通过后，系统执行“统计报表”对应的业务处理、状态流转或统计计算。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核心展示内容至少覆盖：1.支持移动端的场地报表生成、展示和分享；2.支持移动端的项目报表生成、展示和分享。</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“统计报表”应以小程序模块的业务对象为主，不替代其他模块的主数据维护职责。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5.10 密码修改</w:t>
      </w:r>
    </w:p>
    <w:p>
      <w:pPr>
        <w:spacing w:after="120"/>
      </w:pPr>
      <w:r>
        <w:t>功能需求理解 支持个人密码的修改，通过旧密码校验修改和短信验证修改；该功能需支撑业务主体在标准流程、异常场景和监管抽查场景下完成统一办理，并保证数据可追溯、结果可核验。</w:t>
      </w:r>
    </w:p>
    <w:p>
      <w:pPr>
        <w:spacing w:after="120"/>
      </w:pPr>
      <w:r>
        <w:t>业务分析 “密码修改”不仅服务单点操作，还需要与上游主数据、审批规则、消息通知和统计分析形成联动，确保业务从发起、处理、反馈到归档全程留痕。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用户进入“密码修改”功能页面，按角色权限选择查询范围或业务对象。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校验通过后，系统执行“密码修改”对应的业务处理、状态流转或统计计算。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核心展示内容至少覆盖：支持个人密码的修改，通过旧密码校验修改和短信验证修改。</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“密码修改”应以小程序模块的业务对象为主，不替代其他模块的主数据维护职责。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5.11 账号绑定</w:t>
      </w:r>
    </w:p>
    <w:p>
      <w:pPr>
        <w:spacing w:after="120"/>
      </w:pPr>
      <w:r>
        <w:t>功能需求理解 支持和微信账号绑定，实现免账号登录已经系统消息的推送该功能需支撑业务主体在标准流程、异常场景和监管抽查场景下完成统一办理，并保证数据可追溯、结果可核验。</w:t>
      </w:r>
    </w:p>
    <w:p>
      <w:pPr>
        <w:spacing w:after="120"/>
      </w:pPr>
      <w:r>
        <w:t>业务分析 “账号绑定”不仅服务单点操作，还需要与上游主数据、审批规则、消息通知和统计分析形成联动，确保业务从发起、处理、反馈到归档全程留痕。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用户进入“账号绑定”功能页面，按角色权限选择查询范围或业务对象。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校验通过后，系统执行“账号绑定”对应的业务处理、状态流转或统计计算。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核心展示内容至少覆盖：支持和微信账号绑定，实现免账号登录已经系统消息的推送。</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“账号绑定”应以小程序模块的业务对象为主，不替代其他模块的主数据维护职责。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5.12 问题反馈</w:t>
      </w:r>
    </w:p>
    <w:p>
      <w:pPr>
        <w:spacing w:after="120"/>
      </w:pPr>
      <w:r>
        <w:t>功能需求理解 支持系统问题反馈该功能需支撑业务主体在标准流程、异常场景和监管抽查场景下完成统一办理，并保证数据可追溯、结果可核验。</w:t>
      </w:r>
    </w:p>
    <w:p>
      <w:pPr>
        <w:spacing w:after="120"/>
      </w:pPr>
      <w:r>
        <w:t>业务分析 “问题反馈”不仅服务单点操作，还需要与上游主数据、审批规则、消息通知和统计分析形成联动，确保业务从发起、处理、反馈到归档全程留痕。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用户进入“问题反馈”功能页面，按角色权限选择查询范围或业务对象。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校验通过后，系统执行“问题反馈”对应的业务处理、状态流转或统计计算。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核心展示内容至少覆盖：支持系统问题反馈。</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“问题反馈”应以小程序模块的业务对象为主，不替代其他模块的主数据维护职责。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5.13 登录</w:t>
      </w:r>
    </w:p>
    <w:p>
      <w:pPr>
        <w:spacing w:after="120"/>
      </w:pPr>
      <w:r>
        <w:t>功能需求理解 实现平台账号密码、手机短信二次校验的登录；该功能需支撑业务主体在标准流程、异常场景和监管抽查场景下完成统一办理，并保证数据可追溯、结果可核验。</w:t>
      </w:r>
    </w:p>
    <w:p>
      <w:pPr>
        <w:spacing w:after="120"/>
      </w:pPr>
      <w:r>
        <w:t>业务分析 “登录”不仅服务单点操作，还需要与上游主数据、审批规则、消息通知和统计分析形成联动，确保业务从发起、处理、反馈到归档全程留痕。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用户进入“登录”功能页面，按角色权限选择查询范围或业务对象。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校验通过后，系统执行“登录”对应的业务处理、状态流转或统计计算。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核心展示内容至少覆盖：实现平台账号密码、手机短信二次校验的登录。</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“登录”应以小程序模块的业务对象为主，不替代其他模块的主数据维护职责。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5.14 车辆检查</w:t>
      </w:r>
    </w:p>
    <w:p>
      <w:pPr>
        <w:spacing w:after="120"/>
      </w:pPr>
      <w:r>
        <w:t>功能需求理解 司机按调度指令接车后，可以通过小程序拍摄车辆状况照片及车辆必备相关证件照片上传系统留存。该功能需支撑业务主体在标准流程、异常场景和监管抽查场景下完成统一办理，并保证数据可追溯、结果可核验。</w:t>
      </w:r>
    </w:p>
    <w:p>
      <w:pPr>
        <w:spacing w:after="120"/>
      </w:pPr>
      <w:r>
        <w:t>业务分析 “车辆检查”不仅服务单点操作，还需要与上游主数据、审批规则、消息通知和统计分析形成联动，确保业务从发起、处理、反馈到归档全程留痕。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用户进入“车辆检查”功能页面，按角色权限选择查询范围或业务对象。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校验通过后，系统执行“车辆检查”对应的业务处理、状态流转或统计计算。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核心展示内容至少覆盖：司机按调度指令接车后，可以通过小程序拍摄车辆状况照片及车辆必备相关证件照片上传系统留存。</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拍照上传：调用设备相机采集现场照片并上传，保留时间、坐标和设备标识。</w:t>
      </w:r>
    </w:p>
    <w:p>
      <w:pPr>
        <w:pStyle w:val="ListBullet"/>
        <w:spacing w:after="40"/>
      </w:pPr>
      <w:r>
        <w:t>提交检查：提交检查单及现场照片，进入审核或归档流程。</w:t>
      </w:r>
    </w:p>
    <w:p>
      <w:pPr>
        <w:pStyle w:val="ListBullet"/>
        <w:spacing w:after="40"/>
      </w:pPr>
      <w:r>
        <w:t>保存草稿：保存当前检查信息为草稿，便于后续补录和继续编辑。</w:t>
      </w:r>
    </w:p>
    <w:p>
      <w:pPr>
        <w:pStyle w:val="ListBullet"/>
        <w:spacing w:after="40"/>
      </w:pPr>
      <w:r>
        <w:t>查看记录：查看当前对象历史操作、历史预警、历史维护或历史处理记录。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pStyle w:val="ListBullet"/>
        <w:spacing w:after="40"/>
      </w:pPr>
      <w:r>
        <w:t>附件上传支持 jpg、png、pdf、doc、docx、xls、xlsx 等格式，单文件建议不超过 50MB。</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“车辆检查”应以小程序模块的业务对象为主，不替代其他模块的主数据维护职责。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5.15 车辆实时查询</w:t>
      </w:r>
    </w:p>
    <w:p>
      <w:pPr>
        <w:spacing w:after="120"/>
      </w:pPr>
      <w:r>
        <w:t>功能需求理解 移动端实现车辆行驶速度、车牌号、运行状态、速度、位置信息、不同播放速度的历史轨迹回放、车辆停止信息查询、电子围栏设置，围栏半径设置、围栏名称、车辆选择、围栏警告时间、警告进出方向设置、功能使用人的权限管理该功能需支撑业务主体在标准流程、异常场景和监管抽查场景下完成统一办理，并保证数据可追溯、结果可核验。</w:t>
      </w:r>
    </w:p>
    <w:p>
      <w:pPr>
        <w:spacing w:after="120"/>
      </w:pPr>
      <w:r>
        <w:t>业务分析 “车辆实时查询”不仅服务单点操作，还需要与上游主数据、审批规则、消息通知和统计分析形成联动，确保业务从发起、处理、反馈到归档全程留痕。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pStyle w:val="ListBullet"/>
        <w:spacing w:after="40"/>
      </w:pPr>
      <w:r>
        <w:t>移动端设备已授权相机、定位、网络或消息权限。</w:t>
      </w:r>
    </w:p>
    <w:p>
      <w:pPr>
        <w:spacing w:after="120"/>
      </w:pPr>
      <w:r>
        <w:t>功能操作流程</w:t>
      </w:r>
    </w:p>
    <w:p>
      <w:pPr>
        <w:pStyle w:val="ListNumber"/>
        <w:spacing w:after="40"/>
      </w:pPr>
      <w:r>
        <w:t>用户进入“车辆实时查询”功能页面，按角色权限选择查询范围或业务对象。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校验通过后，系统执行“车辆实时查询”对应的业务处理、状态流转或统计计算。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移动端实现车辆行驶速度、车牌号、运行状态、速度、位置信息、不同播放速度的历史轨迹回放、车辆停止信息查询、电子围栏设置，围栏半径设置、围栏名称、车辆选择、围栏警告时间、警告进出方向设置、功能使用人的权限管理。</w:t>
      </w:r>
    </w:p>
    <w:p>
      <w:pPr>
        <w:pStyle w:val="ListBullet"/>
        <w:spacing w:after="40"/>
      </w:pPr>
      <w:r>
        <w:t>涉及流程事项时，页面需展示当前状态、办理节点、经办人、更新时间和历史轨迹。</w:t>
      </w:r>
    </w:p>
    <w:p>
      <w:pPr>
        <w:pStyle w:val="ListBullet"/>
        <w:spacing w:after="40"/>
      </w:pPr>
      <w:r>
        <w:t>地图类页面需支持图层切换、点位定位、轨迹回放和围栏展示。</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“车辆实时查询”应以小程序模块的业务对象为主，不替代其他模块的主数据维护职责。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3"/>
      </w:pPr>
      <w:r>
        <w:t>5.16 安全教育</w:t>
      </w:r>
    </w:p>
    <w:p>
      <w:pPr>
        <w:spacing w:after="120"/>
      </w:pPr>
      <w:r>
        <w:t>功能需求理解 移动端人工上报简易事件，填写标题/上传图片/描述内容，快速上报、视频或者文档安全教育学习，学习过程上随机时间人脸识别验证。该功能需支撑业务主体在标准流程、异常场景和监管抽查场景下完成统一办理，并保证数据可追溯、结果可核验。</w:t>
      </w:r>
    </w:p>
    <w:p>
      <w:pPr>
        <w:spacing w:after="120"/>
      </w:pPr>
      <w:r>
        <w:t>业务分析 “安全教育”不仅服务单点操作，还需要与上游主数据、审批规则、消息通知和统计分析形成联动，确保业务从发起、处理、反馈到归档全程留痕。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场地人员、司机、项目经办人、建设/施工单位人员</w:t>
      </w:r>
    </w:p>
    <w:p>
      <w:pPr>
        <w:spacing w:after="120"/>
      </w:pPr>
      <w:r>
        <w:t>业务前置条件</w:t>
      </w:r>
    </w:p>
    <w:p>
      <w:pPr>
        <w:pStyle w:val="ListBullet"/>
        <w:spacing w:after="40"/>
      </w:pPr>
      <w:r>
        <w:t>已完成小程序相关主数据建档并通过角色授权。</w:t>
      </w:r>
    </w:p>
    <w:p>
      <w:pPr>
        <w:pStyle w:val="ListBullet"/>
        <w:spacing w:after="40"/>
      </w:pPr>
      <w:r>
        <w:t>当前用户具备对应菜单、按钮和数据范围权限。</w:t>
      </w:r>
    </w:p>
    <w:p>
      <w:pPr>
        <w:pStyle w:val="ListBullet"/>
        <w:spacing w:after="40"/>
      </w:pPr>
      <w:r>
        <w:t>移动端设备已授权相机、定位、网络或消息权限。</w:t>
      </w:r>
    </w:p>
    <w:p>
      <w:pPr>
        <w:spacing w:after="120"/>
      </w:pPr>
      <w:r>
        <w:t>功能操作流程</w:t>
      </w:r>
    </w:p>
    <w:p>
      <w:pPr>
        <w:pStyle w:val="ListNumber"/>
        <w:spacing w:after="40"/>
      </w:pPr>
      <w:r>
        <w:t>用户进入“安全教育”功能页面，按角色权限选择查询范围或业务对象。</w:t>
      </w:r>
    </w:p>
    <w:p>
      <w:pPr>
        <w:pStyle w:val="ListNumber"/>
        <w:spacing w:after="40"/>
      </w:pPr>
      <w:r>
        <w:t>移动端同步采集拍照、定位、时间戳、设备标识等现场信息。</w:t>
      </w:r>
    </w:p>
    <w:p>
      <w:pPr>
        <w:pStyle w:val="ListNumber"/>
        <w:spacing w:after="40"/>
      </w:pPr>
      <w:r>
        <w:t>系统对输入条件、主数据关联关系和必填信息进行校验。</w:t>
      </w:r>
    </w:p>
    <w:p>
      <w:pPr>
        <w:pStyle w:val="ListNumber"/>
        <w:spacing w:after="40"/>
      </w:pPr>
      <w:r>
        <w:t>校验通过后，系统执行“安全教育”对应的业务处理、状态流转或统计计算。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核心展示内容至少覆盖：移动端人工上报简易事件，填写标题/上传图片/描述内容，快速上报、视频或者文档安全教育学习，学习过程上随机时间人脸识别验证。</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“安全教育”应以小程序模块的业务对象为主，不替代其他模块的主数据维护职责。</w:t>
      </w:r>
    </w:p>
    <w:p>
      <w:pPr>
        <w:pStyle w:val="ListBullet"/>
        <w:spacing w:after="40"/>
      </w:pPr>
      <w:r>
        <w:t>系统需支持跨模块查询和联动，但跨模块数据修改应回到所属模块完成。</w:t>
      </w:r>
    </w:p>
    <w:p>
      <w:pPr>
        <w:spacing w:after="120"/>
      </w:pPr>
      <w:r>
        <w:t>移动端处理要求</w:t>
      </w:r>
    </w:p>
    <w:p>
      <w:pPr>
        <w:pStyle w:val="ListBullet"/>
        <w:spacing w:after="40"/>
      </w:pPr>
      <w:r>
        <w:t>需支持移动端适配、弱网提示、拍照/定位授权校验和操作结果反馈。</w:t>
      </w:r>
    </w:p>
    <w:p>
      <w:pPr>
        <w:pStyle w:val="ListBullet"/>
        <w:spacing w:after="40"/>
      </w:pPr>
      <w:r>
        <w:t>现场提交的图片、坐标、时间戳、设备标识需与后台记录一并留痕。</w:t>
      </w:r>
    </w:p>
    <w:p>
      <w:pPr>
        <w:pStyle w:val="Heading2"/>
      </w:pPr>
      <w:r>
        <w:t>6. 移动端能力要求</w:t>
      </w:r>
    </w:p>
    <w:p>
      <w:pPr>
        <w:spacing w:after="120"/>
      </w:pPr>
      <w:r>
        <w:t>本模块涉及移动端能力的功能点包括：消纳清单、出土单位、出土拍照、打卡异常申报、消纳场、手动消纳、延期申报、统计报表、密码修改、账号绑定、登录、车辆检查、车辆实时查询、安全教育。</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涉及异步任务、现场采集或第三方回调时，必须具备重试、去重、补偿和日志追踪机制。</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小程序模块建设完成后，可显著提升业务办理规范性、过程透明度、数据可追溯性和监管支撑能力，为平台整体经营管理和风险管控提供稳定基础。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安全管理需求方案</w:t>
      </w:r>
    </w:p>
    <w:p>
      <w:pPr>
        <w:pStyle w:val="Heading2"/>
      </w:pPr>
      <w:r>
        <w:t>1. 模块建设目标</w:t>
      </w:r>
    </w:p>
    <w:p>
      <w:pPr>
        <w:spacing w:after="120"/>
      </w:pPr>
      <w:r>
        <w:t>建立人员和车辆安全台账、检查、整改和监管报表体系。</w:t>
      </w:r>
    </w:p>
    <w:p>
      <w:pPr>
        <w:pStyle w:val="Heading2"/>
      </w:pPr>
      <w:r>
        <w:t>2. 模块业务定位</w:t>
      </w:r>
    </w:p>
    <w:p>
      <w:pPr>
        <w:spacing w:after="120"/>
      </w:pPr>
      <w:r>
        <w:t>安全管理模块聚焦生产安全和运输安全，通过台账、检查、整改闭环和培训联动支撑主管部门和企业内部管理要求。</w:t>
      </w:r>
    </w:p>
    <w:p>
      <w:pPr>
        <w:pStyle w:val="Heading2"/>
      </w:pPr>
      <w:r>
        <w:t>3. 适用角色与使用场景</w:t>
      </w:r>
    </w:p>
    <w:p>
      <w:pPr>
        <w:spacing w:after="120"/>
      </w:pPr>
      <w:r>
        <w:t>适用角色：安全管理员、场地安全员、车队安全员。 典型场景：建立人员和车辆安全台账、检查、整改和监管报表体系。模块共包含 2 个核心功能点，覆盖人员安全管理、车辆安全管理等业务场景，面向安全管理员、场地安全员、车队安全员等角色提供业务支撑。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人员安全管理</w:t>
            </w:r>
          </w:p>
        </w:tc>
        <w:tc>
          <w:tcPr>
            <w:tcW w:type="dxa" w:w="3022"/>
          </w:tcPr>
          <w:p>
            <w:pPr>
              <w:spacing w:after="40"/>
            </w:pPr>
            <w:r/>
            <w:r>
              <w:rPr>
                <w:rFonts w:ascii="Microsoft YaHei" w:hAnsi="Microsoft YaHei" w:eastAsia="Microsoft YaHei"/>
                <w:sz w:val="21"/>
              </w:rPr>
              <w:t>各消纳场所管理人员及专职渣土车运输司机、后勤管理人员的日常生产安全台账。</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车辆安全管理</w:t>
            </w:r>
          </w:p>
        </w:tc>
        <w:tc>
          <w:tcPr>
            <w:tcW w:type="dxa" w:w="3022"/>
          </w:tcPr>
          <w:p>
            <w:pPr>
              <w:spacing w:after="40"/>
            </w:pPr>
            <w:r/>
            <w:r>
              <w:rPr>
                <w:rFonts w:ascii="Microsoft YaHei" w:hAnsi="Microsoft YaHei" w:eastAsia="Microsoft YaHei"/>
                <w:sz w:val="21"/>
              </w:rPr>
              <w:t>车辆所属单位车辆（含租赁车辆）的运营安全日志及台账（符合杭州市交运主管部门的管理需求）</w:t>
            </w:r>
          </w:p>
        </w:tc>
      </w:tr>
    </w:tbl>
    <w:p/>
    <w:p>
      <w:pPr>
        <w:pStyle w:val="Heading2"/>
      </w:pPr>
      <w:r>
        <w:t>5. 功能需求逐项说明</w:t>
      </w:r>
    </w:p>
    <w:p>
      <w:pPr>
        <w:pStyle w:val="Heading3"/>
      </w:pPr>
      <w:r>
        <w:t>5.1 人员安全管理</w:t>
      </w:r>
    </w:p>
    <w:p>
      <w:pPr>
        <w:spacing w:after="120"/>
      </w:pPr>
      <w:r>
        <w:t>功能需求理解 各消纳场所管理人员及专职渣土车运输司机、后勤管理人员的日常生产安全台账。该功能需支撑业务主体在标准流程、异常场景和监管抽查场景下完成统一办理，并保证数据可追溯、结果可核验。</w:t>
      </w:r>
    </w:p>
    <w:p>
      <w:pPr>
        <w:spacing w:after="120"/>
      </w:pPr>
      <w:r>
        <w:t>业务分析 “人员安全管理”不仅服务单点操作，还需要与上游主数据、审批规则、消息通知和统计分析形成联动，确保业务从发起、处理、反馈到归档全程留痕。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安全管理员、场地安全员、车队安全员</w:t>
      </w:r>
    </w:p>
    <w:p>
      <w:pPr>
        <w:spacing w:after="120"/>
      </w:pPr>
      <w:r>
        <w:t>业务前置条件</w:t>
      </w:r>
    </w:p>
    <w:p>
      <w:pPr>
        <w:pStyle w:val="ListBullet"/>
        <w:spacing w:after="40"/>
      </w:pPr>
      <w:r>
        <w:t>已完成安全管理相关主数据建档并通过角色授权。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用户进入“人员安全管理”功能页面，按角色权限选择查询范围或业务对象。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校验通过后，系统执行“人员安全管理”对应的业务处理、状态流转或统计计算。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核心展示内容至少覆盖：各消纳场所管理人员及专职渣土车运输司机、后勤管理人员的日常生产安全台账。</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“人员安全管理”应以安全管理模块的业务对象为主，不替代其他模块的主数据维护职责。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车辆安全管理</w:t>
      </w:r>
    </w:p>
    <w:p>
      <w:pPr>
        <w:spacing w:after="120"/>
      </w:pPr>
      <w:r>
        <w:t>功能需求理解 车辆所属单位车辆（含租赁车辆）的运营安全日志及台账（符合杭州市交运主管部门的管理需求）该功能需支撑业务主体在标准流程、异常场景和监管抽查场景下完成统一办理，并保证数据可追溯、结果可核验。</w:t>
      </w:r>
    </w:p>
    <w:p>
      <w:pPr>
        <w:spacing w:after="120"/>
      </w:pPr>
      <w:r>
        <w:t>业务分析 “车辆安全管理”不仅服务单点操作，还需要与上游主数据、审批规则、消息通知和统计分析形成联动，确保业务从发起、处理、反馈到归档全程留痕。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安全管理员、场地安全员、车队安全员</w:t>
      </w:r>
    </w:p>
    <w:p>
      <w:pPr>
        <w:spacing w:after="120"/>
      </w:pPr>
      <w:r>
        <w:t>业务前置条件</w:t>
      </w:r>
    </w:p>
    <w:p>
      <w:pPr>
        <w:pStyle w:val="ListBullet"/>
        <w:spacing w:after="40"/>
      </w:pPr>
      <w:r>
        <w:t>已完成安全管理相关主数据建档并通过角色授权。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用户进入“车辆安全管理”功能页面，按角色权限选择查询范围或业务对象。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校验通过后，系统执行“车辆安全管理”对应的业务处理、状态流转或统计计算。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核心展示内容至少覆盖：车辆所属单位车辆（含租赁车辆）的运营安全日志及台账（符合杭州市交运主管部门的管理需求）。</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“车辆安全管理”应以安全管理模块的业务对象为主，不替代其他模块的主数据维护职责。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安全管理模块建设完成后，可显著提升业务办理规范性、过程透明度、数据可追溯性和监管支撑能力，为平台整体经营管理和风险管控提供稳定基础。</w:t>
      </w:r>
    </w:p>
    <w:p>
      <w:pPr>
        <w:sectPr>
          <w:pgSz w:w="12240" w:h="15840"/>
          <w:pgMar w:top="1440" w:right="1587" w:bottom="1440" w:left="1587" w:header="720" w:footer="720" w:gutter="0"/>
          <w:cols w:space="720"/>
          <w:docGrid w:linePitch="360"/>
        </w:sectPr>
      </w:pPr>
    </w:p>
    <w:p>
      <w:pPr>
        <w:pStyle w:val="Heading1"/>
      </w:pPr>
      <w:r>
        <w:t>车辆管理需求方案</w:t>
      </w:r>
    </w:p>
    <w:p>
      <w:pPr>
        <w:pStyle w:val="Heading2"/>
      </w:pPr>
      <w:r>
        <w:t>1. 模块建设目标</w:t>
      </w:r>
    </w:p>
    <w:p>
      <w:pPr>
        <w:spacing w:after="120"/>
      </w:pPr>
      <w:r>
        <w:t>建立覆盖车辆、维修、维保、保险、调度、油卡、人证、财务和报表的车队运营体系。</w:t>
      </w:r>
    </w:p>
    <w:p>
      <w:pPr>
        <w:pStyle w:val="Heading2"/>
      </w:pPr>
      <w:r>
        <w:t>2. 模块业务定位</w:t>
      </w:r>
    </w:p>
    <w:p>
      <w:pPr>
        <w:spacing w:after="120"/>
      </w:pPr>
      <w:r>
        <w:t>车辆管理模块是平台运输侧经营管理中心，需要同时满足车辆全生命周期档案管理、调度管理、成本管理和安全管理要求。</w:t>
      </w:r>
    </w:p>
    <w:p>
      <w:pPr>
        <w:pStyle w:val="Heading2"/>
      </w:pPr>
      <w:r>
        <w:t>3. 适用角色与使用场景</w:t>
      </w:r>
    </w:p>
    <w:p>
      <w:pPr>
        <w:spacing w:after="120"/>
      </w:pPr>
      <w:r>
        <w:t>适用角色：车队管理员、机务管理员、调度员、财务人员、驾驶员管理人员。 典型场景：建立覆盖车辆、维修、维保、保险、调度、油卡、人证、财务和报表的车队运营体系。模块共包含 18 个核心功能点，覆盖车辆信息、保险管理、维修管理、维保计划等业务场景，面向车队管理员、机务管理员、调度员等角色提供业务支撑。</w:t>
      </w:r>
    </w:p>
    <w:p>
      <w:pPr>
        <w:pStyle w:val="Heading2"/>
      </w:pPr>
      <w:r>
        <w:t>4. 功能清单总览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序号</w:t>
            </w:r>
          </w:p>
        </w:tc>
        <w:tc>
          <w:tcPr>
            <w:tcW w:type="dxa" w:w="3022"/>
          </w:tcPr>
          <w:p>
            <w:pPr>
              <w:spacing w:after="40"/>
            </w:pPr>
            <w:r/>
            <w:r>
              <w:rPr>
                <w:rFonts w:ascii="Microsoft YaHei" w:hAnsi="Microsoft YaHei" w:eastAsia="Microsoft YaHei"/>
                <w:sz w:val="21"/>
              </w:rPr>
              <w:t>功能点</w:t>
            </w:r>
          </w:p>
        </w:tc>
        <w:tc>
          <w:tcPr>
            <w:tcW w:type="dxa" w:w="3022"/>
          </w:tcPr>
          <w:p>
            <w:pPr>
              <w:spacing w:after="40"/>
            </w:pPr>
            <w:r/>
            <w:r>
              <w:rPr>
                <w:rFonts w:ascii="Microsoft YaHei" w:hAnsi="Microsoft YaHei" w:eastAsia="Microsoft YaHei"/>
                <w:sz w:val="21"/>
              </w:rPr>
              <w:t>功能说明</w:t>
            </w:r>
          </w:p>
        </w:tc>
      </w:tr>
      <w:tr>
        <w:tc>
          <w:tcPr>
            <w:tcW w:type="dxa" w:w="3022"/>
          </w:tcPr>
          <w:p>
            <w:pPr>
              <w:spacing w:after="40"/>
            </w:pPr>
            <w:r/>
            <w:r>
              <w:rPr>
                <w:rFonts w:ascii="Microsoft YaHei" w:hAnsi="Microsoft YaHei" w:eastAsia="Microsoft YaHei"/>
                <w:sz w:val="21"/>
              </w:rPr>
              <w:t>1</w:t>
            </w:r>
          </w:p>
        </w:tc>
        <w:tc>
          <w:tcPr>
            <w:tcW w:type="dxa" w:w="3022"/>
          </w:tcPr>
          <w:p>
            <w:pPr>
              <w:spacing w:after="40"/>
            </w:pPr>
            <w:r/>
            <w:r>
              <w:rPr>
                <w:rFonts w:ascii="Microsoft YaHei" w:hAnsi="Microsoft YaHei" w:eastAsia="Microsoft YaHei"/>
                <w:sz w:val="21"/>
              </w:rPr>
              <w:t>车辆信息</w:t>
            </w:r>
          </w:p>
        </w:tc>
        <w:tc>
          <w:tcPr>
            <w:tcW w:type="dxa" w:w="3022"/>
          </w:tcPr>
          <w:p>
            <w:pPr>
              <w:spacing w:after="40"/>
            </w:pPr>
            <w:r/>
            <w:r>
              <w:rPr>
                <w:rFonts w:ascii="Microsoft YaHei" w:hAnsi="Microsoft YaHei" w:eastAsia="Microsoft YaHei"/>
                <w:sz w:val="21"/>
              </w:rPr>
              <w:t>车辆类别（油车/电车）、品牌、型号、参数、轴数、自重、载重等所有车辆相关信息</w:t>
            </w:r>
          </w:p>
        </w:tc>
      </w:tr>
      <w:tr>
        <w:tc>
          <w:tcPr>
            <w:tcW w:type="dxa" w:w="3022"/>
          </w:tcPr>
          <w:p>
            <w:pPr>
              <w:spacing w:after="40"/>
            </w:pPr>
            <w:r/>
            <w:r>
              <w:rPr>
                <w:rFonts w:ascii="Microsoft YaHei" w:hAnsi="Microsoft YaHei" w:eastAsia="Microsoft YaHei"/>
                <w:sz w:val="21"/>
              </w:rPr>
              <w:t>2</w:t>
            </w:r>
          </w:p>
        </w:tc>
        <w:tc>
          <w:tcPr>
            <w:tcW w:type="dxa" w:w="3022"/>
          </w:tcPr>
          <w:p>
            <w:pPr>
              <w:spacing w:after="40"/>
            </w:pPr>
            <w:r/>
            <w:r>
              <w:rPr>
                <w:rFonts w:ascii="Microsoft YaHei" w:hAnsi="Microsoft YaHei" w:eastAsia="Microsoft YaHei"/>
                <w:sz w:val="21"/>
              </w:rPr>
              <w:t>保险管理</w:t>
            </w:r>
          </w:p>
        </w:tc>
        <w:tc>
          <w:tcPr>
            <w:tcW w:type="dxa" w:w="3022"/>
          </w:tcPr>
          <w:p>
            <w:pPr>
              <w:spacing w:after="40"/>
            </w:pPr>
            <w:r/>
            <w:r>
              <w:rPr>
                <w:rFonts w:ascii="Microsoft YaHei" w:hAnsi="Microsoft YaHei" w:eastAsia="Microsoft YaHei"/>
                <w:sz w:val="21"/>
              </w:rPr>
              <w:t>管理公司所有车辆（含租赁）保险信息（如承保单位，险种等），保险金额、起止时间、出险赔付相关信息数据录入，汇总、查询分析，支持自定义时间保险到期预警</w:t>
            </w:r>
          </w:p>
        </w:tc>
      </w:tr>
      <w:tr>
        <w:tc>
          <w:tcPr>
            <w:tcW w:type="dxa" w:w="3022"/>
          </w:tcPr>
          <w:p>
            <w:pPr>
              <w:spacing w:after="40"/>
            </w:pPr>
            <w:r/>
            <w:r>
              <w:rPr>
                <w:rFonts w:ascii="Microsoft YaHei" w:hAnsi="Microsoft YaHei" w:eastAsia="Microsoft YaHei"/>
                <w:sz w:val="21"/>
              </w:rPr>
              <w:t>3</w:t>
            </w:r>
          </w:p>
        </w:tc>
        <w:tc>
          <w:tcPr>
            <w:tcW w:type="dxa" w:w="3022"/>
          </w:tcPr>
          <w:p>
            <w:pPr>
              <w:spacing w:after="40"/>
            </w:pPr>
            <w:r/>
            <w:r>
              <w:rPr>
                <w:rFonts w:ascii="Microsoft YaHei" w:hAnsi="Microsoft YaHei" w:eastAsia="Microsoft YaHei"/>
                <w:sz w:val="21"/>
              </w:rPr>
              <w:t>维修管理</w:t>
            </w:r>
          </w:p>
        </w:tc>
        <w:tc>
          <w:tcPr>
            <w:tcW w:type="dxa" w:w="3022"/>
          </w:tcPr>
          <w:p>
            <w:pPr>
              <w:spacing w:after="40"/>
            </w:pPr>
            <w:r/>
            <w:r>
              <w:rPr>
                <w:rFonts w:ascii="Microsoft YaHei" w:hAnsi="Microsoft YaHei" w:eastAsia="Microsoft YaHei"/>
                <w:sz w:val="21"/>
              </w:rPr>
              <w:t>所有公司名下的车辆维修维护保养情况统计，日常车辆机务管理，定点维修企业信息统计等，相关费用登记汇总查询。</w:t>
            </w:r>
          </w:p>
        </w:tc>
      </w:tr>
      <w:tr>
        <w:tc>
          <w:tcPr>
            <w:tcW w:type="dxa" w:w="3022"/>
          </w:tcPr>
          <w:p>
            <w:pPr>
              <w:spacing w:after="40"/>
            </w:pPr>
            <w:r/>
            <w:r>
              <w:rPr>
                <w:rFonts w:ascii="Microsoft YaHei" w:hAnsi="Microsoft YaHei" w:eastAsia="Microsoft YaHei"/>
                <w:sz w:val="21"/>
              </w:rPr>
              <w:t>4</w:t>
            </w:r>
          </w:p>
        </w:tc>
        <w:tc>
          <w:tcPr>
            <w:tcW w:type="dxa" w:w="3022"/>
          </w:tcPr>
          <w:p>
            <w:pPr>
              <w:spacing w:after="40"/>
            </w:pPr>
            <w:r/>
            <w:r>
              <w:rPr>
                <w:rFonts w:ascii="Microsoft YaHei" w:hAnsi="Microsoft YaHei" w:eastAsia="Microsoft YaHei"/>
                <w:sz w:val="21"/>
              </w:rPr>
              <w:t>维保计划</w:t>
            </w:r>
          </w:p>
        </w:tc>
        <w:tc>
          <w:tcPr>
            <w:tcW w:type="dxa" w:w="3022"/>
          </w:tcPr>
          <w:p>
            <w:pPr>
              <w:spacing w:after="40"/>
            </w:pPr>
            <w:r/>
            <w:r>
              <w:rPr>
                <w:rFonts w:ascii="Microsoft YaHei" w:hAnsi="Microsoft YaHei" w:eastAsia="Microsoft YaHei"/>
                <w:sz w:val="21"/>
              </w:rPr>
              <w:t>管理人员根据车辆维保记录，制订车辆的维保计划，主要功能为维保计划的新增、修改、删除、维保登记、导出、查看历史维保记录等。支持自定义日月年维保到期预警提示。</w:t>
            </w:r>
          </w:p>
        </w:tc>
      </w:tr>
      <w:tr>
        <w:tc>
          <w:tcPr>
            <w:tcW w:type="dxa" w:w="3022"/>
          </w:tcPr>
          <w:p>
            <w:pPr>
              <w:spacing w:after="40"/>
            </w:pPr>
            <w:r/>
            <w:r>
              <w:rPr>
                <w:rFonts w:ascii="Microsoft YaHei" w:hAnsi="Microsoft YaHei" w:eastAsia="Microsoft YaHei"/>
                <w:sz w:val="21"/>
              </w:rPr>
              <w:t>5</w:t>
            </w:r>
          </w:p>
        </w:tc>
        <w:tc>
          <w:tcPr>
            <w:tcW w:type="dxa" w:w="3022"/>
          </w:tcPr>
          <w:p>
            <w:pPr>
              <w:spacing w:after="40"/>
            </w:pPr>
            <w:r/>
            <w:r>
              <w:rPr>
                <w:rFonts w:ascii="Microsoft YaHei" w:hAnsi="Microsoft YaHei" w:eastAsia="Microsoft YaHei"/>
                <w:sz w:val="21"/>
              </w:rPr>
              <w:t>维保信息录入</w:t>
            </w:r>
          </w:p>
        </w:tc>
        <w:tc>
          <w:tcPr>
            <w:tcW w:type="dxa" w:w="3022"/>
          </w:tcPr>
          <w:p>
            <w:pPr>
              <w:spacing w:after="40"/>
            </w:pPr>
            <w:r/>
            <w:r>
              <w:rPr>
                <w:rFonts w:ascii="Microsoft YaHei" w:hAnsi="Microsoft YaHei" w:eastAsia="Microsoft YaHei"/>
                <w:sz w:val="21"/>
              </w:rPr>
              <w:t>全面记录车辆维修保养过程中的关键信息，确保维修过程透明、高效，并为后续保养及故障排查提供有力依据。该登记表内容需详尽，结构清晰，覆盖车辆基本信息、维修情况、维保项目、费用明细及维修人员签字等多个方面。</w:t>
            </w:r>
          </w:p>
        </w:tc>
      </w:tr>
      <w:tr>
        <w:tc>
          <w:tcPr>
            <w:tcW w:type="dxa" w:w="3022"/>
          </w:tcPr>
          <w:p>
            <w:pPr>
              <w:spacing w:after="40"/>
            </w:pPr>
            <w:r/>
            <w:r>
              <w:rPr>
                <w:rFonts w:ascii="Microsoft YaHei" w:hAnsi="Microsoft YaHei" w:eastAsia="Microsoft YaHei"/>
                <w:sz w:val="21"/>
              </w:rPr>
              <w:t>6</w:t>
            </w:r>
          </w:p>
        </w:tc>
        <w:tc>
          <w:tcPr>
            <w:tcW w:type="dxa" w:w="3022"/>
          </w:tcPr>
          <w:p>
            <w:pPr>
              <w:spacing w:after="40"/>
            </w:pPr>
            <w:r/>
            <w:r>
              <w:rPr>
                <w:rFonts w:ascii="Microsoft YaHei" w:hAnsi="Microsoft YaHei" w:eastAsia="Microsoft YaHei"/>
                <w:sz w:val="21"/>
              </w:rPr>
              <w:t>维修申请</w:t>
            </w:r>
          </w:p>
        </w:tc>
        <w:tc>
          <w:tcPr>
            <w:tcW w:type="dxa" w:w="3022"/>
          </w:tcPr>
          <w:p>
            <w:pPr>
              <w:spacing w:after="40"/>
            </w:pPr>
            <w:r/>
            <w:r>
              <w:rPr>
                <w:rFonts w:ascii="Microsoft YaHei" w:hAnsi="Microsoft YaHei" w:eastAsia="Microsoft YaHei"/>
                <w:sz w:val="21"/>
              </w:rPr>
              <w:t>车辆维护人员根据车辆使用情况（里程、年限）做出车辆维修申请计划。具有提出申请、修改、删除、导出、查询等功能。主要信息包括车牌号、车型、购置日期、行驶里程、维修原因、维修内容、费用预算、紧急程度、申请人、申请日期、审核状态等。</w:t>
            </w:r>
          </w:p>
        </w:tc>
      </w:tr>
      <w:tr>
        <w:tc>
          <w:tcPr>
            <w:tcW w:type="dxa" w:w="3022"/>
          </w:tcPr>
          <w:p>
            <w:pPr>
              <w:spacing w:after="40"/>
            </w:pPr>
            <w:r/>
            <w:r>
              <w:rPr>
                <w:rFonts w:ascii="Microsoft YaHei" w:hAnsi="Microsoft YaHei" w:eastAsia="Microsoft YaHei"/>
                <w:sz w:val="21"/>
              </w:rPr>
              <w:t>7</w:t>
            </w:r>
          </w:p>
        </w:tc>
        <w:tc>
          <w:tcPr>
            <w:tcW w:type="dxa" w:w="3022"/>
          </w:tcPr>
          <w:p>
            <w:pPr>
              <w:spacing w:after="40"/>
            </w:pPr>
            <w:r/>
            <w:r>
              <w:rPr>
                <w:rFonts w:ascii="Microsoft YaHei" w:hAnsi="Microsoft YaHei" w:eastAsia="Microsoft YaHei"/>
                <w:sz w:val="21"/>
              </w:rPr>
              <w:t>维修审批</w:t>
            </w:r>
          </w:p>
        </w:tc>
        <w:tc>
          <w:tcPr>
            <w:tcW w:type="dxa" w:w="3022"/>
          </w:tcPr>
          <w:p>
            <w:pPr>
              <w:spacing w:after="40"/>
            </w:pPr>
            <w:r/>
            <w:r>
              <w:rPr>
                <w:rFonts w:ascii="Microsoft YaHei" w:hAnsi="Microsoft YaHei" w:eastAsia="Microsoft YaHei"/>
                <w:sz w:val="21"/>
              </w:rPr>
              <w:t>管理人员对提交的车辆维修申请，根据车辆实际情况，进行审批。具有审核、驳回、查询、导出等功能。</w:t>
            </w:r>
          </w:p>
        </w:tc>
      </w:tr>
      <w:tr>
        <w:tc>
          <w:tcPr>
            <w:tcW w:type="dxa" w:w="3022"/>
          </w:tcPr>
          <w:p>
            <w:pPr>
              <w:spacing w:after="40"/>
            </w:pPr>
            <w:r/>
            <w:r>
              <w:rPr>
                <w:rFonts w:ascii="Microsoft YaHei" w:hAnsi="Microsoft YaHei" w:eastAsia="Microsoft YaHei"/>
                <w:sz w:val="21"/>
              </w:rPr>
              <w:t>8</w:t>
            </w:r>
          </w:p>
        </w:tc>
        <w:tc>
          <w:tcPr>
            <w:tcW w:type="dxa" w:w="3022"/>
          </w:tcPr>
          <w:p>
            <w:pPr>
              <w:spacing w:after="40"/>
            </w:pPr>
            <w:r/>
            <w:r>
              <w:rPr>
                <w:rFonts w:ascii="Microsoft YaHei" w:hAnsi="Microsoft YaHei" w:eastAsia="Microsoft YaHei"/>
                <w:sz w:val="21"/>
              </w:rPr>
              <w:t>车型管理</w:t>
            </w:r>
          </w:p>
        </w:tc>
        <w:tc>
          <w:tcPr>
            <w:tcW w:type="dxa" w:w="3022"/>
          </w:tcPr>
          <w:p>
            <w:pPr>
              <w:spacing w:after="40"/>
            </w:pPr>
            <w:r/>
            <w:r>
              <w:rPr>
                <w:rFonts w:ascii="Microsoft YaHei" w:hAnsi="Microsoft YaHei" w:eastAsia="Microsoft YaHei"/>
                <w:sz w:val="21"/>
              </w:rPr>
              <w:t>对车辆的车型分类管理，形成车型字典库。主要功能有新增、修改、删除等功能。主要信息包括品牌、车型、限乘人数、载重数等。</w:t>
            </w:r>
          </w:p>
        </w:tc>
      </w:tr>
      <w:tr>
        <w:tc>
          <w:tcPr>
            <w:tcW w:type="dxa" w:w="3022"/>
          </w:tcPr>
          <w:p>
            <w:pPr>
              <w:spacing w:after="40"/>
            </w:pPr>
            <w:r/>
            <w:r>
              <w:rPr>
                <w:rFonts w:ascii="Microsoft YaHei" w:hAnsi="Microsoft YaHei" w:eastAsia="Microsoft YaHei"/>
                <w:sz w:val="21"/>
              </w:rPr>
              <w:t>9</w:t>
            </w:r>
          </w:p>
        </w:tc>
        <w:tc>
          <w:tcPr>
            <w:tcW w:type="dxa" w:w="3022"/>
          </w:tcPr>
          <w:p>
            <w:pPr>
              <w:spacing w:after="40"/>
            </w:pPr>
            <w:r/>
            <w:r>
              <w:rPr>
                <w:rFonts w:ascii="Microsoft YaHei" w:hAnsi="Microsoft YaHei" w:eastAsia="Microsoft YaHei"/>
                <w:sz w:val="21"/>
              </w:rPr>
              <w:t>车辆信息维护</w:t>
            </w:r>
          </w:p>
        </w:tc>
        <w:tc>
          <w:tcPr>
            <w:tcW w:type="dxa" w:w="3022"/>
          </w:tcPr>
          <w:p>
            <w:pPr>
              <w:spacing w:after="40"/>
            </w:pPr>
            <w:r/>
            <w:r>
              <w:rPr>
                <w:rFonts w:ascii="Microsoft YaHei" w:hAnsi="Microsoft YaHei" w:eastAsia="Microsoft YaHei"/>
                <w:sz w:val="21"/>
              </w:rPr>
              <w:t>管理人员维护车辆的基础信息，主要功能有新增、修改、删除等。</w:t>
            </w:r>
          </w:p>
        </w:tc>
      </w:tr>
      <w:tr>
        <w:tc>
          <w:tcPr>
            <w:tcW w:type="dxa" w:w="3022"/>
          </w:tcPr>
          <w:p>
            <w:pPr>
              <w:spacing w:after="40"/>
            </w:pPr>
            <w:r/>
            <w:r>
              <w:rPr>
                <w:rFonts w:ascii="Microsoft YaHei" w:hAnsi="Microsoft YaHei" w:eastAsia="Microsoft YaHei"/>
                <w:sz w:val="21"/>
              </w:rPr>
              <w:t>10</w:t>
            </w:r>
          </w:p>
        </w:tc>
        <w:tc>
          <w:tcPr>
            <w:tcW w:type="dxa" w:w="3022"/>
          </w:tcPr>
          <w:p>
            <w:pPr>
              <w:spacing w:after="40"/>
            </w:pPr>
            <w:r/>
            <w:r>
              <w:rPr>
                <w:rFonts w:ascii="Microsoft YaHei" w:hAnsi="Microsoft YaHei" w:eastAsia="Microsoft YaHei"/>
                <w:sz w:val="21"/>
              </w:rPr>
              <w:t>车队信息查询</w:t>
            </w:r>
          </w:p>
        </w:tc>
        <w:tc>
          <w:tcPr>
            <w:tcW w:type="dxa" w:w="3022"/>
          </w:tcPr>
          <w:p>
            <w:pPr>
              <w:spacing w:after="40"/>
            </w:pPr>
            <w:r/>
            <w:r>
              <w:rPr>
                <w:rFonts w:ascii="Microsoft YaHei" w:hAnsi="Microsoft YaHei" w:eastAsia="Microsoft YaHei"/>
                <w:sz w:val="21"/>
              </w:rPr>
              <w:t>分区块直观展示各车队的信息，包括车队名、队长、司机及状态，并可快捷填写出勤和排班信息。</w:t>
            </w:r>
          </w:p>
        </w:tc>
      </w:tr>
      <w:tr>
        <w:tc>
          <w:tcPr>
            <w:tcW w:type="dxa" w:w="3022"/>
          </w:tcPr>
          <w:p>
            <w:pPr>
              <w:spacing w:after="40"/>
            </w:pPr>
            <w:r/>
            <w:r>
              <w:rPr>
                <w:rFonts w:ascii="Microsoft YaHei" w:hAnsi="Microsoft YaHei" w:eastAsia="Microsoft YaHei"/>
                <w:sz w:val="21"/>
              </w:rPr>
              <w:t>11</w:t>
            </w:r>
          </w:p>
        </w:tc>
        <w:tc>
          <w:tcPr>
            <w:tcW w:type="dxa" w:w="3022"/>
          </w:tcPr>
          <w:p>
            <w:pPr>
              <w:spacing w:after="40"/>
            </w:pPr>
            <w:r/>
            <w:r>
              <w:rPr>
                <w:rFonts w:ascii="Microsoft YaHei" w:hAnsi="Microsoft YaHei" w:eastAsia="Microsoft YaHei"/>
                <w:sz w:val="21"/>
              </w:rPr>
              <w:t>车队信息维护</w:t>
            </w:r>
          </w:p>
        </w:tc>
        <w:tc>
          <w:tcPr>
            <w:tcW w:type="dxa" w:w="3022"/>
          </w:tcPr>
          <w:p>
            <w:pPr>
              <w:spacing w:after="40"/>
            </w:pPr>
            <w:r/>
            <w:r>
              <w:rPr>
                <w:rFonts w:ascii="Microsoft YaHei" w:hAnsi="Microsoft YaHei" w:eastAsia="Microsoft YaHei"/>
                <w:sz w:val="21"/>
              </w:rPr>
              <w:t>对车队以及司机信息维护管理，主要功能有录入、修改、删除、查看等操作。</w:t>
            </w:r>
          </w:p>
        </w:tc>
      </w:tr>
      <w:tr>
        <w:tc>
          <w:tcPr>
            <w:tcW w:type="dxa" w:w="3022"/>
          </w:tcPr>
          <w:p>
            <w:pPr>
              <w:spacing w:after="40"/>
            </w:pPr>
            <w:r/>
            <w:r>
              <w:rPr>
                <w:rFonts w:ascii="Microsoft YaHei" w:hAnsi="Microsoft YaHei" w:eastAsia="Microsoft YaHei"/>
                <w:sz w:val="21"/>
              </w:rPr>
              <w:t>12</w:t>
            </w:r>
          </w:p>
        </w:tc>
        <w:tc>
          <w:tcPr>
            <w:tcW w:type="dxa" w:w="3022"/>
          </w:tcPr>
          <w:p>
            <w:pPr>
              <w:spacing w:after="40"/>
            </w:pPr>
            <w:r/>
            <w:r>
              <w:rPr>
                <w:rFonts w:ascii="Microsoft YaHei" w:hAnsi="Microsoft YaHei" w:eastAsia="Microsoft YaHei"/>
                <w:sz w:val="21"/>
              </w:rPr>
              <w:t>运输计划</w:t>
            </w:r>
          </w:p>
        </w:tc>
        <w:tc>
          <w:tcPr>
            <w:tcW w:type="dxa" w:w="3022"/>
          </w:tcPr>
          <w:p>
            <w:pPr>
              <w:spacing w:after="40"/>
            </w:pPr>
            <w:r/>
            <w:r>
              <w:rPr>
                <w:rFonts w:ascii="Microsoft YaHei" w:hAnsi="Microsoft YaHei" w:eastAsia="Microsoft YaHei"/>
                <w:sz w:val="21"/>
              </w:rPr>
              <w:t>制定车队运输计划，主要功能为运输计划的新增、修改、删除、导出、查看采购计划和物资运输计划等功能。</w:t>
            </w:r>
          </w:p>
        </w:tc>
      </w:tr>
      <w:tr>
        <w:tc>
          <w:tcPr>
            <w:tcW w:type="dxa" w:w="3022"/>
          </w:tcPr>
          <w:p>
            <w:pPr>
              <w:spacing w:after="40"/>
            </w:pPr>
            <w:r/>
            <w:r>
              <w:rPr>
                <w:rFonts w:ascii="Microsoft YaHei" w:hAnsi="Microsoft YaHei" w:eastAsia="Microsoft YaHei"/>
                <w:sz w:val="21"/>
              </w:rPr>
              <w:t>13</w:t>
            </w:r>
          </w:p>
        </w:tc>
        <w:tc>
          <w:tcPr>
            <w:tcW w:type="dxa" w:w="3022"/>
          </w:tcPr>
          <w:p>
            <w:pPr>
              <w:spacing w:after="40"/>
            </w:pPr>
            <w:r/>
            <w:r>
              <w:rPr>
                <w:rFonts w:ascii="Microsoft YaHei" w:hAnsi="Microsoft YaHei" w:eastAsia="Microsoft YaHei"/>
                <w:sz w:val="21"/>
              </w:rPr>
              <w:t>车队调度申请</w:t>
            </w:r>
          </w:p>
        </w:tc>
        <w:tc>
          <w:tcPr>
            <w:tcW w:type="dxa" w:w="3022"/>
          </w:tcPr>
          <w:p>
            <w:pPr>
              <w:spacing w:after="40"/>
            </w:pPr>
            <w:r/>
            <w:r>
              <w:rPr>
                <w:rFonts w:ascii="Microsoft YaHei" w:hAnsi="Microsoft YaHei" w:eastAsia="Microsoft YaHei"/>
                <w:sz w:val="21"/>
              </w:rPr>
              <w:t>根据车队运输计划，调度人员申请车队调拨。调度人员根据运输计划，提前进行车队调拨申请。主要功能有提出申请、修改、删除、导出、查询等功能。</w:t>
            </w:r>
          </w:p>
        </w:tc>
      </w:tr>
      <w:tr>
        <w:tc>
          <w:tcPr>
            <w:tcW w:type="dxa" w:w="3022"/>
          </w:tcPr>
          <w:p>
            <w:pPr>
              <w:spacing w:after="40"/>
            </w:pPr>
            <w:r/>
            <w:r>
              <w:rPr>
                <w:rFonts w:ascii="Microsoft YaHei" w:hAnsi="Microsoft YaHei" w:eastAsia="Microsoft YaHei"/>
                <w:sz w:val="21"/>
              </w:rPr>
              <w:t>14</w:t>
            </w:r>
          </w:p>
        </w:tc>
        <w:tc>
          <w:tcPr>
            <w:tcW w:type="dxa" w:w="3022"/>
          </w:tcPr>
          <w:p>
            <w:pPr>
              <w:spacing w:after="40"/>
            </w:pPr>
            <w:r/>
            <w:r>
              <w:rPr>
                <w:rFonts w:ascii="Microsoft YaHei" w:hAnsi="Microsoft YaHei" w:eastAsia="Microsoft YaHei"/>
                <w:sz w:val="21"/>
              </w:rPr>
              <w:t>车队调度审批</w:t>
            </w:r>
          </w:p>
        </w:tc>
        <w:tc>
          <w:tcPr>
            <w:tcW w:type="dxa" w:w="3022"/>
          </w:tcPr>
          <w:p>
            <w:pPr>
              <w:spacing w:after="40"/>
            </w:pPr>
            <w:r/>
            <w:r>
              <w:rPr>
                <w:rFonts w:ascii="Microsoft YaHei" w:hAnsi="Microsoft YaHei" w:eastAsia="Microsoft YaHei"/>
                <w:sz w:val="21"/>
              </w:rPr>
              <w:t>管理人员对提交的车队调拨申请，根据实际需求，进行审批。具有审核、驳回、查询、导出等功能。</w:t>
            </w:r>
          </w:p>
        </w:tc>
      </w:tr>
      <w:tr>
        <w:tc>
          <w:tcPr>
            <w:tcW w:type="dxa" w:w="3022"/>
          </w:tcPr>
          <w:p>
            <w:pPr>
              <w:spacing w:after="40"/>
            </w:pPr>
            <w:r/>
            <w:r>
              <w:rPr>
                <w:rFonts w:ascii="Microsoft YaHei" w:hAnsi="Microsoft YaHei" w:eastAsia="Microsoft YaHei"/>
                <w:sz w:val="21"/>
              </w:rPr>
              <w:t>15</w:t>
            </w:r>
          </w:p>
        </w:tc>
        <w:tc>
          <w:tcPr>
            <w:tcW w:type="dxa" w:w="3022"/>
          </w:tcPr>
          <w:p>
            <w:pPr>
              <w:spacing w:after="40"/>
            </w:pPr>
            <w:r/>
            <w:r>
              <w:rPr>
                <w:rFonts w:ascii="Microsoft YaHei" w:hAnsi="Microsoft YaHei" w:eastAsia="Microsoft YaHei"/>
                <w:sz w:val="21"/>
              </w:rPr>
              <w:t>油（电）卡管理</w:t>
            </w:r>
          </w:p>
        </w:tc>
        <w:tc>
          <w:tcPr>
            <w:tcW w:type="dxa" w:w="3022"/>
          </w:tcPr>
          <w:p>
            <w:pPr>
              <w:spacing w:after="40"/>
            </w:pPr>
            <w:r/>
            <w:r>
              <w:rPr>
                <w:rFonts w:ascii="Microsoft YaHei" w:hAnsi="Microsoft YaHei" w:eastAsia="Microsoft YaHei"/>
                <w:sz w:val="21"/>
              </w:rPr>
              <w:t>管理人员对油（电）卡实现统一管理，配属到车辆，进行一车一卡管理。主要功能有新增、修改、删除、余额统计、用油确认、查看等记录、统计功能。</w:t>
            </w:r>
          </w:p>
        </w:tc>
      </w:tr>
      <w:tr>
        <w:tc>
          <w:tcPr>
            <w:tcW w:type="dxa" w:w="3022"/>
          </w:tcPr>
          <w:p>
            <w:pPr>
              <w:spacing w:after="40"/>
            </w:pPr>
            <w:r/>
            <w:r>
              <w:rPr>
                <w:rFonts w:ascii="Microsoft YaHei" w:hAnsi="Microsoft YaHei" w:eastAsia="Microsoft YaHei"/>
                <w:sz w:val="21"/>
              </w:rPr>
              <w:t>16</w:t>
            </w:r>
          </w:p>
        </w:tc>
        <w:tc>
          <w:tcPr>
            <w:tcW w:type="dxa" w:w="3022"/>
          </w:tcPr>
          <w:p>
            <w:pPr>
              <w:spacing w:after="40"/>
            </w:pPr>
            <w:r/>
            <w:r>
              <w:rPr>
                <w:rFonts w:ascii="Microsoft YaHei" w:hAnsi="Microsoft YaHei" w:eastAsia="Microsoft YaHei"/>
                <w:sz w:val="21"/>
              </w:rPr>
              <w:t>人证管理</w:t>
            </w:r>
          </w:p>
        </w:tc>
        <w:tc>
          <w:tcPr>
            <w:tcW w:type="dxa" w:w="3022"/>
          </w:tcPr>
          <w:p>
            <w:pPr>
              <w:spacing w:after="40"/>
            </w:pPr>
            <w:r/>
            <w:r>
              <w:rPr>
                <w:rFonts w:ascii="Microsoft YaHei" w:hAnsi="Microsoft YaHei" w:eastAsia="Microsoft YaHei"/>
                <w:sz w:val="21"/>
              </w:rPr>
              <w:t>相关人员的信息管理（人员信息、驾驶证、营运证）及相关费用管理。</w:t>
            </w:r>
          </w:p>
        </w:tc>
      </w:tr>
      <w:tr>
        <w:tc>
          <w:tcPr>
            <w:tcW w:type="dxa" w:w="3022"/>
          </w:tcPr>
          <w:p>
            <w:pPr>
              <w:spacing w:after="40"/>
            </w:pPr>
            <w:r/>
            <w:r>
              <w:rPr>
                <w:rFonts w:ascii="Microsoft YaHei" w:hAnsi="Microsoft YaHei" w:eastAsia="Microsoft YaHei"/>
                <w:sz w:val="21"/>
              </w:rPr>
              <w:t>17</w:t>
            </w:r>
          </w:p>
        </w:tc>
        <w:tc>
          <w:tcPr>
            <w:tcW w:type="dxa" w:w="3022"/>
          </w:tcPr>
          <w:p>
            <w:pPr>
              <w:spacing w:after="40"/>
            </w:pPr>
            <w:r/>
            <w:r>
              <w:rPr>
                <w:rFonts w:ascii="Microsoft YaHei" w:hAnsi="Microsoft YaHei" w:eastAsia="Microsoft YaHei"/>
                <w:sz w:val="21"/>
              </w:rPr>
              <w:t>财务管理</w:t>
            </w:r>
          </w:p>
        </w:tc>
        <w:tc>
          <w:tcPr>
            <w:tcW w:type="dxa" w:w="3022"/>
          </w:tcPr>
          <w:p>
            <w:pPr>
              <w:spacing w:after="40"/>
            </w:pPr>
            <w:r/>
            <w:r>
              <w:rPr>
                <w:rFonts w:ascii="Microsoft YaHei" w:hAnsi="Microsoft YaHei" w:eastAsia="Microsoft YaHei"/>
                <w:sz w:val="21"/>
              </w:rPr>
              <w:t>根据运输合同管理相关合同款项的结算情况。</w:t>
            </w:r>
          </w:p>
        </w:tc>
      </w:tr>
      <w:tr>
        <w:tc>
          <w:tcPr>
            <w:tcW w:type="dxa" w:w="3022"/>
          </w:tcPr>
          <w:p>
            <w:pPr>
              <w:spacing w:after="40"/>
            </w:pPr>
            <w:r/>
            <w:r>
              <w:rPr>
                <w:rFonts w:ascii="Microsoft YaHei" w:hAnsi="Microsoft YaHei" w:eastAsia="Microsoft YaHei"/>
                <w:sz w:val="21"/>
              </w:rPr>
              <w:t>18</w:t>
            </w:r>
          </w:p>
        </w:tc>
        <w:tc>
          <w:tcPr>
            <w:tcW w:type="dxa" w:w="3022"/>
          </w:tcPr>
          <w:p>
            <w:pPr>
              <w:spacing w:after="40"/>
            </w:pPr>
            <w:r/>
            <w:r>
              <w:rPr>
                <w:rFonts w:ascii="Microsoft YaHei" w:hAnsi="Microsoft YaHei" w:eastAsia="Microsoft YaHei"/>
                <w:sz w:val="21"/>
              </w:rPr>
              <w:t>报表管理</w:t>
            </w:r>
          </w:p>
        </w:tc>
        <w:tc>
          <w:tcPr>
            <w:tcW w:type="dxa" w:w="3022"/>
          </w:tcPr>
          <w:p>
            <w:pPr>
              <w:spacing w:after="40"/>
            </w:pPr>
            <w:r/>
            <w:r>
              <w:rPr>
                <w:rFonts w:ascii="Microsoft YaHei" w:hAnsi="Microsoft YaHei" w:eastAsia="Microsoft YaHei"/>
                <w:sz w:val="21"/>
              </w:rPr>
              <w:t>单车人员工资、成本、费用、利润报表，整体成本、费用利润报表。</w:t>
            </w:r>
          </w:p>
        </w:tc>
      </w:tr>
    </w:tbl>
    <w:p/>
    <w:p>
      <w:pPr>
        <w:pStyle w:val="Heading2"/>
      </w:pPr>
      <w:r>
        <w:t>5. 功能需求逐项说明</w:t>
      </w:r>
    </w:p>
    <w:p>
      <w:pPr>
        <w:pStyle w:val="Heading3"/>
      </w:pPr>
      <w:r>
        <w:t>5.1 车辆信息</w:t>
      </w:r>
    </w:p>
    <w:p>
      <w:pPr>
        <w:spacing w:after="120"/>
      </w:pPr>
      <w:r>
        <w:t>功能需求理解 车辆类别（油车/电车）、品牌、型号、参数、轴数、自重、载重等所有车辆相关信息该功能需支撑业务主体在标准流程、异常场景和监管抽查场景下完成统一办理，并保证数据可追溯、结果可核验。</w:t>
      </w:r>
    </w:p>
    <w:p>
      <w:pPr>
        <w:spacing w:after="120"/>
      </w:pPr>
      <w:r>
        <w:t>业务分析 “车辆信息”不仅服务单点操作，还需要与上游主数据、审批规则、消息通知和统计分析形成联动，确保业务从发起、处理、反馈到归档全程留痕。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用户进入“车辆信息”功能页面，按角色权限选择查询范围或业务对象。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校验通过后，系统执行“车辆信息”对应的业务处理、状态流转或统计计算。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核心展示内容至少覆盖：车辆类别（油车/电车）、品牌、型号、参数、轴数、自重、载重等所有车辆相关信息。</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“车辆信息”应以车辆管理模块的业务对象为主，不替代其他模块的主数据维护职责。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5.2 保险管理</w:t>
      </w:r>
    </w:p>
    <w:p>
      <w:pPr>
        <w:spacing w:after="120"/>
      </w:pPr>
      <w:r>
        <w:t>功能需求理解 管理公司所有车辆（含租赁）保险信息（如承保单位，险种等），保险金额、起止时间、出险赔付相关信息数据录入，汇总、查询分析，支持自定义时间保险到期预警该功能需支撑业务主体在标准流程、异常场景和监管抽查场景下完成统一办理，并保证数据可追溯、结果可核验。</w:t>
      </w:r>
    </w:p>
    <w:p>
      <w:pPr>
        <w:spacing w:after="120"/>
      </w:pPr>
      <w:r>
        <w:t>业务分析 “保险管理”不仅服务单点操作，还需要与上游主数据、审批规则、消息通知和统计分析形成联动，确保业务从发起、处理、反馈到归档全程留痕。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用户进入“保险管理”功能页面，按角色权限选择查询范围或业务对象。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校验通过后，系统执行“保险管理”对应的业务处理、状态流转或统计计算。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核心展示内容至少覆盖：管理公司所有车辆（含租赁）保险信息（如承保单位，险种等），保险金额、起止时间、出险赔付相关信息数据录入，汇总、查询分析，支持自定义时间保险到期预警。</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“保险管理”应以车辆管理模块的业务对象为主，不替代其他模块的主数据维护职责。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5.3 维修管理</w:t>
      </w:r>
    </w:p>
    <w:p>
      <w:pPr>
        <w:spacing w:after="120"/>
      </w:pPr>
      <w:r>
        <w:t>功能需求理解 所有公司名下的车辆维修维护保养情况统计，日常车辆机务管理，定点维修企业信息统计等，相关费用登记汇总查询。该功能需支撑业务主体在标准流程、异常场景和监管抽查场景下完成统一办理，并保证数据可追溯、结果可核验。</w:t>
      </w:r>
    </w:p>
    <w:p>
      <w:pPr>
        <w:spacing w:after="120"/>
      </w:pPr>
      <w:r>
        <w:t>业务分析 “维修管理”不仅服务单点操作，还需要与上游主数据、审批规则、消息通知和统计分析形成联动，确保业务从发起、处理、反馈到归档全程留痕。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用户进入“维修管理”功能页面，按角色权限选择查询范围或业务对象。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校验通过后，系统执行“维修管理”对应的业务处理、状态流转或统计计算。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核心展示内容至少覆盖：所有公司名下的车辆维修维护保养情况统计，日常车辆机务管理，定点维修企业信息统计等，相关费用登记汇总查询。</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“维修管理”应以车辆管理模块的业务对象为主，不替代其他模块的主数据维护职责。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5.4 维保计划</w:t>
      </w:r>
    </w:p>
    <w:p>
      <w:pPr>
        <w:spacing w:after="120"/>
      </w:pPr>
      <w:r>
        <w:t>功能需求理解 管理人员根据车辆维保记录，制订车辆的维保计划，主要功能为维保计划的新增、修改、删除、维保登记、导出、查看历史维保记录等。支持自定义日月年维保到期预警提示。该功能需支撑业务主体在标准流程、异常场景和监管抽查场景下完成统一办理，并保证数据可追溯、结果可核验。</w:t>
      </w:r>
    </w:p>
    <w:p>
      <w:pPr>
        <w:spacing w:after="120"/>
      </w:pPr>
      <w:r>
        <w:t>业务分析 “维保计划”不仅服务单点操作，还需要与上游主数据、审批规则、消息通知和统计分析形成联动，确保业务从发起、处理、反馈到归档全程留痕。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用户进入“维保计划”功能页面，按角色权限选择查询范围或业务对象。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校验通过后，系统执行“维保计划”对应的业务处理、状态流转或统计计算。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核心展示内容至少覆盖：管理人员根据车辆维保记录，制订车辆的维保计划，主要功能为维保计划的新增、修改、删除、维保登记、导出、查看历史维保记录等。支持自定义日月年维保到期预警提示。</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“维保计划”应以车辆管理模块的业务对象为主，不替代其他模块的主数据维护职责。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5.5 维保信息录入</w:t>
      </w:r>
    </w:p>
    <w:p>
      <w:pPr>
        <w:spacing w:after="120"/>
      </w:pPr>
      <w:r>
        <w:t>功能需求理解 全面记录车辆维修保养过程中的关键信息，确保维修过程透明、高效，并为后续保养及故障排查提供有力依据。该登记表内容需详尽，结构清晰，覆盖车辆基本信息、维修情况、维保项目、费用明细及维修人员签字等多个方面。该功能需支撑业务主体在标准流程、异常场景和监管抽查场景下完成统一办理，并保证数据可追溯、结果可核验。</w:t>
      </w:r>
    </w:p>
    <w:p>
      <w:pPr>
        <w:spacing w:after="120"/>
      </w:pPr>
      <w:r>
        <w:t>业务分析 “维保信息录入”不仅服务单点操作，还需要与上游主数据、审批规则、消息通知和统计分析形成联动，确保业务从发起、处理、反馈到归档全程留痕。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用户进入“维保信息录入”功能页面，按角色权限选择查询范围或业务对象。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校验通过后，系统执行“维保信息录入”对应的业务处理、状态流转或统计计算。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全面记录车辆维修保养过程中的关键信息，确保维修过程透明、高效，并为后续保养及故障排查提供有力依据。该登记表内容需详尽，结构清晰，覆盖车辆基本信息、维修情况、维保项目、费用明细及维修人员签字等多个方面。</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“维保信息录入”应以车辆管理模块的业务对象为主，不替代其他模块的主数据维护职责。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5.6 维修申请</w:t>
      </w:r>
    </w:p>
    <w:p>
      <w:pPr>
        <w:spacing w:after="120"/>
      </w:pPr>
      <w:r>
        <w:t>功能需求理解 车辆维护人员根据车辆使用情况（里程、年限）做出车辆维修申请计划。具有提出申请、修改、删除、导出、查询等功能。主要信息包括车牌号、车型、购置日期、行驶里程、维修原因、维修内容、费用预算、紧急程度、申请人、申请日期、审核状态等。该功能需支撑业务主体在标准流程、异常场景和监管抽查场景下完成统一办理，并保证数据可追溯、结果可核验。</w:t>
      </w:r>
    </w:p>
    <w:p>
      <w:pPr>
        <w:spacing w:after="120"/>
      </w:pPr>
      <w:r>
        <w:t>业务分析 “维修申请”不仅服务单点操作，还需要与上游主数据、审批规则、消息通知和统计分析形成联动，确保业务从发起、处理、反馈到归档全程留痕。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用户进入“维修申请”功能页面，按角色权限选择查询范围或业务对象。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校验通过后，系统执行“维修申请”对应的业务处理、状态流转或统计计算。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车辆维护人员根据车辆使用情况（里程、年限）做出车辆维修申请计划。具有提出申请、修改、删除、导出、查询等功能。主要信息包括车牌号、车型、购置日期、行驶里程、维修原因、维修内容、费用预算、紧急程度、申请人、申请日期、审核状态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新建申请：打开申请单表单，支持录入基础信息、附件和办理说明。</w:t>
      </w:r>
    </w:p>
    <w:p>
      <w:pPr>
        <w:pStyle w:val="ListBullet"/>
        <w:spacing w:after="40"/>
      </w:pPr>
      <w:r>
        <w:t>暂存：保存当前录入内容为草稿，不触发审批、推送或同步流程。</w:t>
      </w:r>
    </w:p>
    <w:p>
      <w:pPr>
        <w:pStyle w:val="ListBullet"/>
        <w:spacing w:after="40"/>
      </w:pPr>
      <w:r>
        <w:t>提交：完成校验后正式提交，进入后续处理、审批或同步流程。</w:t>
      </w:r>
    </w:p>
    <w:p>
      <w:pPr>
        <w:pStyle w:val="ListBullet"/>
        <w:spacing w:after="40"/>
      </w:pPr>
      <w:r>
        <w:t>查看进度：查看申请单当前状态、办理节点、处理时限和历史轨迹。</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“维修申请”应以车辆管理模块的业务对象为主，不替代其他模块的主数据维护职责。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5.7 维修审批</w:t>
      </w:r>
    </w:p>
    <w:p>
      <w:pPr>
        <w:spacing w:after="120"/>
      </w:pPr>
      <w:r>
        <w:t>功能需求理解 管理人员对提交的车辆维修申请，根据车辆实际情况，进行审批。具有审核、驳回、查询、导出等功能。该功能需支撑业务主体在标准流程、异常场景和监管抽查场景下完成统一办理，并保证数据可追溯、结果可核验。</w:t>
      </w:r>
    </w:p>
    <w:p>
      <w:pPr>
        <w:spacing w:after="120"/>
      </w:pPr>
      <w:r>
        <w:t>业务分析 “维修审批”不仅服务单点操作，还需要与上游主数据、审批规则、消息通知和统计分析形成联动，确保业务从发起、处理、反馈到归档全程留痕。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用户进入“维修审批”功能页面，按角色权限选择查询范围或业务对象。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校验通过后，系统执行“维修审批”对应的业务处理、状态流转或统计计算。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核心展示内容至少覆盖：管理人员对提交的车辆维修申请，根据车辆实际情况，进行审批。具有审核、驳回、查询、导出等功能。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提交审批：校验必填材料和业务状态后发起审批，提交成功后进入审批流。</w:t>
      </w:r>
    </w:p>
    <w:p>
      <w:pPr>
        <w:pStyle w:val="ListBullet"/>
        <w:spacing w:after="40"/>
      </w:pPr>
      <w:r>
        <w:t>通过：审核通过当前事项并进入下一节点或办理完成，需记录审批意见。</w:t>
      </w:r>
    </w:p>
    <w:p>
      <w:pPr>
        <w:pStyle w:val="ListBullet"/>
        <w:spacing w:after="40"/>
      </w:pPr>
      <w:r>
        <w:t>退回：填写退回原因后将事项退回上一步或发起人，并触发消息通知。</w:t>
      </w:r>
    </w:p>
    <w:p>
      <w:pPr>
        <w:pStyle w:val="ListBullet"/>
        <w:spacing w:after="40"/>
      </w:pPr>
      <w:r>
        <w:t>查看流程：查看流程节点、当前处理人、历史意见和处理时间。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输出审批结果、审批意见、审批轨迹及消息通知结果，并同步更新业务状态。</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“维修审批”应以车辆管理模块的业务对象为主，不替代其他模块的主数据维护职责。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5.8 车型管理</w:t>
      </w:r>
    </w:p>
    <w:p>
      <w:pPr>
        <w:spacing w:after="120"/>
      </w:pPr>
      <w:r>
        <w:t>功能需求理解 对车辆的车型分类管理，形成车型字典库。主要功能有新增、修改、删除等功能。主要信息包括品牌、车型、限乘人数、载重数等。该功能需支撑业务主体在标准流程、异常场景和监管抽查场景下完成统一办理，并保证数据可追溯、结果可核验。</w:t>
      </w:r>
    </w:p>
    <w:p>
      <w:pPr>
        <w:spacing w:after="120"/>
      </w:pPr>
      <w:r>
        <w:t>业务分析 “车型管理”不仅服务单点操作，还需要与上游主数据、审批规则、消息通知和统计分析形成联动，确保业务从发起、处理、反馈到归档全程留痕。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用户进入“车型管理”功能页面，按角色权限选择查询范围或业务对象。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校验通过后，系统执行“车型管理”对应的业务处理、状态流转或统计计算。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核心展示内容至少覆盖：对车辆的车型分类管理，形成车型字典库。主要功能有新增、修改、删除等功能。主要信息包括品牌、车型、限乘人数、载重数等。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“车型管理”应以车辆管理模块的业务对象为主，不替代其他模块的主数据维护职责。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5.9 车辆信息维护</w:t>
      </w:r>
    </w:p>
    <w:p>
      <w:pPr>
        <w:spacing w:after="120"/>
      </w:pPr>
      <w:r>
        <w:t>功能需求理解 管理人员维护车辆的基础信息，主要功能有新增、修改、删除等。该功能需支撑业务主体在标准流程、异常场景和监管抽查场景下完成统一办理，并保证数据可追溯、结果可核验。</w:t>
      </w:r>
    </w:p>
    <w:p>
      <w:pPr>
        <w:spacing w:after="120"/>
      </w:pPr>
      <w:r>
        <w:t>业务分析 “车辆信息维护”不仅服务单点操作，还需要与上游主数据、审批规则、消息通知和统计分析形成联动，确保业务从发起、处理、反馈到归档全程留痕。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用户进入“车辆信息维护”功能页面，按角色权限选择查询范围或业务对象。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校验通过后，系统执行“车辆信息维护”对应的业务处理、状态流转或统计计算。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核心展示内容至少覆盖：管理人员维护车辆的基础信息，主要功能有新增、修改、删除等。</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“车辆信息维护”应以车辆管理模块的业务对象为主，不替代其他模块的主数据维护职责。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5.10 车队信息查询</w:t>
      </w:r>
    </w:p>
    <w:p>
      <w:pPr>
        <w:spacing w:after="120"/>
      </w:pPr>
      <w:r>
        <w:t>功能需求理解 分区块直观展示各车队的信息，包括车队名、队长、司机及状态，并可快捷填写出勤和排班信息。该功能需支撑业务主体在标准流程、异常场景和监管抽查场景下完成统一办理，并保证数据可追溯、结果可核验。</w:t>
      </w:r>
    </w:p>
    <w:p>
      <w:pPr>
        <w:spacing w:after="120"/>
      </w:pPr>
      <w:r>
        <w:t>业务分析 “车队信息查询”不仅服务单点操作，还需要与上游主数据、审批规则、消息通知和统计分析形成联动，确保业务从发起、处理、反馈到归档全程留痕。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用户进入“车队信息查询”功能页面，按角色权限选择查询范围或业务对象。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校验通过后，系统执行“车队信息查询”对应的业务处理、状态流转或统计计算。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核心展示内容至少覆盖：分区块直观展示各车队的信息，包括车队名、队长、司机及状态，并可快捷填写出勤和排班信息。</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“车队信息查询”应以车辆管理模块的业务对象为主，不替代其他模块的主数据维护职责。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5.11 车队信息维护</w:t>
      </w:r>
    </w:p>
    <w:p>
      <w:pPr>
        <w:spacing w:after="120"/>
      </w:pPr>
      <w:r>
        <w:t>功能需求理解 对车队以及司机信息维护管理，主要功能有录入、修改、删除、查看等操作。该功能需支撑业务主体在标准流程、异常场景和监管抽查场景下完成统一办理，并保证数据可追溯、结果可核验。</w:t>
      </w:r>
    </w:p>
    <w:p>
      <w:pPr>
        <w:spacing w:after="120"/>
      </w:pPr>
      <w:r>
        <w:t>业务分析 “车队信息维护”不仅服务单点操作，还需要与上游主数据、审批规则、消息通知和统计分析形成联动，确保业务从发起、处理、反馈到归档全程留痕。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用户进入“车队信息维护”功能页面，按角色权限选择查询范围或业务对象。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校验通过后，系统执行“车队信息维护”对应的业务处理、状态流转或统计计算。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核心展示内容至少覆盖：对车队以及司机信息维护管理，主要功能有录入、修改、删除、查看等操作。</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“车队信息维护”应以车辆管理模块的业务对象为主，不替代其他模块的主数据维护职责。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5.12 运输计划</w:t>
      </w:r>
    </w:p>
    <w:p>
      <w:pPr>
        <w:spacing w:after="120"/>
      </w:pPr>
      <w:r>
        <w:t>功能需求理解 制定车队运输计划，主要功能为运输计划的新增、修改、删除、导出、查看采购计划和物资运输计划等功能。该功能需支撑业务主体在标准流程、异常场景和监管抽查场景下完成统一办理，并保证数据可追溯、结果可核验。</w:t>
      </w:r>
    </w:p>
    <w:p>
      <w:pPr>
        <w:spacing w:after="120"/>
      </w:pPr>
      <w:r>
        <w:t>业务分析 “运输计划”不仅服务单点操作，还需要与上游主数据、审批规则、消息通知和统计分析形成联动，确保业务从发起、处理、反馈到归档全程留痕。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用户进入“运输计划”功能页面，按角色权限选择查询范围或业务对象。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校验通过后，系统执行“运输计划”对应的业务处理、状态流转或统计计算。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核心展示内容至少覆盖：制定车队运输计划，主要功能为运输计划的新增、修改、删除、导出、查看采购计划和物资运输计划等功能。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“运输计划”应以车辆管理模块的业务对象为主，不替代其他模块的主数据维护职责。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5.13 车队调度申请</w:t>
      </w:r>
    </w:p>
    <w:p>
      <w:pPr>
        <w:spacing w:after="120"/>
      </w:pPr>
      <w:r>
        <w:t>功能需求理解 根据车队运输计划，调度人员申请车队调拨。调度人员根据运输计划，提前进行车队调拨申请。主要功能有提出申请、修改、删除、导出、查询等功能。该功能需支撑业务主体在标准流程、异常场景和监管抽查场景下完成统一办理，并保证数据可追溯、结果可核验。</w:t>
      </w:r>
    </w:p>
    <w:p>
      <w:pPr>
        <w:spacing w:after="120"/>
      </w:pPr>
      <w:r>
        <w:t>业务分析 “车队调度申请”不仅服务单点操作，还需要与上游主数据、审批规则、消息通知和统计分析形成联动，确保业务从发起、处理、反馈到归档全程留痕。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用户进入“车队调度申请”功能页面，按角色权限选择查询范围或业务对象。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校验通过后，系统执行“车队调度申请”对应的业务处理、状态流转或统计计算。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核心展示内容至少覆盖：根据车队运输计划，调度人员申请车队调拨。调度人员根据运输计划，提前进行车队调拨申请。主要功能有提出申请、修改、删除、导出、查询等功能。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新建申请：打开申请单表单，支持录入基础信息、附件和办理说明。</w:t>
      </w:r>
    </w:p>
    <w:p>
      <w:pPr>
        <w:pStyle w:val="ListBullet"/>
        <w:spacing w:after="40"/>
      </w:pPr>
      <w:r>
        <w:t>暂存：保存当前录入内容为草稿，不触发审批、推送或同步流程。</w:t>
      </w:r>
    </w:p>
    <w:p>
      <w:pPr>
        <w:pStyle w:val="ListBullet"/>
        <w:spacing w:after="40"/>
      </w:pPr>
      <w:r>
        <w:t>提交：完成校验后正式提交，进入后续处理、审批或同步流程。</w:t>
      </w:r>
    </w:p>
    <w:p>
      <w:pPr>
        <w:pStyle w:val="ListBullet"/>
        <w:spacing w:after="40"/>
      </w:pPr>
      <w:r>
        <w:t>查看进度：查看申请单当前状态、办理节点、处理时限和历史轨迹。</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“车队调度申请”应以车辆管理模块的业务对象为主，不替代其他模块的主数据维护职责。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5.14 车队调度审批</w:t>
      </w:r>
    </w:p>
    <w:p>
      <w:pPr>
        <w:spacing w:after="120"/>
      </w:pPr>
      <w:r>
        <w:t>功能需求理解 管理人员对提交的车队调拨申请，根据实际需求，进行审批。具有审核、驳回、查询、导出等功能。该功能需支撑业务主体在标准流程、异常场景和监管抽查场景下完成统一办理，并保证数据可追溯、结果可核验。</w:t>
      </w:r>
    </w:p>
    <w:p>
      <w:pPr>
        <w:spacing w:after="120"/>
      </w:pPr>
      <w:r>
        <w:t>业务分析 “车队调度审批”不仅服务单点操作，还需要与上游主数据、审批规则、消息通知和统计分析形成联动，确保业务从发起、处理、反馈到归档全程留痕。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pStyle w:val="ListBullet"/>
        <w:spacing w:after="40"/>
      </w:pPr>
      <w:r>
        <w:t>业务单据已满足提交条件，且办事材料已按要求准备齐全。</w:t>
      </w:r>
    </w:p>
    <w:p>
      <w:pPr>
        <w:spacing w:after="120"/>
      </w:pPr>
      <w:r>
        <w:t>功能操作流程</w:t>
      </w:r>
    </w:p>
    <w:p>
      <w:pPr>
        <w:pStyle w:val="ListNumber"/>
        <w:spacing w:after="40"/>
      </w:pPr>
      <w:r>
        <w:t>用户进入“车队调度审批”功能页面，按角色权限选择查询范围或业务对象。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校验通过后，系统执行“车队调度审批”对应的业务处理、状态流转或统计计算。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核心展示内容至少覆盖：管理人员对提交的车队调拨申请，根据实际需求，进行审批。具有审核、驳回、查询、导出等功能。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提交审批：校验必填材料和业务状态后发起审批，提交成功后进入审批流。</w:t>
      </w:r>
    </w:p>
    <w:p>
      <w:pPr>
        <w:pStyle w:val="ListBullet"/>
        <w:spacing w:after="40"/>
      </w:pPr>
      <w:r>
        <w:t>通过：审核通过当前事项并进入下一节点或办理完成，需记录审批意见。</w:t>
      </w:r>
    </w:p>
    <w:p>
      <w:pPr>
        <w:pStyle w:val="ListBullet"/>
        <w:spacing w:after="40"/>
      </w:pPr>
      <w:r>
        <w:t>退回：填写退回原因后将事项退回上一步或发起人，并触发消息通知。</w:t>
      </w:r>
    </w:p>
    <w:p>
      <w:pPr>
        <w:pStyle w:val="ListBullet"/>
        <w:spacing w:after="40"/>
      </w:pPr>
      <w:r>
        <w:t>查看流程：查看流程节点、当前处理人、历史意见和处理时间。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输出审批结果、审批意见、审批轨迹及消息通知结果，并同步更新业务状态。</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“车队调度审批”应以车辆管理模块的业务对象为主，不替代其他模块的主数据维护职责。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5.15 油（电）卡管理</w:t>
      </w:r>
    </w:p>
    <w:p>
      <w:pPr>
        <w:spacing w:after="120"/>
      </w:pPr>
      <w:r>
        <w:t>功能需求理解 管理人员对油（电）卡实现统一管理，配属到车辆，进行一车一卡管理。主要功能有新增、修改、删除、余额统计、用油确认、查看等记录、统计功能。该功能需支撑业务主体在标准流程、异常场景和监管抽查场景下完成统一办理，并保证数据可追溯、结果可核验。</w:t>
      </w:r>
    </w:p>
    <w:p>
      <w:pPr>
        <w:spacing w:after="120"/>
      </w:pPr>
      <w:r>
        <w:t>业务分析 “油（电）卡管理”不仅服务单点操作，还需要与上游主数据、审批规则、消息通知和统计分析形成联动，确保业务从发起、处理、反馈到归档全程留痕。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用户进入“油（电）卡管理”功能页面，按角色权限选择查询范围或业务对象。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校验通过后，系统执行“油（电）卡管理”对应的业务处理、状态流转或统计计算。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核心展示内容至少覆盖：管理人员对油（电）卡实现统一管理，配属到车辆，进行一车一卡管理。主要功能有新增、修改、删除、余额统计、用油确认、查看等记录、统计功能。</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“油（电）卡管理”应以车辆管理模块的业务对象为主，不替代其他模块的主数据维护职责。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5.16 人证管理</w:t>
      </w:r>
    </w:p>
    <w:p>
      <w:pPr>
        <w:spacing w:after="120"/>
      </w:pPr>
      <w:r>
        <w:t>功能需求理解 相关人员的信息管理（人员信息、驾驶证、营运证）及相关费用管理。该功能需支撑业务主体在标准流程、异常场景和监管抽查场景下完成统一办理，并保证数据可追溯、结果可核验。</w:t>
      </w:r>
    </w:p>
    <w:p>
      <w:pPr>
        <w:spacing w:after="120"/>
      </w:pPr>
      <w:r>
        <w:t>业务分析 “人证管理”不仅服务单点操作，还需要与上游主数据、审批规则、消息通知和统计分析形成联动，确保业务从发起、处理、反馈到归档全程留痕。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用户进入“人证管理”功能页面，按角色权限选择查询范围或业务对象。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校验通过后，系统执行“人证管理”对应的业务处理、状态流转或统计计算。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核心展示内容至少覆盖：相关人员的信息管理（人员信息、驾驶证、营运证）及相关费用管理。</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“人证管理”应以车辆管理模块的业务对象为主，不替代其他模块的主数据维护职责。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5.17 财务管理</w:t>
      </w:r>
    </w:p>
    <w:p>
      <w:pPr>
        <w:spacing w:after="120"/>
      </w:pPr>
      <w:r>
        <w:t>功能需求理解 根据运输合同管理相关合同款项的结算情况。该功能需支撑业务主体在标准流程、异常场景和监管抽查场景下完成统一办理，并保证数据可追溯、结果可核验。</w:t>
      </w:r>
    </w:p>
    <w:p>
      <w:pPr>
        <w:spacing w:after="120"/>
      </w:pPr>
      <w:r>
        <w:t>业务分析 “财务管理”不仅服务单点操作，还需要与上游主数据、审批规则、消息通知和统计分析形成联动，确保业务从发起、处理、反馈到归档全程留痕。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spacing w:after="120"/>
      </w:pPr>
      <w:r>
        <w:t>功能操作流程</w:t>
      </w:r>
    </w:p>
    <w:p>
      <w:pPr>
        <w:pStyle w:val="ListNumber"/>
        <w:spacing w:after="40"/>
      </w:pPr>
      <w:r>
        <w:t>用户进入“财务管理”功能页面，按角色权限选择查询范围或业务对象。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校验通过后，系统执行“财务管理”对应的业务处理、状态流转或统计计算。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核心展示内容至少覆盖：根据运输合同管理相关合同款项的结算情况。</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新增：打开新增表单，录入业务对象基础信息并保存为草稿或正式记录。</w:t>
      </w:r>
    </w:p>
    <w:p>
      <w:pPr>
        <w:pStyle w:val="ListBullet"/>
        <w:spacing w:after="40"/>
      </w:pPr>
      <w:r>
        <w:t>编辑：打开编辑状态，允许修改当前可维护字段，保存后更新版本和更新时间。</w:t>
      </w:r>
    </w:p>
    <w:p>
      <w:pPr>
        <w:pStyle w:val="ListBullet"/>
        <w:spacing w:after="40"/>
      </w:pPr>
      <w:r>
        <w:t>删除：仅在允许删除的状态下显示，点击后需二次确认并记录删除原因与操作日志。</w:t>
      </w:r>
    </w:p>
    <w:p>
      <w:pPr>
        <w:pStyle w:val="ListBullet"/>
        <w:spacing w:after="40"/>
      </w:pPr>
      <w:r>
        <w:t>查看详情：打开详情页或详情抽屉，展示全量业务信息、流程轨迹、附件和历史记录。</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输出业务处理结果、主数据变更状态、台账记录或详情视图，并保留审计痕迹。</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“财务管理”应以车辆管理模块的业务对象为主，不替代其他模块的主数据维护职责。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3"/>
      </w:pPr>
      <w:r>
        <w:t>5.18 报表管理</w:t>
      </w:r>
    </w:p>
    <w:p>
      <w:pPr>
        <w:spacing w:after="120"/>
      </w:pPr>
      <w:r>
        <w:t>功能需求理解 单车人员工资、成本、费用、利润报表，整体成本、费用利润报表。该功能需支撑业务主体在标准流程、异常场景和监管抽查场景下完成统一办理，并保证数据可追溯、结果可核验。</w:t>
      </w:r>
    </w:p>
    <w:p>
      <w:pPr>
        <w:spacing w:after="120"/>
      </w:pPr>
      <w:r>
        <w:t>业务分析 “报表管理”不仅服务单点操作，还需要与上游主数据、审批规则、消息通知和统计分析形成联动，确保业务从发起、处理、反馈到归档全程留痕。</w:t>
      </w:r>
    </w:p>
    <w:p>
      <w:pPr>
        <w:spacing w:after="120"/>
      </w:pPr>
      <w:r>
        <w:t>适用角色</w:t>
      </w:r>
    </w:p>
    <w:p>
      <w:pPr>
        <w:pStyle w:val="ListBullet"/>
        <w:spacing w:after="40"/>
      </w:pPr>
      <w:r>
        <w:t>车队管理员、机务管理员、调度员、财务人员、驾驶员管理人员</w:t>
      </w:r>
    </w:p>
    <w:p>
      <w:pPr>
        <w:spacing w:after="120"/>
      </w:pPr>
      <w:r>
        <w:t>业务前置条件</w:t>
      </w:r>
    </w:p>
    <w:p>
      <w:pPr>
        <w:pStyle w:val="ListBullet"/>
        <w:spacing w:after="40"/>
      </w:pPr>
      <w:r>
        <w:t>已完成车辆管理相关主数据建档并通过角色授权。</w:t>
      </w:r>
    </w:p>
    <w:p>
      <w:pPr>
        <w:pStyle w:val="ListBullet"/>
        <w:spacing w:after="40"/>
      </w:pPr>
      <w:r>
        <w:t>当前用户具备对应菜单、按钮和数据范围权限。</w:t>
      </w:r>
    </w:p>
    <w:p>
      <w:pPr>
        <w:pStyle w:val="ListBullet"/>
        <w:spacing w:after="40"/>
      </w:pPr>
      <w:r>
        <w:t>统计周期、时间范围和口径规则已配置完成。</w:t>
      </w:r>
    </w:p>
    <w:p>
      <w:pPr>
        <w:spacing w:after="120"/>
      </w:pPr>
      <w:r>
        <w:t>功能操作流程</w:t>
      </w:r>
    </w:p>
    <w:p>
      <w:pPr>
        <w:pStyle w:val="ListNumber"/>
        <w:spacing w:after="40"/>
      </w:pPr>
      <w:r>
        <w:t>用户进入“报表管理”功能页面，按角色权限选择查询范围或业务对象。</w:t>
      </w:r>
    </w:p>
    <w:p>
      <w:pPr>
        <w:pStyle w:val="ListNumber"/>
        <w:spacing w:after="40"/>
      </w:pPr>
      <w:r>
        <w:t>系统对输入条件、主数据关联关系和必填信息进行校验。</w:t>
      </w:r>
    </w:p>
    <w:p>
      <w:pPr>
        <w:pStyle w:val="ListNumber"/>
        <w:spacing w:after="40"/>
      </w:pPr>
      <w:r>
        <w:t>校验通过后，系统执行“报表管理”对应的业务处理、状态流转或统计计算。</w:t>
      </w:r>
    </w:p>
    <w:p>
      <w:pPr>
        <w:pStyle w:val="ListNumber"/>
        <w:spacing w:after="40"/>
      </w:pPr>
      <w:r>
        <w:t>处理结果同步回写业务主表、流程记录、消息记录和操作日志。</w:t>
      </w:r>
    </w:p>
    <w:p>
      <w:pPr>
        <w:pStyle w:val="ListNumber"/>
        <w:spacing w:after="40"/>
      </w:pPr>
      <w:r>
        <w:t>用户可在详情、台账、报表或消息中心查看处理结果和后续状态。</w:t>
      </w:r>
    </w:p>
    <w:p>
      <w:pPr>
        <w:spacing w:after="120"/>
      </w:pPr>
      <w:r>
        <w:t>页面展示要求</w:t>
      </w:r>
    </w:p>
    <w:p>
      <w:pPr>
        <w:pStyle w:val="ListBullet"/>
        <w:spacing w:after="40"/>
      </w:pPr>
      <w:r>
        <w:t>页面需区分查询区、结果区、操作区和详情区，支持列表与详情联动展示。</w:t>
      </w:r>
    </w:p>
    <w:p>
      <w:pPr>
        <w:pStyle w:val="ListBullet"/>
        <w:spacing w:after="40"/>
      </w:pPr>
      <w:r>
        <w:t>核心展示内容至少覆盖：单车人员工资、成本、费用、利润报表，整体成本、费用利润报表。</w:t>
      </w:r>
    </w:p>
    <w:p>
      <w:pPr>
        <w:pStyle w:val="ListBullet"/>
        <w:spacing w:after="40"/>
      </w:pPr>
      <w:r>
        <w:t>涉及流程事项时，页面需展示当前状态、办理节点、经办人、更新时间和历史轨迹。</w:t>
      </w:r>
    </w:p>
    <w:p>
      <w:pPr>
        <w:spacing w:after="120"/>
      </w:pPr>
      <w:r>
        <w:t>按钮及操作说明</w:t>
      </w:r>
    </w:p>
    <w:p>
      <w:pPr>
        <w:pStyle w:val="ListBullet"/>
        <w:spacing w:after="40"/>
      </w:pPr>
      <w:r>
        <w:t>查询：按当前筛选条件刷新列表结果，不改变业务数据。</w:t>
      </w:r>
    </w:p>
    <w:p>
      <w:pPr>
        <w:pStyle w:val="ListBullet"/>
        <w:spacing w:after="40"/>
      </w:pPr>
      <w:r>
        <w:t>统计：按当前筛选口径生成汇总指标、趋势图或排行结果。</w:t>
      </w:r>
    </w:p>
    <w:p>
      <w:pPr>
        <w:pStyle w:val="ListBullet"/>
        <w:spacing w:after="40"/>
      </w:pPr>
      <w:r>
        <w:t>导出：仅在用户具备导出权限且当前结果集不为空时显示，点击后生成导出任务并返回任务编号。</w:t>
      </w:r>
    </w:p>
    <w:p>
      <w:pPr>
        <w:pStyle w:val="ListBullet"/>
        <w:spacing w:after="40"/>
      </w:pPr>
      <w:r>
        <w:t>分享：生成分享链接、二维码或分享卡片，并按权限控制访问范围。</w:t>
      </w:r>
    </w:p>
    <w:p>
      <w:pPr>
        <w:spacing w:after="120"/>
      </w:pPr>
      <w:r>
        <w:t>字段与内容限制</w:t>
      </w:r>
    </w:p>
    <w:p>
      <w:pPr>
        <w:pStyle w:val="ListBullet"/>
        <w:spacing w:after="40"/>
      </w:pPr>
      <w:r>
        <w:t>编号、名称、关键字类字段支持模糊检索，单字段长度原则上不超过 100 个字符。</w:t>
      </w:r>
    </w:p>
    <w:p>
      <w:pPr>
        <w:pStyle w:val="ListBullet"/>
        <w:spacing w:after="40"/>
      </w:pPr>
      <w:r>
        <w:t>备注、说明、原因类字段建议限制在 500 个字符以内，避免超长文本影响审核与展示。</w:t>
      </w:r>
    </w:p>
    <w:p>
      <w:pPr>
        <w:pStyle w:val="ListBullet"/>
        <w:spacing w:after="40"/>
      </w:pPr>
      <w:r>
        <w:t>时间字段统一采用平台标准时间格式，金额保留两位小数，方量保留三位小数。</w:t>
      </w:r>
    </w:p>
    <w:p>
      <w:pPr>
        <w:spacing w:after="120"/>
      </w:pPr>
      <w:r>
        <w:t>输出结果</w:t>
      </w:r>
    </w:p>
    <w:p>
      <w:pPr>
        <w:pStyle w:val="ListBullet"/>
        <w:spacing w:after="40"/>
      </w:pPr>
      <w:r>
        <w:t>输出统计报表、汇总指标、趋势图、排名清单或导出文件，并支持按权限共享。</w:t>
      </w:r>
    </w:p>
    <w:p>
      <w:pPr>
        <w:spacing w:after="120"/>
      </w:pPr>
      <w:r>
        <w:t>异常与提示</w:t>
      </w:r>
    </w:p>
    <w:p>
      <w:pPr>
        <w:pStyle w:val="ListBullet"/>
        <w:spacing w:after="40"/>
      </w:pPr>
      <w:r>
        <w:t>当必填项缺失、字段格式错误或超出数据范围时，系统需即时阻断提交并给出明确提示。</w:t>
      </w:r>
    </w:p>
    <w:p>
      <w:pPr>
        <w:pStyle w:val="ListBullet"/>
        <w:spacing w:after="40"/>
      </w:pPr>
      <w:r>
        <w:t>当用户权限不足、数据不在授权范围内时，系统需拒绝访问并记录审计日志。</w:t>
      </w:r>
    </w:p>
    <w:p>
      <w:pPr>
        <w:pStyle w:val="ListBullet"/>
        <w:spacing w:after="40"/>
      </w:pPr>
      <w:r>
        <w:t>当业务状态不允许当前操作时，系统需提示当前状态与允许的后续动作。</w:t>
      </w:r>
    </w:p>
    <w:p>
      <w:pPr>
        <w:spacing w:after="120"/>
      </w:pPr>
      <w:r>
        <w:t>边界说明</w:t>
      </w:r>
    </w:p>
    <w:p>
      <w:pPr>
        <w:pStyle w:val="ListBullet"/>
        <w:spacing w:after="40"/>
      </w:pPr>
      <w:r>
        <w:t>“报表管理”应以车辆管理模块的业务对象为主，不替代其他模块的主数据维护职责。</w:t>
      </w:r>
    </w:p>
    <w:p>
      <w:pPr>
        <w:pStyle w:val="ListBullet"/>
        <w:spacing w:after="40"/>
      </w:pPr>
      <w:r>
        <w:t>系统需支持跨模块查询和联动，但跨模块数据修改应回到所属模块完成。</w:t>
      </w:r>
    </w:p>
    <w:p>
      <w:pPr>
        <w:pStyle w:val="Heading2"/>
      </w:pPr>
      <w:r>
        <w:t>6. 移动端能力要求</w:t>
      </w:r>
    </w:p>
    <w:p>
      <w:pPr>
        <w:spacing w:after="120"/>
      </w:pPr>
      <w:r>
        <w:t>本模块以 PC 端和管理后台为主，移动端仅承接消息触达、现场采集或结果查看等轻量能力。</w:t>
      </w:r>
    </w:p>
    <w:p>
      <w:pPr>
        <w:pStyle w:val="ListBullet"/>
        <w:spacing w:after="40"/>
      </w:pPr>
      <w:r>
        <w:t>移动端入口需与平台统一身份体系打通，支持账号密码、短信校验或微信绑定等认证方式。</w:t>
      </w:r>
    </w:p>
    <w:p>
      <w:pPr>
        <w:pStyle w:val="ListBullet"/>
        <w:spacing w:after="40"/>
      </w:pPr>
      <w:r>
        <w:t>现场类业务应支持拍照、定位、时间戳、弱网重试和提交反馈。</w:t>
      </w:r>
    </w:p>
    <w:p>
      <w:pPr>
        <w:pStyle w:val="Heading2"/>
      </w:pPr>
      <w:r>
        <w:t>7. 业务规则与口径说明</w:t>
      </w:r>
    </w:p>
    <w:p>
      <w:pPr>
        <w:pStyle w:val="ListBullet"/>
        <w:spacing w:after="40"/>
      </w:pPr>
      <w:r>
        <w:t>所有业务状态均需采用统一编码管理，避免前后端和第三方系统对状态理解不一致。</w:t>
      </w:r>
    </w:p>
    <w:p>
      <w:pPr>
        <w:pStyle w:val="ListBullet"/>
        <w:spacing w:after="40"/>
      </w:pPr>
      <w:r>
        <w:t>审批、审核、退回、撤回、作废等关键动作必须记录操作人、时间、原因和前后状态。</w:t>
      </w:r>
    </w:p>
    <w:p>
      <w:pPr>
        <w:pStyle w:val="ListBullet"/>
        <w:spacing w:after="40"/>
      </w:pPr>
      <w:r>
        <w:t>统计、报表、导出等功能需统一时间口径、组织口径和数据范围口径。</w:t>
      </w:r>
    </w:p>
    <w:p>
      <w:pPr>
        <w:pStyle w:val="ListBullet"/>
        <w:spacing w:after="40"/>
      </w:pPr>
      <w:r>
        <w:t>涉及金额、单价、数量、方量、重量等经营性数据时，必须统一精度、汇总规则和对账规则。</w:t>
      </w:r>
    </w:p>
    <w:p>
      <w:pPr>
        <w:pStyle w:val="Heading2"/>
      </w:pPr>
      <w:r>
        <w:t>8. 功能边界与非本期边界</w:t>
      </w:r>
    </w:p>
    <w:p>
      <w:pPr>
        <w:pStyle w:val="ListBullet"/>
        <w:spacing w:after="40"/>
      </w:pPr>
      <w:r>
        <w:t>本模块负责本业务域内的主流程、主数据和台账治理，不替代其他模块的主责功能。</w:t>
      </w:r>
    </w:p>
    <w:p>
      <w:pPr>
        <w:pStyle w:val="ListBullet"/>
        <w:spacing w:after="40"/>
      </w:pPr>
      <w:r>
        <w:t>跨模块协同以接口联动和数据关联为主，复杂的参数配置、权限配置、消息策略和日志查询由对应平台模块承接。</w:t>
      </w:r>
    </w:p>
    <w:p>
      <w:pPr>
        <w:pStyle w:val="Heading2"/>
      </w:pPr>
      <w:r>
        <w:t>9. 关键页面与按钮说明</w:t>
      </w:r>
    </w:p>
    <w:p>
      <w:pPr>
        <w:pStyle w:val="ListBullet"/>
        <w:spacing w:after="40"/>
      </w:pPr>
      <w:r>
        <w:t>页面需支持列表查询、条件重置、详情查看和状态标签展示。</w:t>
      </w:r>
    </w:p>
    <w:p>
      <w:pPr>
        <w:pStyle w:val="ListBullet"/>
        <w:spacing w:after="40"/>
      </w:pPr>
      <w:r>
        <w:t>具备新增、编辑、删除、提交、审批、导入、导出等动作的页面，应按角色动态展示按钮。</w:t>
      </w:r>
    </w:p>
    <w:p>
      <w:pPr>
        <w:pStyle w:val="ListBullet"/>
        <w:spacing w:after="40"/>
      </w:pPr>
      <w:r>
        <w:t>高风险操作如审批、解禁、作废、同步、删除等需二次确认并记录原因。</w:t>
      </w:r>
    </w:p>
    <w:p>
      <w:pPr>
        <w:pStyle w:val="Heading2"/>
      </w:pPr>
      <w:r>
        <w:t>10. 输入项、输出项与内容限制</w:t>
      </w:r>
    </w:p>
    <w:p>
      <w:pPr>
        <w:pStyle w:val="ListBullet"/>
        <w:spacing w:after="40"/>
      </w:pPr>
      <w:r>
        <w:t>查询条件需支持关键字、状态、时间范围、组织范围等组合检索。</w:t>
      </w:r>
    </w:p>
    <w:p>
      <w:pPr>
        <w:pStyle w:val="ListBullet"/>
        <w:spacing w:after="40"/>
      </w:pPr>
      <w:r>
        <w:t>导入导出、附件上传、图片拍照、报表下载等文件型能力需限定格式、大小、数量与保留期限。</w:t>
      </w:r>
    </w:p>
    <w:p>
      <w:pPr>
        <w:pStyle w:val="ListBullet"/>
        <w:spacing w:after="40"/>
      </w:pPr>
      <w:r>
        <w:t>所有输出数据应按当前用户的数据权限过滤，不允许跨组织越权查看。</w:t>
      </w:r>
    </w:p>
    <w:p>
      <w:pPr>
        <w:pStyle w:val="Heading2"/>
      </w:pPr>
      <w:r>
        <w:t>11. 异常场景与提示要求</w:t>
      </w:r>
    </w:p>
    <w:p>
      <w:pPr>
        <w:pStyle w:val="ListBullet"/>
        <w:spacing w:after="40"/>
      </w:pPr>
      <w:r>
        <w:t>对于校验不通过、状态冲突、审批退回、权限不足、重复提交等情况，系统需给出明确可执行的提示信息。</w:t>
      </w:r>
    </w:p>
    <w:p>
      <w:pPr>
        <w:pStyle w:val="ListBullet"/>
        <w:spacing w:after="40"/>
      </w:pPr>
      <w:r>
        <w:t>对于第三方接口失败、导入导出失败、弱网提交失败等场景，系统需提供失败原因、批次号和可重试入口。</w:t>
      </w:r>
    </w:p>
    <w:p>
      <w:pPr>
        <w:pStyle w:val="Heading2"/>
      </w:pPr>
      <w:r>
        <w:t>12. 与其他模块协同关系</w:t>
      </w:r>
    </w:p>
    <w:p>
      <w:pPr>
        <w:pStyle w:val="ListBullet"/>
        <w:spacing w:after="40"/>
      </w:pPr>
      <w:r>
        <w:t>与组织、人员、角色模块协同，实现角色分工、数据范围和权限控制。</w:t>
      </w:r>
    </w:p>
    <w:p>
      <w:pPr>
        <w:pStyle w:val="ListBullet"/>
        <w:spacing w:after="40"/>
      </w:pPr>
      <w:r>
        <w:t>与审批配置、消息管理、系统日志模块协同，实现流程驱动、消息触达和审计留痕。</w:t>
      </w:r>
    </w:p>
    <w:p>
      <w:pPr>
        <w:pStyle w:val="ListBullet"/>
        <w:spacing w:after="40"/>
      </w:pPr>
      <w:r>
        <w:t>与统计分析、数据看板、平台对接、小程序等模块协同，实现数据汇聚、展示和跨端联动。</w:t>
      </w:r>
    </w:p>
    <w:p>
      <w:pPr>
        <w:pStyle w:val="Heading2"/>
      </w:pPr>
      <w:r>
        <w:t>13. 本模块建设价值</w:t>
      </w:r>
    </w:p>
    <w:p>
      <w:pPr>
        <w:spacing w:after="120"/>
      </w:pPr>
      <w:r>
        <w:t>车辆管理模块建设完成后，可显著提升业务办理规范性、过程透明度、数据可追溯性和监管支撑能力，为平台整体经营管理和风险管控提供稳定基础。</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渣土运输与消纳监管平台需求方案</dc:title>
  <dc:subject>甲方版需求方案</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