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rFonts w:ascii="Microsoft YaHei" w:hAnsi="Microsoft YaHei" w:eastAsia="Microsoft YaHei"/>
          <w:b/>
          <w:sz w:val="48"/>
        </w:rPr>
        <w:t>第7章 核心功能模块完整性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sz w:val="28"/>
        </w:rPr>
        <w:t>商务技术文件章节</w:t>
      </w:r>
    </w:p>
    <w:p>
      <w:pPr>
        <w:spacing w:before="5200"/>
        <w:jc w:val="center"/>
      </w:pPr>
      <w:r>
        <w:rPr>
          <w:rFonts w:ascii="Microsoft YaHei" w:hAnsi="Microsoft YaHei" w:eastAsia="Microsoft YaHei"/>
          <w:sz w:val="24"/>
        </w:rPr>
        <w:t>导出日期：2026-04-08</w:t>
      </w:r>
    </w:p>
    <w:p>
      <w:r>
        <w:br w:type="page"/>
      </w:r>
    </w:p>
    <w:p>
      <w:pPr>
        <w:pStyle w:val="Heading1"/>
      </w:pPr>
      <w:r>
        <w:t>第7章 核心功能模块完整性</w:t>
      </w:r>
    </w:p>
    <w:p>
      <w:pPr>
        <w:pStyle w:val="Heading2"/>
      </w:pPr>
      <w:r>
        <w:t>7.0 本章响应说明</w:t>
      </w:r>
    </w:p>
    <w:p>
      <w:pPr>
        <w:spacing w:after="120"/>
      </w:pPr>
      <w:r>
        <w:t>本章围绕招标文件对“核心功能模块完整性”的评分要求进行编制，重点说明平台对合同结算管理、项目管理、处置证管理、消纳场地管理、车辆管理、预警管理、统计分析、数据看板等核心模块的覆盖完整性、业务流程完整性、角色覆盖完整性和页面支撑情况，确保甲方能够直观判断本方案对核心业务的承接能力。</w:t>
      </w:r>
    </w:p>
    <w:p>
      <w:pPr>
        <w:pStyle w:val="Heading2"/>
      </w:pPr>
      <w:r>
        <w:t>7.1 核心模块覆盖矩阵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核心模块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一级目标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已覆盖关键能力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流程闭环情况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角色覆盖情况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合同结算管理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建立经营与结算闭环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合同清单、合同详情、导入导出、入账、审批、变更、延期、项目结算、场地结算、月报统计、单位统计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覆盖“建档-审批-执行-结算-统计”闭环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监管、运营、财务、企业管理人员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项目管理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建立源头主数据与规则配置中心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项目清单、交款数据、关联合同、关联场地、处置证清单、项目日报、打卡配置、位置判断、线路配置、报表统计、违规配置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覆盖“建档-配置-采集-统计-预警”闭环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监管、项目管理员、运营人员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处置证管理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建立证照准入与联动管理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处置证同步、手工新增、业务关联、有效性校验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覆盖“同步/录入-关联-校验-使用”闭环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审批协同人员、监管人员、项目管理员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消纳场地管理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建立场地运营与现场核验闭环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场地列表、消纳清单、资料、基础信息、结算、报表、场地创建、测绘、设备配置、运营配置、人员配置、安全管理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覆盖“建档-配置-接收-确认-结算-分析”闭环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场地方、监管方、现场值守人员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车辆管理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建立人车队全过程管理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车辆信息、车型、车队、保险、维修、维保、调度、油电卡、人证、财务、报表、轨迹跟踪、违规车辆清单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覆盖“建档-调度-执行-监管-维保-统计”闭环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运输单位、车队管理员、监管人员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预警管理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建立风险识别与处置闭环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场地预警、项目预警、人员预警、车辆预警、合同预警、规则配置、事件联动、消息推送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覆盖“识别-通知-处置-反馈-考核”闭环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监管人员、运营值守、领导管理者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统计分析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建立经营监管分析能力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合同统计、项目统计、场地统计、车辆统计、预警统计、专题报表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覆盖“汇总-分析-导出-复盘”闭环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领导层、运营管理层、监管人员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数据看板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建立综合展示与领导驾驶舱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总体分析、项目数据、场地数据、地图展示、运力分析、风险展示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覆盖“总览-钻取-联动-专题”闭环</w:t>
            </w:r>
          </w:p>
        </w:tc>
        <w:tc>
          <w:tcPr>
            <w:tcW w:type="dxa" w:w="181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领导层、监管人员、运营人员</w:t>
            </w:r>
          </w:p>
        </w:tc>
      </w:tr>
    </w:tbl>
    <w:p/>
    <w:p>
      <w:pPr>
        <w:pStyle w:val="Heading2"/>
      </w:pPr>
      <w:r>
        <w:t>7.2 核心模块完整性说明</w:t>
      </w:r>
    </w:p>
    <w:p>
      <w:pPr>
        <w:pStyle w:val="Heading3"/>
      </w:pPr>
      <w:r>
        <w:t>7.2.1 合同结算管理模块完整性</w:t>
      </w:r>
    </w:p>
    <w:p>
      <w:pPr>
        <w:spacing w:after="120"/>
      </w:pPr>
      <w:r>
        <w:t>合同结算模块围绕“合同主档、过程审批、执行跟踪、经营结算、统计输出”五个层面构建完整能力，既满足甲方经营管理要求，也满足对合同执行与场地消纳关系的过程监管要求。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功能项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模块完整性说明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合同清单/详情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支撑多状态、多类型合同统一台账与详情展示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合同入账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支撑财务确认和账务留痕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导入导出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支撑历史数据迁移和规范化输出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合同审批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支撑合同发起、审批、驳回、回写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变更/延期/内拨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支撑合同过程变更管理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项目结算/场地结算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支撑按项目和按场地的双视角结算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月报/单位统计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支撑经营分析和管理复盘</w:t>
            </w:r>
          </w:p>
        </w:tc>
      </w:tr>
    </w:tbl>
    <w:p/>
    <w:p>
      <w:pPr>
        <w:pStyle w:val="Heading3"/>
      </w:pPr>
      <w:r>
        <w:t>7.2.2 项目管理模块完整性</w:t>
      </w:r>
    </w:p>
    <w:p>
      <w:pPr>
        <w:spacing w:after="120"/>
      </w:pPr>
      <w:r>
        <w:t>项目管理模块已经覆盖项目主数据、业务关系、规则配置、日常运行和统计输出等关键层面，能够作为全平台业务主线承接合同、处置证、场地、车辆、打卡和预警等模块联动。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功能项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模块完整性说明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项目清单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管理项目基础台账与状态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交款数据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支撑经营进度跟踪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合同/场地/处置证清单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支撑项目维度关联分析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项目日报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支撑项目日常运行监管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打卡配置/位置判断/线路配置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支撑项目级现场监管规则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违法清单/违规配置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支撑项目级风险识别与追踪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报表统计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支撑项目复盘与考核</w:t>
            </w:r>
          </w:p>
        </w:tc>
      </w:tr>
    </w:tbl>
    <w:p/>
    <w:p>
      <w:pPr>
        <w:pStyle w:val="Heading3"/>
      </w:pPr>
      <w:r>
        <w:t>7.2.3 处置证管理模块完整性</w:t>
      </w:r>
    </w:p>
    <w:p>
      <w:pPr>
        <w:spacing w:after="120"/>
      </w:pPr>
      <w:r>
        <w:t>处置证管理模块虽然业务点数量不多，但属于关键准入模块。模块方案完整覆盖外部同步、手工补录、业务关联和状态校验四项核心能力，能够满足甲方对证照联动的核心要求。</w:t>
      </w:r>
    </w:p>
    <w:p>
      <w:pPr>
        <w:pStyle w:val="Heading3"/>
      </w:pPr>
      <w:r>
        <w:t>7.2.4 消纳场地管理模块完整性</w:t>
      </w:r>
    </w:p>
    <w:p>
      <w:pPr>
        <w:spacing w:after="120"/>
      </w:pPr>
      <w:r>
        <w:t>场地模块覆盖面广，是本平台最具现场运营属性的模块之一。方案已覆盖场地主档、资料档案、设备接入、消纳清单、结算报表、容量管理、安全管理和运营配置等关键能力，能够支撑“场地建档-现场核验-容量监管-经营结算”的完整闭环。</w:t>
      </w:r>
    </w:p>
    <w:p>
      <w:pPr>
        <w:pStyle w:val="Heading3"/>
      </w:pPr>
      <w:r>
        <w:t>7.2.5 车辆管理模块完整性</w:t>
      </w:r>
    </w:p>
    <w:p>
      <w:pPr>
        <w:spacing w:after="120"/>
      </w:pPr>
      <w:r>
        <w:t>车辆管理模块覆盖车辆、车型、车队、保险、维保、维修、调度、人证、油电卡、财务和报表等高频业务要素，并与定位跟踪和违规车辆清单联动，完整承接运输单位的日常运营管理与监管协同需求。</w:t>
      </w:r>
    </w:p>
    <w:p>
      <w:pPr>
        <w:pStyle w:val="Heading3"/>
      </w:pPr>
      <w:r>
        <w:t>7.2.6 预警管理模块完整性</w:t>
      </w:r>
    </w:p>
    <w:p>
      <w:pPr>
        <w:spacing w:after="120"/>
      </w:pPr>
      <w:r>
        <w:t>预警管理模块不仅覆盖多类型预警监控，还通过预警配置、消息推送、事件处置等支撑能力，形成从识别到闭环的监管链路，满足甲方“异常数据预警推送及数据服务输出”的建设目标。</w:t>
      </w:r>
    </w:p>
    <w:p>
      <w:pPr>
        <w:pStyle w:val="Heading3"/>
      </w:pPr>
      <w:r>
        <w:t>7.2.7 统计分析模块完整性</w:t>
      </w:r>
    </w:p>
    <w:p>
      <w:pPr>
        <w:spacing w:after="120"/>
      </w:pPr>
      <w:r>
        <w:t>统计分析模块覆盖合同、项目、场地、车辆、预警等核心维度，并支持导出和专题研判，能够支撑监管考核、经营分析和领导决策三类典型使用场景。</w:t>
      </w:r>
    </w:p>
    <w:p>
      <w:pPr>
        <w:pStyle w:val="Heading3"/>
      </w:pPr>
      <w:r>
        <w:t>7.2.8 数据看板模块完整性</w:t>
      </w:r>
    </w:p>
    <w:p>
      <w:pPr>
        <w:spacing w:after="120"/>
      </w:pPr>
      <w:r>
        <w:t>数据看板模块覆盖总体分析、项目数据、场地数据、地图展示和运力分析等核心专题，既能满足领导驾驶舱展示，也能满足监管人员专题钻取和重点对象追踪。</w:t>
      </w:r>
    </w:p>
    <w:p>
      <w:pPr>
        <w:pStyle w:val="Heading2"/>
      </w:pPr>
      <w:r>
        <w:t>7.3 核心模块业务流程完整性</w:t>
      </w:r>
    </w:p>
    <w:p>
      <w:pPr>
        <w:pStyle w:val="Heading3"/>
      </w:pPr>
      <w:r>
        <w:t>7.3.1 经营主线流程</w:t>
      </w:r>
    </w:p>
    <w:p>
      <w:pPr>
        <w:spacing w:after="120"/>
      </w:pPr>
      <w:r>
        <w:t>项目立项 -&gt; 合同签订 -&gt; 处置证联动 -&gt; 场地投放 -&gt; 运输执行 -&gt; 称重核验 -&gt; 消纳确认 -&gt; 项目/场地结算 -&gt; 统计分析。</w:t>
      </w:r>
    </w:p>
    <w:p>
      <w:pPr>
        <w:pStyle w:val="Heading3"/>
      </w:pPr>
      <w:r>
        <w:t>7.3.2 监管主线流程</w:t>
      </w:r>
    </w:p>
    <w:p>
      <w:pPr>
        <w:spacing w:after="120"/>
      </w:pPr>
      <w:r>
        <w:t>项目建档 -&gt; 规则配置 -&gt; 现场打卡/轨迹采集 -&gt; 异常识别 -&gt; 预警推送 -&gt; 事件处置 -&gt; 统计考核 -&gt; 执法追溯。</w:t>
      </w:r>
    </w:p>
    <w:p>
      <w:pPr>
        <w:pStyle w:val="Heading3"/>
      </w:pPr>
      <w:r>
        <w:t>7.3.3 现场作业主线流程</w:t>
      </w:r>
    </w:p>
    <w:p>
      <w:pPr>
        <w:spacing w:after="120"/>
      </w:pPr>
      <w:r>
        <w:t>现场人员登录移动端 -&gt; 出土打卡/拍照 -&gt; 车辆进出场核验 -&gt; 消纳确认 -&gt; 异常上报 -&gt; 后台联动监管和统计。</w:t>
      </w:r>
    </w:p>
    <w:p>
      <w:pPr>
        <w:pStyle w:val="Heading2"/>
      </w:pPr>
      <w:r>
        <w:t>7.4 核心模块页面支撑说明</w:t>
      </w:r>
    </w:p>
    <w:p>
      <w:pPr>
        <w:spacing w:after="120"/>
      </w:pPr>
      <w:r>
        <w:t>建议在正式投标稿中放置核心模块页面截图，形成“功能完整 + 页面可视”的双重证明。当前系统可优先选用以下页面进行展示：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建议插图编号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建议页面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展示重点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图7-1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合同清单/结算页面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展示合同状态、入账、审批、结算和统计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图7-2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项目管理页面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展示项目台账、交款进度、配置能力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图7-3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消纳场地页面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展示场地运营状态、容量、设备配置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图7-4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车辆管理页面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展示车辆台账、运力统计、状态监管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图7-5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预警监控页面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展示多类预警与处置状态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图7-6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数据看板页面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展示可视化图表和地图专题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图7-7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平台对接配置页面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展示平台对接配置与集成能力</w:t>
            </w:r>
          </w:p>
        </w:tc>
      </w:tr>
    </w:tbl>
    <w:p/>
    <w:p>
      <w:pPr>
        <w:pStyle w:val="Heading3"/>
      </w:pPr>
      <w:r>
        <w:t>图7-1 合同结算模块页面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09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cts-manag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09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图7-2 项目管理模块页面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s-manag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图7-3 消纳场地模块页面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s-manage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图7-4 车辆管理模块页面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440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les-manag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44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图7-5 预警管理模块页面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1918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s-moni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191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图7-6 数据看板模块页面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6006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00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图7-7 平台对接配置页面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6456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integra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645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7.5 对评分项的直接响应</w:t>
      </w:r>
    </w:p>
    <w:p>
      <w:pPr>
        <w:spacing w:after="120"/>
      </w:pPr>
      <w:r>
        <w:t>综合上述内容，本方案对招标文件要求的合同结算管理、项目管理、处置证管理、消纳场地管理、车辆管理、预警管理、统计分析和数据看板等核心模块均已进行完整覆盖，业务链路清晰，角色范围明确，流程前后衔接完整，且具备较强的页面支撑和实施落地基础，能够满足甲方对“功能模块齐全、流程完整、细节详实”的评分要求。</w:t>
      </w:r>
    </w:p>
    <w:sectPr w:rsidR="00FC693F" w:rsidRPr="0006063C" w:rsidSect="00034616">
      <w:footerReference w:type="default" r:id="rId16"/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第7章 核心功能模块完整性</dc:title>
  <dc:subject>第7章 核心功能模块完整性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