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Microsoft YaHei" w:hAnsi="Microsoft YaHei" w:eastAsia="Microsoft YaHei"/>
          <w:b/>
          <w:sz w:val="48"/>
        </w:rPr>
        <w:t>第8章 第三方系统对接方案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sz w:val="28"/>
        </w:rPr>
        <w:t>商务技术文件章节</w:t>
      </w:r>
    </w:p>
    <w:p>
      <w:pPr>
        <w:spacing w:before="5200"/>
        <w:jc w:val="center"/>
      </w:pPr>
      <w:r>
        <w:rPr>
          <w:rFonts w:ascii="Microsoft YaHei" w:hAnsi="Microsoft YaHei" w:eastAsia="Microsoft YaHei"/>
          <w:sz w:val="24"/>
        </w:rPr>
        <w:t>导出日期：2026-04-08</w:t>
      </w:r>
    </w:p>
    <w:p>
      <w:r>
        <w:br w:type="page"/>
      </w:r>
    </w:p>
    <w:p>
      <w:pPr>
        <w:pStyle w:val="Heading1"/>
      </w:pPr>
      <w:r>
        <w:t>第8章 第三方系统对接方案</w:t>
      </w:r>
    </w:p>
    <w:p>
      <w:pPr>
        <w:pStyle w:val="Heading2"/>
      </w:pPr>
      <w:r>
        <w:t>8.0 本章响应说明</w:t>
      </w:r>
    </w:p>
    <w:p>
      <w:pPr>
        <w:spacing w:after="120"/>
      </w:pPr>
      <w:r>
        <w:t>本章围绕招标文件中与政务网、GPS 车辆定位、地磅称重、视频监控等第三方系统的对接要求进行编制，重点说明对接范围、接口规范、业务流程、异常处理机制、对账机制和运维保障要求，确保方案完整、规范、可实施。</w:t>
      </w:r>
    </w:p>
    <w:p>
      <w:pPr>
        <w:pStyle w:val="Heading2"/>
      </w:pPr>
      <w:r>
        <w:t>8.1 对接建设原则</w:t>
      </w:r>
    </w:p>
    <w:p>
      <w:pPr>
        <w:pStyle w:val="ListNumber"/>
        <w:spacing w:after="40"/>
      </w:pPr>
      <w:r>
        <w:t>统一接口规范：统一请求方式、编码规则、签名鉴权、返回码、日志留痕。</w:t>
      </w:r>
    </w:p>
    <w:p>
      <w:pPr>
        <w:pStyle w:val="ListNumber"/>
        <w:spacing w:after="40"/>
      </w:pPr>
      <w:r>
        <w:t>统一交换中心：所有第三方系统均通过平台集成层接入，避免业务模块各自直连。</w:t>
      </w:r>
    </w:p>
    <w:p>
      <w:pPr>
        <w:pStyle w:val="ListNumber"/>
        <w:spacing w:after="40"/>
      </w:pPr>
      <w:r>
        <w:t>统一异常治理：建立重试、补偿、人工介入、对账和告警机制。</w:t>
      </w:r>
    </w:p>
    <w:p>
      <w:pPr>
        <w:pStyle w:val="ListNumber"/>
        <w:spacing w:after="40"/>
      </w:pPr>
      <w:r>
        <w:t>统一安全策略：全链路认证鉴权、数据脱敏、接口访问控制和审计留痕。</w:t>
      </w:r>
    </w:p>
    <w:p>
      <w:pPr>
        <w:pStyle w:val="Heading2"/>
      </w:pPr>
      <w:r>
        <w:t>8.2 对接范围总览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对接系统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对接目标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主要交换内容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政务网/审批系统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同步处置证、准运证、审批结果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证件主档、状态、有效期、关联主体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GPS 车辆定位系统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获取车辆实时位置和历史轨迹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车辆编号、坐标、速度、方向、定位时间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地磅称重系统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获取车辆进出场称重数据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车牌、进场时间、出场时间、毛重、皮重、净重、磅单号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视频监控系统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获取视频流、截图、事件联动信息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摄像头编号、视频地址、抓拍地址、事件标记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统一认证/政务账号体系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实现单点登录和统一身份协同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用户身份、组织、角色、授权票据</w:t>
            </w:r>
          </w:p>
        </w:tc>
      </w:tr>
    </w:tbl>
    <w:p/>
    <w:p>
      <w:pPr>
        <w:pStyle w:val="Heading2"/>
      </w:pPr>
      <w:r>
        <w:t>8.3 政务网对接方案</w:t>
      </w:r>
    </w:p>
    <w:p>
      <w:pPr>
        <w:pStyle w:val="Heading3"/>
      </w:pPr>
      <w:r>
        <w:t>8.3.1 对接目标</w:t>
      </w:r>
    </w:p>
    <w:p>
      <w:pPr>
        <w:spacing w:after="120"/>
      </w:pPr>
      <w:r>
        <w:t>实现处置证、准运证等审批结果数据与本平台同步，确保项目、车辆、场地和证件信息保持一致，避免人工重复录入和证照状态滞后。</w:t>
      </w:r>
    </w:p>
    <w:p>
      <w:pPr>
        <w:pStyle w:val="Heading3"/>
      </w:pPr>
      <w:r>
        <w:t>8.3.2 接口规范</w:t>
      </w:r>
    </w:p>
    <w:p>
      <w:pPr>
        <w:pStyle w:val="ListNumber"/>
        <w:spacing w:after="40"/>
      </w:pPr>
      <w:r>
        <w:t>对接方式支持 API 调用、定时拉取、文件交换或消息通知。</w:t>
      </w:r>
    </w:p>
    <w:p>
      <w:pPr>
        <w:pStyle w:val="ListNumber"/>
        <w:spacing w:after="40"/>
      </w:pPr>
      <w:r>
        <w:t>接口请求统一采用 HTTPS；支持 Token、签名或政务专网认证方式。</w:t>
      </w:r>
    </w:p>
    <w:p>
      <w:pPr>
        <w:pStyle w:val="ListNumber"/>
        <w:spacing w:after="40"/>
      </w:pPr>
      <w:r>
        <w:t>接口字段遵循统一编码规则，重点保证证件编号、项目编号、车辆标识、有效期和状态码口径一致。</w:t>
      </w:r>
    </w:p>
    <w:p>
      <w:pPr>
        <w:pStyle w:val="ListNumber"/>
        <w:spacing w:after="40"/>
      </w:pPr>
      <w:r>
        <w:t>同步结果保留接口流水号、同步时间、源系统标识和结果码。</w:t>
      </w:r>
    </w:p>
    <w:p>
      <w:pPr>
        <w:pStyle w:val="Heading3"/>
      </w:pPr>
      <w:r>
        <w:t>8.3.3 业务流程</w:t>
      </w:r>
    </w:p>
    <w:p>
      <w:pPr>
        <w:spacing w:after="120"/>
      </w:pPr>
      <w:r>
        <w:t>政务审批系统产生证件数据 -&gt; 集成层接收或主动拉取 -&gt; 数据标准化转换 -&gt; 写入证件台账 -&gt; 触发关联校验 -&gt; 更新业务状态 -&gt; 记录同步日志。</w:t>
      </w:r>
    </w:p>
    <w:p>
      <w:pPr>
        <w:pStyle w:val="Heading3"/>
      </w:pPr>
      <w:r>
        <w:t>8.3.4 异常处理机制</w:t>
      </w:r>
    </w:p>
    <w:p>
      <w:pPr>
        <w:pStyle w:val="ListNumber"/>
        <w:spacing w:after="40"/>
      </w:pPr>
      <w:r>
        <w:t>接口超时或网络异常时按策略自动重试。</w:t>
      </w:r>
    </w:p>
    <w:p>
      <w:pPr>
        <w:pStyle w:val="ListNumber"/>
        <w:spacing w:after="40"/>
      </w:pPr>
      <w:r>
        <w:t>单笔数据校验失败时进入异常队列，支持人工复核后再次同步。</w:t>
      </w:r>
    </w:p>
    <w:p>
      <w:pPr>
        <w:pStyle w:val="ListNumber"/>
        <w:spacing w:after="40"/>
      </w:pPr>
      <w:r>
        <w:t>关键证件状态变更失败时触发消息告警和运维告警。</w:t>
      </w:r>
    </w:p>
    <w:p>
      <w:pPr>
        <w:pStyle w:val="ListNumber"/>
        <w:spacing w:after="40"/>
      </w:pPr>
      <w:r>
        <w:t>日常按证件编号和更新时间进行增量对账，防止漏同步。</w:t>
      </w:r>
    </w:p>
    <w:p>
      <w:pPr>
        <w:pStyle w:val="Heading2"/>
      </w:pPr>
      <w:r>
        <w:t>8.4 GPS 车辆定位对接方案</w:t>
      </w:r>
    </w:p>
    <w:p>
      <w:pPr>
        <w:pStyle w:val="Heading3"/>
      </w:pPr>
      <w:r>
        <w:t>8.4.1 对接目标</w:t>
      </w:r>
    </w:p>
    <w:p>
      <w:pPr>
        <w:spacing w:after="120"/>
      </w:pPr>
      <w:r>
        <w:t>实现车辆实时位置、历史轨迹、离线状态、轨迹偏离等数据接入，为车辆监管、线路判断、预警管理和车辆跟踪提供基础支撑。</w:t>
      </w:r>
    </w:p>
    <w:p>
      <w:pPr>
        <w:pStyle w:val="Heading3"/>
      </w:pPr>
      <w:r>
        <w:t>8.4.2 接口规范</w:t>
      </w:r>
    </w:p>
    <w:p>
      <w:pPr>
        <w:pStyle w:val="ListNumber"/>
        <w:spacing w:after="40"/>
      </w:pPr>
      <w:r>
        <w:t>接入方式支持厂商开放 API、MQ 推送、标准 JT/T 协议网关转换等模式。</w:t>
      </w:r>
    </w:p>
    <w:p>
      <w:pPr>
        <w:pStyle w:val="ListNumber"/>
        <w:spacing w:after="40"/>
      </w:pPr>
      <w:r>
        <w:t>关键字段包括车辆编号、车牌号、坐标、速度、方向、设备状态、采集时间。</w:t>
      </w:r>
    </w:p>
    <w:p>
      <w:pPr>
        <w:pStyle w:val="ListNumber"/>
        <w:spacing w:after="40"/>
      </w:pPr>
      <w:r>
        <w:t>坐标系统一转换并记录来源坐标系，保证地图展示一致。</w:t>
      </w:r>
    </w:p>
    <w:p>
      <w:pPr>
        <w:pStyle w:val="ListNumber"/>
        <w:spacing w:after="40"/>
      </w:pPr>
      <w:r>
        <w:t>轨迹数据按时间分段存储，支持实时查询和历史回放。</w:t>
      </w:r>
    </w:p>
    <w:p>
      <w:pPr>
        <w:pStyle w:val="Heading3"/>
      </w:pPr>
      <w:r>
        <w:t>8.4.3 业务流程</w:t>
      </w:r>
    </w:p>
    <w:p>
      <w:pPr>
        <w:spacing w:after="120"/>
      </w:pPr>
      <w:r>
        <w:t>定位设备上报 -&gt; 第三方定位平台汇聚 -&gt; 本平台集成层接收 -&gt; 数据清洗与坐标转换 -&gt; 实时监管/轨迹查询/预警分析。</w:t>
      </w:r>
    </w:p>
    <w:p>
      <w:pPr>
        <w:pStyle w:val="Heading3"/>
      </w:pPr>
      <w:r>
        <w:t>8.4.4 异常处理机制</w:t>
      </w:r>
    </w:p>
    <w:p>
      <w:pPr>
        <w:pStyle w:val="ListNumber"/>
        <w:spacing w:after="40"/>
      </w:pPr>
      <w:r>
        <w:t>车辆连续离线、数据延迟、坐标异常、设备重复报码时自动告警。</w:t>
      </w:r>
    </w:p>
    <w:p>
      <w:pPr>
        <w:pStyle w:val="ListNumber"/>
        <w:spacing w:after="40"/>
      </w:pPr>
      <w:r>
        <w:t>短时丢包支持数据补传和轨迹拼接。</w:t>
      </w:r>
    </w:p>
    <w:p>
      <w:pPr>
        <w:pStyle w:val="ListNumber"/>
        <w:spacing w:after="40"/>
      </w:pPr>
      <w:r>
        <w:t>轨迹数据异常不直接覆盖原始数据，保留原始上报值供复核。</w:t>
      </w:r>
    </w:p>
    <w:p>
      <w:pPr>
        <w:pStyle w:val="Heading2"/>
      </w:pPr>
      <w:r>
        <w:t>8.5 地磅称重对接方案</w:t>
      </w:r>
    </w:p>
    <w:p>
      <w:pPr>
        <w:pStyle w:val="Heading3"/>
      </w:pPr>
      <w:r>
        <w:t>8.5.1 对接目标</w:t>
      </w:r>
    </w:p>
    <w:p>
      <w:pPr>
        <w:spacing w:after="120"/>
      </w:pPr>
      <w:r>
        <w:t>实现车辆进出场称重数据自动上传，支撑无纸化核验、消纳确认、容量统计、合同结算和异常识别。</w:t>
      </w:r>
    </w:p>
    <w:p>
      <w:pPr>
        <w:pStyle w:val="Heading3"/>
      </w:pPr>
      <w:r>
        <w:t>8.5.2 接口规范</w:t>
      </w:r>
    </w:p>
    <w:p>
      <w:pPr>
        <w:pStyle w:val="ListNumber"/>
        <w:spacing w:after="40"/>
      </w:pPr>
      <w:r>
        <w:t>支持串口采集网关、地磅软件数据库读取、API 推送等多种接入方式。</w:t>
      </w:r>
    </w:p>
    <w:p>
      <w:pPr>
        <w:pStyle w:val="ListNumber"/>
        <w:spacing w:after="40"/>
      </w:pPr>
      <w:r>
        <w:t>关键字段包括磅单号、车牌号、进场时间、出场时间、毛重、皮重、净重、场地编号、图片附件。</w:t>
      </w:r>
    </w:p>
    <w:p>
      <w:pPr>
        <w:pStyle w:val="ListNumber"/>
        <w:spacing w:after="40"/>
      </w:pPr>
      <w:r>
        <w:t>地磅数据需具备唯一流水号，支持防重处理和补传处理。</w:t>
      </w:r>
    </w:p>
    <w:p>
      <w:pPr>
        <w:pStyle w:val="Heading3"/>
      </w:pPr>
      <w:r>
        <w:t>8.5.3 业务流程</w:t>
      </w:r>
    </w:p>
    <w:p>
      <w:pPr>
        <w:spacing w:after="120"/>
      </w:pPr>
      <w:r>
        <w:t>车辆进场 -&gt; 地磅称重 -&gt; 称重结果上传 -&gt; 与车辆、项目、场地进行关联匹配 -&gt; 生成消纳记录 -&gt; 参与结算与统计。</w:t>
      </w:r>
    </w:p>
    <w:p>
      <w:pPr>
        <w:pStyle w:val="Heading3"/>
      </w:pPr>
      <w:r>
        <w:t>8.5.4 异常处理机制</w:t>
      </w:r>
    </w:p>
    <w:p>
      <w:pPr>
        <w:pStyle w:val="ListNumber"/>
        <w:spacing w:after="40"/>
      </w:pPr>
      <w:r>
        <w:t>称重数据缺字段、重量异常或重复流水时进入待核验队列。</w:t>
      </w:r>
    </w:p>
    <w:p>
      <w:pPr>
        <w:pStyle w:val="ListNumber"/>
        <w:spacing w:after="40"/>
      </w:pPr>
      <w:r>
        <w:t>地磅断网时支持本地缓存，恢复后自动补传。</w:t>
      </w:r>
    </w:p>
    <w:p>
      <w:pPr>
        <w:pStyle w:val="ListNumber"/>
        <w:spacing w:after="40"/>
      </w:pPr>
      <w:r>
        <w:t>称重结果与现场确认不一致时触发复核预警。</w:t>
      </w:r>
    </w:p>
    <w:p>
      <w:pPr>
        <w:pStyle w:val="Heading2"/>
      </w:pPr>
      <w:r>
        <w:t>8.6 视频监控对接方案</w:t>
      </w:r>
    </w:p>
    <w:p>
      <w:pPr>
        <w:pStyle w:val="Heading3"/>
      </w:pPr>
      <w:r>
        <w:t>8.6.1 对接目标</w:t>
      </w:r>
    </w:p>
    <w:p>
      <w:pPr>
        <w:spacing w:after="120"/>
      </w:pPr>
      <w:r>
        <w:t>实现消纳场、通道、关键作业点的视频接入和事件留痕，支撑远程监管、现场核验、异常取证和事件复盘。</w:t>
      </w:r>
    </w:p>
    <w:p>
      <w:pPr>
        <w:pStyle w:val="Heading3"/>
      </w:pPr>
      <w:r>
        <w:t>8.6.2 接口规范</w:t>
      </w:r>
    </w:p>
    <w:p>
      <w:pPr>
        <w:pStyle w:val="ListNumber"/>
        <w:spacing w:after="40"/>
      </w:pPr>
      <w:r>
        <w:t>支持国标视频平台、厂家私有协议网关转换、RTSP/FLV/HLS 地址接入等模式。</w:t>
      </w:r>
    </w:p>
    <w:p>
      <w:pPr>
        <w:pStyle w:val="ListNumber"/>
        <w:spacing w:after="40"/>
      </w:pPr>
      <w:r>
        <w:t>支持摄像头基础信息同步、实时流地址获取、抓拍地址调用和录像回放地址关联。</w:t>
      </w:r>
    </w:p>
    <w:p>
      <w:pPr>
        <w:pStyle w:val="ListNumber"/>
        <w:spacing w:after="40"/>
      </w:pPr>
      <w:r>
        <w:t>支持视频通道与场地、出入口、地磅和事件点位进行绑定。</w:t>
      </w:r>
    </w:p>
    <w:p>
      <w:pPr>
        <w:pStyle w:val="Heading3"/>
      </w:pPr>
      <w:r>
        <w:t>8.6.3 业务流程</w:t>
      </w:r>
    </w:p>
    <w:p>
      <w:pPr>
        <w:spacing w:after="120"/>
      </w:pPr>
      <w:r>
        <w:t>视频平台接入 -&gt; 摄像头台账同步 -&gt; 设备绑定场景 -&gt; 页面实时播放/抓拍 -&gt; 事件关联存证。</w:t>
      </w:r>
    </w:p>
    <w:p>
      <w:pPr>
        <w:pStyle w:val="Heading3"/>
      </w:pPr>
      <w:r>
        <w:t>8.6.4 异常处理机制</w:t>
      </w:r>
    </w:p>
    <w:p>
      <w:pPr>
        <w:pStyle w:val="ListNumber"/>
        <w:spacing w:after="40"/>
      </w:pPr>
      <w:r>
        <w:t>视频流失效、设备离线或取流失败时自动告警。</w:t>
      </w:r>
    </w:p>
    <w:p>
      <w:pPr>
        <w:pStyle w:val="ListNumber"/>
        <w:spacing w:after="40"/>
      </w:pPr>
      <w:r>
        <w:t>对接故障不影响核心业务台账生成，但保留“视频缺失”状态供后续追溯。</w:t>
      </w:r>
    </w:p>
    <w:p>
      <w:pPr>
        <w:pStyle w:val="ListNumber"/>
        <w:spacing w:after="40"/>
      </w:pPr>
      <w:r>
        <w:t>抓拍失败可重试或回退至人工补传附件。</w:t>
      </w:r>
    </w:p>
    <w:p>
      <w:pPr>
        <w:pStyle w:val="Heading2"/>
      </w:pPr>
      <w:r>
        <w:t>8.7 统一认证与单点登录对接方案</w:t>
      </w:r>
    </w:p>
    <w:p>
      <w:pPr>
        <w:pStyle w:val="Heading3"/>
      </w:pPr>
      <w:r>
        <w:t>8.7.1 对接目标</w:t>
      </w:r>
    </w:p>
    <w:p>
      <w:pPr>
        <w:spacing w:after="120"/>
      </w:pPr>
      <w:r>
        <w:t>满足政务内网或统一认证体系下的用户身份协同，减少重复登录，提高账号统一管理能力。</w:t>
      </w:r>
    </w:p>
    <w:p>
      <w:pPr>
        <w:pStyle w:val="Heading3"/>
      </w:pPr>
      <w:r>
        <w:t>8.7.2 对接流程</w:t>
      </w:r>
    </w:p>
    <w:p>
      <w:pPr>
        <w:spacing w:after="120"/>
      </w:pPr>
      <w:r>
        <w:t>统一认证平台签发票据 -&gt; 本平台校验票据 -&gt; 映射租户、组织、用户和角色 -&gt; 签发本平台会话令牌 -&gt; 记录登录审计日志。</w:t>
      </w:r>
    </w:p>
    <w:p>
      <w:pPr>
        <w:pStyle w:val="Heading3"/>
      </w:pPr>
      <w:r>
        <w:t>8.7.3 异常处理机制</w:t>
      </w:r>
    </w:p>
    <w:p>
      <w:pPr>
        <w:spacing w:after="120"/>
      </w:pPr>
      <w:r>
        <w:t>票据失效、用户未开通、组织映射缺失时返回明确提示并记录异常日志，避免无权限用户直接进入业务页面。</w:t>
      </w:r>
    </w:p>
    <w:p>
      <w:pPr>
        <w:pStyle w:val="Heading2"/>
      </w:pPr>
      <w:r>
        <w:t>8.8 统一接口规范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规范项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方案要求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请求协议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HTTPS/REST 为主，必要时支持文件交换和消息订阅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数据格式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JSON 为主，字段命名统一，时间统一为标准时间格式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鉴权方式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Token、签名、时间戳、防重放、白名单控制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返回格式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统一状态码、错误码、错误信息、请求流水号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幂等控制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关键写入接口以业务唯一号防止重复写入</w:t>
            </w:r>
          </w:p>
        </w:tc>
      </w:tr>
      <w:tr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日志留痕</w:t>
            </w:r>
          </w:p>
        </w:tc>
        <w:tc>
          <w:tcPr>
            <w:tcW w:type="dxa" w:w="453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请求、响应、耗时、调用方、结果码全量记录</w:t>
            </w:r>
          </w:p>
        </w:tc>
      </w:tr>
    </w:tbl>
    <w:p/>
    <w:p>
      <w:pPr>
        <w:pStyle w:val="Heading2"/>
      </w:pPr>
      <w:r>
        <w:t>8.9 异常处理与补偿机制</w:t>
      </w:r>
    </w:p>
    <w:p>
      <w:pPr>
        <w:pStyle w:val="ListNumber"/>
        <w:spacing w:after="40"/>
      </w:pPr>
      <w:r>
        <w:t>对接失败自动重试，超过阈值进入人工处理队列。</w:t>
      </w:r>
    </w:p>
    <w:p>
      <w:pPr>
        <w:pStyle w:val="ListNumber"/>
        <w:spacing w:after="40"/>
      </w:pPr>
      <w:r>
        <w:t>对关键业务数据采用“先落原始流水、后做业务转换”的方式，防止源数据丢失。</w:t>
      </w:r>
    </w:p>
    <w:p>
      <w:pPr>
        <w:pStyle w:val="ListNumber"/>
        <w:spacing w:after="40"/>
      </w:pPr>
      <w:r>
        <w:t>对定时拉取类接口建立增量同步点和补采机制。</w:t>
      </w:r>
    </w:p>
    <w:p>
      <w:pPr>
        <w:pStyle w:val="ListNumber"/>
        <w:spacing w:after="40"/>
      </w:pPr>
      <w:r>
        <w:t>对推送类接口建立消费确认和失败回执机制。</w:t>
      </w:r>
    </w:p>
    <w:p>
      <w:pPr>
        <w:pStyle w:val="ListNumber"/>
        <w:spacing w:after="40"/>
      </w:pPr>
      <w:r>
        <w:t>对重要对接场景建立日对账和异常差异清单。</w:t>
      </w:r>
    </w:p>
    <w:p>
      <w:pPr>
        <w:pStyle w:val="Heading2"/>
      </w:pPr>
      <w:r>
        <w:t>8.10 对账与监控机制</w:t>
      </w:r>
    </w:p>
    <w:p>
      <w:pPr>
        <w:pStyle w:val="Heading3"/>
      </w:pPr>
      <w:r>
        <w:t>8.10.1 对账机制</w:t>
      </w:r>
    </w:p>
    <w:p>
      <w:pPr>
        <w:pStyle w:val="ListNumber"/>
        <w:spacing w:after="40"/>
      </w:pPr>
      <w:r>
        <w:t>政务证件按编号、状态、更新时间对账。</w:t>
      </w:r>
    </w:p>
    <w:p>
      <w:pPr>
        <w:pStyle w:val="ListNumber"/>
        <w:spacing w:after="40"/>
      </w:pPr>
      <w:r>
        <w:t>GPS 轨迹按车辆、时间段、点位数量对账。</w:t>
      </w:r>
    </w:p>
    <w:p>
      <w:pPr>
        <w:pStyle w:val="ListNumber"/>
        <w:spacing w:after="40"/>
      </w:pPr>
      <w:r>
        <w:t>地磅数据按磅单号、车牌、时间、净重对账。</w:t>
      </w:r>
    </w:p>
    <w:p>
      <w:pPr>
        <w:pStyle w:val="ListNumber"/>
        <w:spacing w:after="40"/>
      </w:pPr>
      <w:r>
        <w:t>视频设备按设备在线率、流状态、抓拍成功率对账。</w:t>
      </w:r>
    </w:p>
    <w:p>
      <w:pPr>
        <w:pStyle w:val="Heading3"/>
      </w:pPr>
      <w:r>
        <w:t>8.10.2 运维监控要求</w:t>
      </w:r>
    </w:p>
    <w:p>
      <w:pPr>
        <w:pStyle w:val="ListNumber"/>
        <w:spacing w:after="40"/>
      </w:pPr>
      <w:r>
        <w:t>对接口成功率、超时率、失败率建立实时监控。</w:t>
      </w:r>
    </w:p>
    <w:p>
      <w:pPr>
        <w:pStyle w:val="ListNumber"/>
        <w:spacing w:after="40"/>
      </w:pPr>
      <w:r>
        <w:t>对设备在线率、数据延迟、积压队列建立告警。</w:t>
      </w:r>
    </w:p>
    <w:p>
      <w:pPr>
        <w:pStyle w:val="ListNumber"/>
        <w:spacing w:after="40"/>
      </w:pPr>
      <w:r>
        <w:t>对外部系统不可用、证件同步中断、称重补传积压等关键事件建立短信/站内消息通知。</w:t>
      </w:r>
    </w:p>
    <w:p>
      <w:pPr>
        <w:pStyle w:val="Heading2"/>
      </w:pPr>
      <w:r>
        <w:t>8.11 联调实施与验收方案</w:t>
      </w:r>
    </w:p>
    <w:p>
      <w:pPr>
        <w:pStyle w:val="Heading3"/>
      </w:pPr>
      <w:r>
        <w:t>8.11.1 联调前置条件</w:t>
      </w:r>
    </w:p>
    <w:p>
      <w:pPr>
        <w:pStyle w:val="ListNumber"/>
        <w:spacing w:after="40"/>
      </w:pPr>
      <w:r>
        <w:t>明确双方接口责任边界、字段口径、时间格式和状态码定义。</w:t>
      </w:r>
    </w:p>
    <w:p>
      <w:pPr>
        <w:pStyle w:val="ListNumber"/>
        <w:spacing w:after="40"/>
      </w:pPr>
      <w:r>
        <w:t>提前准备测试环境、测试账号、白名单、设备编号和样例数据。</w:t>
      </w:r>
    </w:p>
    <w:p>
      <w:pPr>
        <w:pStyle w:val="ListNumber"/>
        <w:spacing w:after="40"/>
      </w:pPr>
      <w:r>
        <w:t>明确接口提供方、接口调用方、异常处理联系人和联调窗口期。</w:t>
      </w:r>
    </w:p>
    <w:p>
      <w:pPr>
        <w:pStyle w:val="Heading3"/>
      </w:pPr>
      <w:r>
        <w:t>8.11.2 联调阶段划分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阶段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目标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输出物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第一阶段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接口连通性验证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联通测试记录、签名和鉴权验证结果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第二阶段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样例数据联调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样例报文、字段映射确认单、问题清单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第三阶段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业务场景联调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证件同步、轨迹接入、称重回传、视频取流等场景测试记录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第四阶段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异常与补偿验证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超时、重试、补传、对账、告警测试记录</w:t>
            </w:r>
          </w:p>
        </w:tc>
      </w:tr>
      <w:tr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第五阶段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试运行与验收</w:t>
            </w:r>
          </w:p>
        </w:tc>
        <w:tc>
          <w:tcPr>
            <w:tcW w:type="dxa" w:w="302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21"/>
              </w:rPr>
              <w:t>联调验收报告、问题关闭清单、运行确认单</w:t>
            </w:r>
          </w:p>
        </w:tc>
      </w:tr>
    </w:tbl>
    <w:p/>
    <w:p>
      <w:pPr>
        <w:pStyle w:val="Heading3"/>
      </w:pPr>
      <w:r>
        <w:t>8.11.3 验收指标建议</w:t>
      </w:r>
    </w:p>
    <w:p>
      <w:pPr>
        <w:pStyle w:val="ListNumber"/>
        <w:spacing w:after="40"/>
      </w:pPr>
      <w:r>
        <w:t>核心接口联通率达到 100%。</w:t>
      </w:r>
    </w:p>
    <w:p>
      <w:pPr>
        <w:pStyle w:val="ListNumber"/>
        <w:spacing w:after="40"/>
      </w:pPr>
      <w:r>
        <w:t>样例数据字段映射准确率达到 100%。</w:t>
      </w:r>
    </w:p>
    <w:p>
      <w:pPr>
        <w:pStyle w:val="ListNumber"/>
        <w:spacing w:after="40"/>
      </w:pPr>
      <w:r>
        <w:t>正常业务场景下核心接口成功率不低于 99%。</w:t>
      </w:r>
    </w:p>
    <w:p>
      <w:pPr>
        <w:pStyle w:val="ListNumber"/>
        <w:spacing w:after="40"/>
      </w:pPr>
      <w:r>
        <w:t>异常补偿机制、重试机制和对账机制均完成验证。</w:t>
      </w:r>
    </w:p>
    <w:p>
      <w:pPr>
        <w:pStyle w:val="ListNumber"/>
        <w:spacing w:after="40"/>
      </w:pPr>
      <w:r>
        <w:t>联调问题形成闭环台账，全部完成处理或达成书面确认。</w:t>
      </w:r>
    </w:p>
    <w:p>
      <w:pPr>
        <w:pStyle w:val="Heading2"/>
      </w:pPr>
      <w:r>
        <w:t>8.12 本章结论</w:t>
      </w:r>
    </w:p>
    <w:p>
      <w:pPr>
        <w:spacing w:after="120"/>
      </w:pPr>
      <w:r>
        <w:t>本方案已对政务网、GPS 车辆定位、地磅称重、视频监控及统一认证等第三方系统给出完整对接设计，覆盖对接目标、接口规范、业务流程、异常处理、对账机制和运维监控要求，能够满足甲方对“方案清晰、完整、规范，异常处理机制完善”的评分要求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 第三方系统对接方案</dc:title>
  <dc:subject>第8章 第三方系统对接方案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