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Microsoft YaHei" w:hAnsi="Microsoft YaHei" w:eastAsia="Microsoft YaHei"/>
          <w:b/>
          <w:sz w:val="48"/>
        </w:rPr>
        <w:t>第10章 安全合规与运维保障方案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sz w:val="28"/>
        </w:rPr>
        <w:t>商务技术文件章节</w:t>
      </w:r>
    </w:p>
    <w:p>
      <w:pPr>
        <w:spacing w:before="5200"/>
        <w:jc w:val="center"/>
      </w:pPr>
      <w:r>
        <w:rPr>
          <w:rFonts w:ascii="Microsoft YaHei" w:hAnsi="Microsoft YaHei" w:eastAsia="Microsoft YaHei"/>
          <w:sz w:val="24"/>
        </w:rPr>
        <w:t>导出日期：2026-04-08</w:t>
      </w:r>
    </w:p>
    <w:p>
      <w:r>
        <w:br w:type="page"/>
      </w:r>
    </w:p>
    <w:p>
      <w:pPr>
        <w:pStyle w:val="Heading1"/>
      </w:pPr>
      <w:r>
        <w:t>第10章 安全合规与运维保障方案</w:t>
      </w:r>
    </w:p>
    <w:p>
      <w:pPr>
        <w:pStyle w:val="Heading2"/>
      </w:pPr>
      <w:r>
        <w:t>10.0 本章响应说明</w:t>
      </w:r>
    </w:p>
    <w:p>
      <w:pPr>
        <w:spacing w:after="120"/>
      </w:pPr>
      <w:r>
        <w:t>本章围绕招标文件对“安全合规与运维保障方案”的评分要求进行编制，重点说明等保二级配合、信创要求、数据安全、权限控制以及监控告警、故障响应、数据备份等运维保障方案，确保平台安全可控、运行稳定、持续可服务。</w:t>
      </w:r>
    </w:p>
    <w:p>
      <w:pPr>
        <w:pStyle w:val="Heading2"/>
      </w:pPr>
      <w:r>
        <w:t>10.1 安全建设总体目标</w:t>
      </w:r>
    </w:p>
    <w:p>
      <w:pPr>
        <w:spacing w:after="120"/>
      </w:pPr>
      <w:r>
        <w:t>平台安全建设遵循“制度先行、技术防护、过程可控、行为可审计、数据可恢复”的原则，围绕身份认证、权限控制、数据安全、接口安全、审计留痕、备份恢复和运维管理建立全方位防护体系，满足政府监管平台和企业协同平台的双重要求。</w:t>
      </w:r>
    </w:p>
    <w:p>
      <w:pPr>
        <w:pStyle w:val="Heading2"/>
      </w:pPr>
      <w:r>
        <w:t>10.2 等保二级配合方案</w:t>
      </w:r>
    </w:p>
    <w:p>
      <w:pPr>
        <w:pStyle w:val="Heading3"/>
      </w:pPr>
      <w:r>
        <w:t>10.2.1 配合目标</w:t>
      </w:r>
    </w:p>
    <w:p>
      <w:pPr>
        <w:spacing w:after="120"/>
      </w:pPr>
      <w:r>
        <w:t>按照网络安全等级保护二级要求，平台建设将满足二级等保相关技术与管理要求，并配合甲方开展定级备案、差距整改、测评准备和制度建设，确保平台在边界防护、访问控制、恶意代码防范、安全审计、数据备份恢复等方面达到测评要求。</w:t>
      </w:r>
    </w:p>
    <w:p>
      <w:pPr>
        <w:pStyle w:val="Heading3"/>
      </w:pPr>
      <w:r>
        <w:t>10.2.2 配合内容</w:t>
      </w:r>
    </w:p>
    <w:p>
      <w:pPr>
        <w:pStyle w:val="ListNumber"/>
        <w:spacing w:after="40"/>
      </w:pPr>
      <w:r>
        <w:t>配合梳理资产清单、网络拓扑、系统边界和部署架构。</w:t>
      </w:r>
    </w:p>
    <w:p>
      <w:pPr>
        <w:pStyle w:val="ListNumber"/>
        <w:spacing w:after="40"/>
      </w:pPr>
      <w:r>
        <w:t>配合输出账号权限、日志审计、备份恢复、应急响应等管理制度材料。</w:t>
      </w:r>
    </w:p>
    <w:p>
      <w:pPr>
        <w:pStyle w:val="ListNumber"/>
        <w:spacing w:after="40"/>
      </w:pPr>
      <w:r>
        <w:t>配合完成安全配置核查、弱口令整改、审计留痕和备份机制核验。</w:t>
      </w:r>
    </w:p>
    <w:p>
      <w:pPr>
        <w:pStyle w:val="ListNumber"/>
        <w:spacing w:after="40"/>
      </w:pPr>
      <w:r>
        <w:t>配合完成测评问题整改和复测闭环。</w:t>
      </w:r>
    </w:p>
    <w:p>
      <w:pPr>
        <w:pStyle w:val="Heading3"/>
      </w:pPr>
      <w:r>
        <w:t>10.2.3 技术落实要点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类别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落实措施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身份鉴别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密码策略、登录失败锁定、会话过期控制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访问控制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角色权限、菜单权限、按钮权限、数据权限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安全审计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登录日志、操作日志、接口日志、审批日志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入侵防范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边界防护、接口限流、异常登录监测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数据备份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全量备份、增量备份、恢复验证</w:t>
            </w:r>
          </w:p>
        </w:tc>
      </w:tr>
    </w:tbl>
    <w:p/>
    <w:p>
      <w:pPr>
        <w:pStyle w:val="Heading2"/>
      </w:pPr>
      <w:r>
        <w:t>10.3 信创适配要求</w:t>
      </w:r>
    </w:p>
    <w:p>
      <w:pPr>
        <w:spacing w:after="120"/>
      </w:pPr>
      <w:r>
        <w:t>平台架构设计遵循信创兼容思路，支持在国产化服务器、国产操作系统、国产数据库、中间件和浏览器环境中逐步适配和部署。</w:t>
      </w:r>
    </w:p>
    <w:p>
      <w:pPr>
        <w:pStyle w:val="Heading3"/>
      </w:pPr>
      <w:r>
        <w:t>10.3.1 适配原则</w:t>
      </w:r>
    </w:p>
    <w:p>
      <w:pPr>
        <w:pStyle w:val="ListNumber"/>
        <w:spacing w:after="40"/>
      </w:pPr>
      <w:r>
        <w:t>优先采用标准化、开放式技术框架，降低对特定商业软件的强绑定。</w:t>
      </w:r>
    </w:p>
    <w:p>
      <w:pPr>
        <w:pStyle w:val="ListNumber"/>
        <w:spacing w:after="40"/>
      </w:pPr>
      <w:r>
        <w:t>避免使用难以替代的闭源中间件依赖。</w:t>
      </w:r>
    </w:p>
    <w:p>
      <w:pPr>
        <w:pStyle w:val="ListNumber"/>
        <w:spacing w:after="40"/>
      </w:pPr>
      <w:r>
        <w:t>数据库、操作系统、中间件和浏览器层面预留兼容验证空间。</w:t>
      </w:r>
    </w:p>
    <w:p>
      <w:pPr>
        <w:pStyle w:val="Heading3"/>
      </w:pPr>
      <w:r>
        <w:t>10.3.2 适配策略</w:t>
      </w:r>
    </w:p>
    <w:p>
      <w:pPr>
        <w:pStyle w:val="ListNumber"/>
        <w:spacing w:after="40"/>
      </w:pPr>
      <w:r>
        <w:t>应用代码遵循标准 SQL 和主流 Java 技术栈。</w:t>
      </w:r>
    </w:p>
    <w:p>
      <w:pPr>
        <w:pStyle w:val="ListNumber"/>
        <w:spacing w:after="40"/>
      </w:pPr>
      <w:r>
        <w:t>前端采用标准 Web 技术，适配主流国产浏览器环境。</w:t>
      </w:r>
    </w:p>
    <w:p>
      <w:pPr>
        <w:pStyle w:val="ListNumber"/>
        <w:spacing w:after="40"/>
      </w:pPr>
      <w:r>
        <w:t>部署层支持通过容器或标准服务方式迁移至国产化基础设施。</w:t>
      </w:r>
    </w:p>
    <w:p>
      <w:pPr>
        <w:pStyle w:val="Heading2"/>
      </w:pPr>
      <w:r>
        <w:t>10.4 数据安全方案</w:t>
      </w:r>
    </w:p>
    <w:p>
      <w:pPr>
        <w:pStyle w:val="Heading3"/>
      </w:pPr>
      <w:r>
        <w:t>10.4.1 数据分类分级</w:t>
      </w:r>
    </w:p>
    <w:p>
      <w:pPr>
        <w:spacing w:after="120"/>
      </w:pPr>
      <w:r>
        <w:t>平台数据按照业务敏感程度划分为基础主数据、业务过程数据、统计分析数据、敏感身份数据和审计日志数据，不同级别采用不同保护措施。</w:t>
      </w:r>
    </w:p>
    <w:p>
      <w:pPr>
        <w:pStyle w:val="Heading3"/>
      </w:pPr>
      <w:r>
        <w:t>10.4.2 数据保护措施</w:t>
      </w:r>
    </w:p>
    <w:p>
      <w:pPr>
        <w:pStyle w:val="ListNumber"/>
        <w:spacing w:after="40"/>
      </w:pPr>
      <w:r>
        <w:t>敏感字段按角色脱敏展示，例如手机号、证件号等。</w:t>
      </w:r>
    </w:p>
    <w:p>
      <w:pPr>
        <w:pStyle w:val="ListNumber"/>
        <w:spacing w:after="40"/>
      </w:pPr>
      <w:r>
        <w:t>关键业务附件统一存储并受权限控制。</w:t>
      </w:r>
    </w:p>
    <w:p>
      <w:pPr>
        <w:pStyle w:val="ListNumber"/>
        <w:spacing w:after="40"/>
      </w:pPr>
      <w:r>
        <w:t>数据访问遵循最小权限原则。</w:t>
      </w:r>
    </w:p>
    <w:p>
      <w:pPr>
        <w:pStyle w:val="ListNumber"/>
        <w:spacing w:after="40"/>
      </w:pPr>
      <w:r>
        <w:t>导出操作保留日志并按权限审批或授权控制。</w:t>
      </w:r>
    </w:p>
    <w:p>
      <w:pPr>
        <w:pStyle w:val="ListNumber"/>
        <w:spacing w:after="40"/>
      </w:pPr>
      <w:r>
        <w:t>重要数据传输采用加密链路。</w:t>
      </w:r>
    </w:p>
    <w:p>
      <w:pPr>
        <w:pStyle w:val="Heading3"/>
      </w:pPr>
      <w:r>
        <w:t>10.4.3 数据生命周期管理</w:t>
      </w:r>
    </w:p>
    <w:p>
      <w:pPr>
        <w:pStyle w:val="ListNumber"/>
        <w:spacing w:after="40"/>
      </w:pPr>
      <w:r>
        <w:t>业务数据按监管要求长期保留或分级归档。</w:t>
      </w:r>
    </w:p>
    <w:p>
      <w:pPr>
        <w:pStyle w:val="ListNumber"/>
        <w:spacing w:after="40"/>
      </w:pPr>
      <w:r>
        <w:t>日志数据按存储周期滚动归档。</w:t>
      </w:r>
    </w:p>
    <w:p>
      <w:pPr>
        <w:pStyle w:val="ListNumber"/>
        <w:spacing w:after="40"/>
      </w:pPr>
      <w:r>
        <w:t>历史大数据量表支持归档和查询分层，兼顾性能与合规。</w:t>
      </w:r>
    </w:p>
    <w:p>
      <w:pPr>
        <w:pStyle w:val="Heading2"/>
      </w:pPr>
      <w:r>
        <w:t>10.5 权限控制方案</w:t>
      </w:r>
    </w:p>
    <w:p>
      <w:pPr>
        <w:spacing w:after="120"/>
      </w:pPr>
      <w:r>
        <w:t>平台采用“账号认证 + 角色授权 + 组织范围 + 数据权限 + 按钮控制”的综合权限模型。</w:t>
      </w:r>
    </w:p>
    <w:p>
      <w:pPr>
        <w:pStyle w:val="Heading3"/>
      </w:pPr>
      <w:r>
        <w:t>10.5.1 权限设计要点</w:t>
      </w:r>
    </w:p>
    <w:p>
      <w:pPr>
        <w:pStyle w:val="ListNumber"/>
        <w:spacing w:after="40"/>
      </w:pPr>
      <w:r>
        <w:t>监管部门、场地方、运输单位、建设单位等不同角色拥有差异化菜单和功能入口。</w:t>
      </w:r>
    </w:p>
    <w:p>
      <w:pPr>
        <w:pStyle w:val="ListNumber"/>
        <w:spacing w:after="40"/>
      </w:pPr>
      <w:r>
        <w:t>同一模块中不同操作按钮按角色授权，例如新增、审核、导出、删除、结算确认等。</w:t>
      </w:r>
    </w:p>
    <w:p>
      <w:pPr>
        <w:pStyle w:val="ListNumber"/>
        <w:spacing w:after="40"/>
      </w:pPr>
      <w:r>
        <w:t>数据查看范围按租户、组织、区域、项目等维度控制。</w:t>
      </w:r>
    </w:p>
    <w:p>
      <w:pPr>
        <w:pStyle w:val="ListNumber"/>
        <w:spacing w:after="40"/>
      </w:pPr>
      <w:r>
        <w:t>审批操作必须关联审批节点身份和意见留痕。</w:t>
      </w:r>
    </w:p>
    <w:p>
      <w:pPr>
        <w:pStyle w:val="Heading3"/>
      </w:pPr>
      <w:r>
        <w:t>10.5.2 安全审计</w:t>
      </w:r>
    </w:p>
    <w:p>
      <w:pPr>
        <w:spacing w:after="120"/>
      </w:pPr>
      <w:r>
        <w:t>所有登录、退出、密码修改、权限变更、审批动作、导出动作和关键接口调用均纳入日志审计范围，支撑责任追溯。</w:t>
      </w:r>
    </w:p>
    <w:p>
      <w:pPr>
        <w:pStyle w:val="Heading2"/>
      </w:pPr>
      <w:r>
        <w:t>10.6 接口安全与传输安全</w:t>
      </w:r>
    </w:p>
    <w:p>
      <w:pPr>
        <w:pStyle w:val="ListNumber"/>
        <w:spacing w:after="40"/>
      </w:pPr>
      <w:r>
        <w:t>外部接口统一通过 HTTPS、签名鉴权、时间戳和白名单控制访问。</w:t>
      </w:r>
    </w:p>
    <w:p>
      <w:pPr>
        <w:pStyle w:val="ListNumber"/>
        <w:spacing w:after="40"/>
      </w:pPr>
      <w:r>
        <w:t>内部接口统一校验用户令牌和权限范围。</w:t>
      </w:r>
    </w:p>
    <w:p>
      <w:pPr>
        <w:pStyle w:val="ListNumber"/>
        <w:spacing w:after="40"/>
      </w:pPr>
      <w:r>
        <w:t>对高频或高风险接口进行限流、防重放和异常请求识别。</w:t>
      </w:r>
    </w:p>
    <w:p>
      <w:pPr>
        <w:pStyle w:val="ListNumber"/>
        <w:spacing w:after="40"/>
      </w:pPr>
      <w:r>
        <w:t>对第三方回调接口保留原始报文和签名校验结果，便于审计。</w:t>
      </w:r>
    </w:p>
    <w:p>
      <w:pPr>
        <w:pStyle w:val="Heading2"/>
      </w:pPr>
      <w:r>
        <w:t>10.7 监控告警方案</w:t>
      </w:r>
    </w:p>
    <w:p>
      <w:pPr>
        <w:pStyle w:val="Heading3"/>
      </w:pPr>
      <w:r>
        <w:t>10.7.1 监控范围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监控对象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监控内容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应用服务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进程状态、CPU、内存、线程、接口耗时、错误率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数据库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连接数、慢查询、主从延迟、空间使用率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接口对接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成功率、失败率、超时率、积压队列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设备接入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GPS 在线率、地磅数据延迟、视频流状态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业务告警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预警积压、事件超时、消息投递失败</w:t>
            </w:r>
          </w:p>
        </w:tc>
      </w:tr>
    </w:tbl>
    <w:p/>
    <w:p>
      <w:pPr>
        <w:pStyle w:val="Heading3"/>
      </w:pPr>
      <w:r>
        <w:t>10.7.2 告警机制</w:t>
      </w:r>
    </w:p>
    <w:p>
      <w:pPr>
        <w:pStyle w:val="ListNumber"/>
        <w:spacing w:after="40"/>
      </w:pPr>
      <w:r>
        <w:t>按严重程度划分一般、重要、紧急三级告警。</w:t>
      </w:r>
    </w:p>
    <w:p>
      <w:pPr>
        <w:pStyle w:val="ListNumber"/>
        <w:spacing w:after="40"/>
      </w:pPr>
      <w:r>
        <w:t>支持站内消息、短信、电话等多种通知方式。</w:t>
      </w:r>
    </w:p>
    <w:p>
      <w:pPr>
        <w:pStyle w:val="ListNumber"/>
        <w:spacing w:after="40"/>
      </w:pPr>
      <w:r>
        <w:t>对连续异常和重复异常进行聚合，避免告警风暴。</w:t>
      </w:r>
    </w:p>
    <w:p>
      <w:pPr>
        <w:pStyle w:val="Heading2"/>
      </w:pPr>
      <w:r>
        <w:t>10.8 故障响应方案</w:t>
      </w:r>
    </w:p>
    <w:p>
      <w:pPr>
        <w:pStyle w:val="Heading3"/>
      </w:pPr>
      <w:r>
        <w:t>10.8.1 响应机制</w:t>
      </w:r>
    </w:p>
    <w:p>
      <w:pPr>
        <w:pStyle w:val="ListNumber"/>
        <w:spacing w:after="40"/>
      </w:pPr>
      <w:r>
        <w:t>建立 7×24 运维值守和工作时间快速响应机制。</w:t>
      </w:r>
    </w:p>
    <w:p>
      <w:pPr>
        <w:pStyle w:val="ListNumber"/>
        <w:spacing w:after="40"/>
      </w:pPr>
      <w:r>
        <w:t>故障按级别分为一般故障、重大故障和紧急故障。</w:t>
      </w:r>
    </w:p>
    <w:p>
      <w:pPr>
        <w:pStyle w:val="ListNumber"/>
        <w:spacing w:after="40"/>
      </w:pPr>
      <w:r>
        <w:t>关键故障执行“发现-定位-通报-处置-恢复-复盘”闭环流程。</w:t>
      </w:r>
    </w:p>
    <w:p>
      <w:pPr>
        <w:pStyle w:val="Heading3"/>
      </w:pPr>
      <w:r>
        <w:t>10.8.2 响应时效建议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故障级别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典型场景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响应时限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恢复目标</w:t>
            </w:r>
          </w:p>
        </w:tc>
      </w:tr>
      <w:tr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紧急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平台不可用、核心链路中断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15 分钟内响应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2 小时内恢复核心服务</w:t>
            </w:r>
          </w:p>
        </w:tc>
      </w:tr>
      <w:tr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重大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核心模块异常、第三方持续对接失败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30 分钟内响应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4 小时内恢复</w:t>
            </w:r>
          </w:p>
        </w:tc>
      </w:tr>
      <w:tr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一般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单模块局部异常、个别页面问题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1 小时内响应</w:t>
            </w:r>
          </w:p>
        </w:tc>
        <w:tc>
          <w:tcPr>
            <w:tcW w:type="dxa" w:w="226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1 个工作日内处理</w:t>
            </w:r>
          </w:p>
        </w:tc>
      </w:tr>
    </w:tbl>
    <w:p/>
    <w:p>
      <w:pPr>
        <w:pStyle w:val="Heading3"/>
      </w:pPr>
      <w:r>
        <w:t>10.8.3 运维量化承诺建议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建议指标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运行监控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7×24 小时监控核心服务状态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日常巡检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每日巡检关键服务，每周输出巡检报告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漏洞处理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高危漏洞 24 小时内响应并制定处置方案，中低危漏洞按计划整改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发布管理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重大版本发布前完成测试、备份和回滚预案确认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应急演练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每半年开展一次备份恢复或应急切换演练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数据恢复指标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建议 RPO 不高于 30 分钟，RTO 不高于 4 小时</w:t>
            </w:r>
          </w:p>
        </w:tc>
      </w:tr>
    </w:tbl>
    <w:p/>
    <w:p>
      <w:pPr>
        <w:pStyle w:val="Heading2"/>
      </w:pPr>
      <w:r>
        <w:t>10.9 数据备份与恢复方案</w:t>
      </w:r>
    </w:p>
    <w:p>
      <w:pPr>
        <w:pStyle w:val="Heading3"/>
      </w:pPr>
      <w:r>
        <w:t>10.9.1 备份策略</w:t>
      </w:r>
    </w:p>
    <w:p>
      <w:pPr>
        <w:pStyle w:val="ListNumber"/>
        <w:spacing w:after="40"/>
      </w:pPr>
      <w:r>
        <w:t>数据库执行周期性全量备份和日常增量备份。</w:t>
      </w:r>
    </w:p>
    <w:p>
      <w:pPr>
        <w:pStyle w:val="ListNumber"/>
        <w:spacing w:after="40"/>
      </w:pPr>
      <w:r>
        <w:t>附件文件执行对象存储或文件存储备份。</w:t>
      </w:r>
    </w:p>
    <w:p>
      <w:pPr>
        <w:pStyle w:val="ListNumber"/>
        <w:spacing w:after="40"/>
      </w:pPr>
      <w:r>
        <w:t>配置文件、接口参数和字典参数纳入配置备份范围。</w:t>
      </w:r>
    </w:p>
    <w:p>
      <w:pPr>
        <w:pStyle w:val="Heading3"/>
      </w:pPr>
      <w:r>
        <w:t>10.9.2 恢复策略</w:t>
      </w:r>
    </w:p>
    <w:p>
      <w:pPr>
        <w:pStyle w:val="ListNumber"/>
        <w:spacing w:after="40"/>
      </w:pPr>
      <w:r>
        <w:t>支持按数据库实例、业务表、时间点进行恢复。</w:t>
      </w:r>
    </w:p>
    <w:p>
      <w:pPr>
        <w:pStyle w:val="ListNumber"/>
        <w:spacing w:after="40"/>
      </w:pPr>
      <w:r>
        <w:t>支持附件和日志的独立恢复。</w:t>
      </w:r>
    </w:p>
    <w:p>
      <w:pPr>
        <w:pStyle w:val="ListNumber"/>
        <w:spacing w:after="40"/>
      </w:pPr>
      <w:r>
        <w:t>定期开展恢复演练，确保备份可用而非仅有备份文件。</w:t>
      </w:r>
    </w:p>
    <w:p>
      <w:pPr>
        <w:pStyle w:val="Heading3"/>
      </w:pPr>
      <w:r>
        <w:t>10.9.3 连续性保障</w:t>
      </w:r>
    </w:p>
    <w:p>
      <w:pPr>
        <w:spacing w:after="120"/>
      </w:pPr>
      <w:r>
        <w:t>建议对核心数据库、应用服务和接口网关采用主备或高可用部署策略，关键数据目录采用多副本或异地备份，提升故障恢复能力。</w:t>
      </w:r>
    </w:p>
    <w:p>
      <w:pPr>
        <w:pStyle w:val="Heading2"/>
      </w:pPr>
      <w:r>
        <w:t>10.10 发布变更与运维管理</w:t>
      </w:r>
    </w:p>
    <w:p>
      <w:pPr>
        <w:pStyle w:val="ListNumber"/>
        <w:spacing w:after="40"/>
      </w:pPr>
      <w:r>
        <w:t>变更需履行测试、审核、发布、回滚预案准备等标准流程。</w:t>
      </w:r>
    </w:p>
    <w:p>
      <w:pPr>
        <w:pStyle w:val="ListNumber"/>
        <w:spacing w:after="40"/>
      </w:pPr>
      <w:r>
        <w:t>对数据库脚本、接口配置和关键参数调整保留变更记录。</w:t>
      </w:r>
    </w:p>
    <w:p>
      <w:pPr>
        <w:pStyle w:val="ListNumber"/>
        <w:spacing w:after="40"/>
      </w:pPr>
      <w:r>
        <w:t>生产问题通过问题库和复盘机制沉淀经验，持续优化平台稳定性。</w:t>
      </w:r>
    </w:p>
    <w:p>
      <w:pPr>
        <w:pStyle w:val="Heading2"/>
      </w:pPr>
      <w:r>
        <w:t>10.11 本章结论</w:t>
      </w:r>
    </w:p>
    <w:p>
      <w:pPr>
        <w:spacing w:after="120"/>
      </w:pPr>
      <w:r>
        <w:t>本方案已从等保二级配合、信创适配、数据安全、权限控制、接口安全、监控告警、故障响应、数据备份和持续运维等方面给出完整方案，能够满足甲方对安全合规与运维保障“内容清晰、完整、合理可行”的评分要求，并为平台长期稳定运行提供制度和技术双重保障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 安全合规与运维保障方案</dc:title>
  <dc:subject>第10章 安全合规与运维保障方案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