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6F0A959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5E248E">
              <w:rPr>
                <w:noProof/>
                <w:webHidden/>
              </w:rPr>
              <w:t>II</w:t>
            </w:r>
            <w:r w:rsidR="008717C1">
              <w:rPr>
                <w:noProof/>
                <w:webHidden/>
              </w:rPr>
              <w:fldChar w:fldCharType="end"/>
            </w:r>
          </w:hyperlink>
        </w:p>
        <w:p w14:paraId="61A115D0" w14:textId="5C1CD220" w:rsidR="008717C1" w:rsidRDefault="00351BA2">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5E248E">
              <w:rPr>
                <w:noProof/>
                <w:webHidden/>
              </w:rPr>
              <w:t>1</w:t>
            </w:r>
            <w:r w:rsidR="008717C1">
              <w:rPr>
                <w:noProof/>
                <w:webHidden/>
              </w:rPr>
              <w:fldChar w:fldCharType="end"/>
            </w:r>
          </w:hyperlink>
        </w:p>
        <w:p w14:paraId="7BCEB516" w14:textId="5B3F8565" w:rsidR="008717C1" w:rsidRDefault="00351BA2">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5E248E">
              <w:rPr>
                <w:noProof/>
                <w:webHidden/>
              </w:rPr>
              <w:t>1</w:t>
            </w:r>
            <w:r w:rsidR="008717C1">
              <w:rPr>
                <w:noProof/>
                <w:webHidden/>
              </w:rPr>
              <w:fldChar w:fldCharType="end"/>
            </w:r>
          </w:hyperlink>
        </w:p>
        <w:p w14:paraId="4405F5BE" w14:textId="62EC133F" w:rsidR="008717C1" w:rsidRDefault="00351BA2">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5E248E">
              <w:rPr>
                <w:noProof/>
                <w:webHidden/>
              </w:rPr>
              <w:t>3</w:t>
            </w:r>
            <w:r w:rsidR="008717C1">
              <w:rPr>
                <w:noProof/>
                <w:webHidden/>
              </w:rPr>
              <w:fldChar w:fldCharType="end"/>
            </w:r>
          </w:hyperlink>
        </w:p>
        <w:p w14:paraId="33B15177" w14:textId="65B62630" w:rsidR="008717C1" w:rsidRDefault="00351BA2">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5E248E">
              <w:rPr>
                <w:noProof/>
                <w:webHidden/>
              </w:rPr>
              <w:t>4</w:t>
            </w:r>
            <w:r w:rsidR="008717C1">
              <w:rPr>
                <w:noProof/>
                <w:webHidden/>
              </w:rPr>
              <w:fldChar w:fldCharType="end"/>
            </w:r>
          </w:hyperlink>
        </w:p>
        <w:p w14:paraId="348F1B19" w14:textId="1B1EC9F3" w:rsidR="008717C1" w:rsidRDefault="00351BA2">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5E248E">
              <w:rPr>
                <w:noProof/>
                <w:webHidden/>
              </w:rPr>
              <w:t>4</w:t>
            </w:r>
            <w:r w:rsidR="008717C1">
              <w:rPr>
                <w:noProof/>
                <w:webHidden/>
              </w:rPr>
              <w:fldChar w:fldCharType="end"/>
            </w:r>
          </w:hyperlink>
        </w:p>
        <w:p w14:paraId="710F51E4" w14:textId="461632CC" w:rsidR="008717C1" w:rsidRDefault="00351BA2">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5E248E">
              <w:rPr>
                <w:noProof/>
                <w:webHidden/>
              </w:rPr>
              <w:t>5</w:t>
            </w:r>
            <w:r w:rsidR="008717C1">
              <w:rPr>
                <w:noProof/>
                <w:webHidden/>
              </w:rPr>
              <w:fldChar w:fldCharType="end"/>
            </w:r>
          </w:hyperlink>
        </w:p>
        <w:p w14:paraId="73C5806D" w14:textId="25B74B5D" w:rsidR="008717C1" w:rsidRDefault="00351BA2">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7ADCC550" w14:textId="4E6C9CEC" w:rsidR="008717C1" w:rsidRDefault="00351BA2">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028A87AD" w14:textId="4B1DC63F" w:rsidR="008717C1" w:rsidRDefault="00351BA2">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1783A3D5" w14:textId="6FC954E1" w:rsidR="008717C1" w:rsidRDefault="00351BA2">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3030EDC3" w14:textId="7C70750E" w:rsidR="008717C1" w:rsidRDefault="00351BA2">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601E11FA" w14:textId="3366F5A9" w:rsidR="008717C1" w:rsidRDefault="00351BA2">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7CA4903D" w14:textId="4D48263C" w:rsidR="008717C1" w:rsidRDefault="00351BA2">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503E6DFE" w14:textId="7E4E81C7" w:rsidR="008717C1" w:rsidRDefault="00351BA2">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060E909A" w14:textId="3447720F" w:rsidR="008717C1" w:rsidRDefault="00351BA2">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77CE29ED" w14:textId="037BC2DD" w:rsidR="008717C1" w:rsidRDefault="00351BA2">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3B2B5BF7" w14:textId="220914B1" w:rsidR="008717C1" w:rsidRDefault="00351BA2">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0973D7BE" w14:textId="27C17F0E" w:rsidR="008717C1" w:rsidRDefault="00351BA2">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3C2852AA" w14:textId="79626077" w:rsidR="008717C1" w:rsidRDefault="00351BA2">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71F817E6" w14:textId="184E522D" w:rsidR="008717C1" w:rsidRDefault="00351BA2">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55B9D215" w14:textId="695B8736" w:rsidR="008717C1" w:rsidRDefault="00351BA2">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54BD4F76" w14:textId="1524225B" w:rsidR="008717C1" w:rsidRDefault="00351BA2">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7D9E47EB" w14:textId="024839ED" w:rsidR="008717C1" w:rsidRDefault="00351BA2">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5E248E">
              <w:rPr>
                <w:noProof/>
                <w:webHidden/>
              </w:rPr>
              <w:t>i</w:t>
            </w:r>
            <w:r w:rsidR="008717C1">
              <w:rPr>
                <w:noProof/>
                <w:webHidden/>
              </w:rPr>
              <w:fldChar w:fldCharType="end"/>
            </w:r>
          </w:hyperlink>
        </w:p>
        <w:p w14:paraId="3C39EB59" w14:textId="482A4E9C" w:rsidR="008717C1" w:rsidRDefault="00351BA2">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5E248E">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789E5601"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5E248E"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5E248E"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04F09FF7" w14:textId="42829E57" w:rsidR="00685D9E" w:rsidRDefault="00351BA2" w:rsidP="00B24ECB">
      <w:pPr>
        <w:pStyle w:val="Listenabsatz"/>
        <w:numPr>
          <w:ilvl w:val="0"/>
          <w:numId w:val="10"/>
        </w:numPr>
      </w:pPr>
      <w:hyperlink r:id="rId14" w:history="1">
        <w:r w:rsidR="00685D9E" w:rsidRPr="00EA2FF7">
          <w:rPr>
            <w:rStyle w:val="Hyperlink"/>
          </w:rPr>
          <w:t>https://www.kaggle.com/dev7halo/wine-information</w:t>
        </w:r>
      </w:hyperlink>
    </w:p>
    <w:p w14:paraId="3F58FF0E" w14:textId="5D1A50BF" w:rsidR="00AC3ACF" w:rsidRDefault="00194BB1" w:rsidP="00AC3ACF">
      <w:r>
        <w:lastRenderedPageBreak/>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 xml:space="preserve">Datenbearbeitungsschritte </w:t>
      </w:r>
      <w:proofErr w:type="gramStart"/>
      <w:r w:rsidR="004B3303">
        <w:t>vorgenommen.</w:t>
      </w:r>
      <w:r w:rsidR="00FE71BD">
        <w:t>[</w:t>
      </w:r>
      <w:proofErr w:type="gramEnd"/>
      <w:r w:rsidR="00FE71BD">
        <w:t>]</w:t>
      </w:r>
    </w:p>
    <w:p w14:paraId="250BF83D" w14:textId="57932AB7"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xml:space="preserve">“ in diesem Datensatz zu </w:t>
      </w:r>
      <w:proofErr w:type="gramStart"/>
      <w:r w:rsidR="00C53004">
        <w:t>finden.</w:t>
      </w:r>
      <w:r w:rsidR="00FE71BD">
        <w:t>[</w:t>
      </w:r>
      <w:proofErr w:type="gramEnd"/>
      <w:r w:rsidR="00FE71BD">
        <w:t>]</w:t>
      </w:r>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1B6717C9"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w:t>
      </w:r>
      <w:r w:rsidR="00A31E0E">
        <w:lastRenderedPageBreak/>
        <w:t>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F01048">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A65A8B">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24829E6F"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proofErr w:type="gramStart"/>
      <w:r w:rsidR="004A687F" w:rsidRPr="004A687F">
        <w:t>https://gist.github.com/curran/1dd7ab046a4ed32380b21e81a38447aa/</w:t>
      </w:r>
      <w:r w:rsidR="004A687F">
        <w:t xml:space="preserve"> </w:t>
      </w:r>
      <w:r w:rsidR="00242A6A">
        <w:t>]</w:t>
      </w:r>
      <w:proofErr w:type="gramEnd"/>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526993F0"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1355.382 Won umgerechnet. [] Nachdem diese Zahlen erfolgreich überarbeitet worden sind</w:t>
      </w:r>
      <w:r w:rsidR="0008388B">
        <w:t xml:space="preserve">, wurden die Namen in der </w:t>
      </w:r>
      <w:proofErr w:type="spellStart"/>
      <w:r w:rsidR="0008388B">
        <w:t>Splate</w:t>
      </w:r>
      <w:proofErr w:type="spellEnd"/>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w:t>
      </w:r>
      <w:r w:rsidR="00210C6C">
        <w:lastRenderedPageBreak/>
        <w:t>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proofErr w:type="spellStart"/>
      <w:r w:rsidR="00057D06">
        <w:t>Zusätlich</w:t>
      </w:r>
      <w:proofErr w:type="spellEnd"/>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582AFB96"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A62989"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BF09D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lastRenderedPageBreak/>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603A4DB6"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w:t>
      </w:r>
      <w:proofErr w:type="gramStart"/>
      <w:r w:rsidR="00C450F3">
        <w:t>leer ]</w:t>
      </w:r>
      <w:proofErr w:type="gramEnd"/>
      <w:r w:rsidR="00C450F3">
        <w:t xml:space="preserve"> nachzulesen.</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3339559A" w14:textId="005346FA" w:rsidR="003B570A"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663FA94" w14:textId="69F952F4" w:rsidR="001A1AF1" w:rsidRDefault="001A1AF1" w:rsidP="003B570A"/>
    <w:p w14:paraId="57D5B47E" w14:textId="4656A2F6" w:rsidR="001A1AF1" w:rsidRDefault="00900BA8" w:rsidP="003B570A">
      <w:r>
        <w:lastRenderedPageBreak/>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t xml:space="preserve">Vorstellen, Interaktivität, </w:t>
      </w:r>
      <w:proofErr w:type="spellStart"/>
      <w:r>
        <w:t>Designentschiedungen</w:t>
      </w:r>
      <w:proofErr w:type="spellEnd"/>
      <w:r>
        <w:t xml:space="preserve"> begründen Diskutieren wieso nicht anderen Techniken verwenden worden sind</w:t>
      </w:r>
    </w:p>
    <w:p w14:paraId="57BCF0B2" w14:textId="066AB9CE" w:rsidR="008033C4" w:rsidRDefault="008033C4" w:rsidP="003B570A">
      <w:pPr>
        <w:jc w:val="both"/>
      </w:pPr>
    </w:p>
    <w:p w14:paraId="1A8FEEB7" w14:textId="7CD7E9E0" w:rsidR="00E53BDE" w:rsidRPr="00F971C1" w:rsidRDefault="000319D1" w:rsidP="00F971C1">
      <w:pPr>
        <w:pStyle w:val="berschrift3"/>
      </w:pPr>
      <w:bookmarkStart w:id="18" w:name="_Toc80274853"/>
      <w:r w:rsidRPr="00F971C1">
        <w:t>Visualisierung Eins</w:t>
      </w:r>
      <w:bookmarkEnd w:id="18"/>
    </w:p>
    <w:p w14:paraId="43A2EC0D" w14:textId="735B7514" w:rsidR="000319D1" w:rsidRDefault="0089759F" w:rsidP="0089759F">
      <w:pPr>
        <w:pStyle w:val="Listenabsatz"/>
        <w:numPr>
          <w:ilvl w:val="0"/>
          <w:numId w:val="10"/>
        </w:numPr>
      </w:pPr>
      <w:r>
        <w:t>Wird ein Scatterplot</w:t>
      </w:r>
    </w:p>
    <w:p w14:paraId="16A76C8A" w14:textId="77777777" w:rsidR="0089759F" w:rsidRDefault="0089759F" w:rsidP="0089759F"/>
    <w:p w14:paraId="331042AD" w14:textId="694F784F" w:rsidR="000319D1" w:rsidRDefault="000319D1" w:rsidP="00F971C1">
      <w:pPr>
        <w:pStyle w:val="berschrift3"/>
      </w:pPr>
      <w:bookmarkStart w:id="19" w:name="_Toc80274854"/>
      <w:r>
        <w:t>Visualisierung Zwei</w:t>
      </w:r>
      <w:bookmarkEnd w:id="19"/>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20" w:name="_Toc80274855"/>
      <w:r>
        <w:t>Visualisierung Drei</w:t>
      </w:r>
      <w:bookmarkEnd w:id="20"/>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21" w:name="_Toc80274856"/>
      <w:r>
        <w:t>Interaktion</w:t>
      </w:r>
      <w:bookmarkEnd w:id="21"/>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w:t>
      </w:r>
      <w:proofErr w:type="gramStart"/>
      <w:r>
        <w:t xml:space="preserve">zum </w:t>
      </w:r>
      <w:r w:rsidR="00837B88">
        <w:t>verändern</w:t>
      </w:r>
      <w:proofErr w:type="gramEnd"/>
      <w:r w:rsidR="00837B88">
        <w:t>/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22" w:name="_Toc80274857"/>
      <w:r>
        <w:t>Implementierung</w:t>
      </w:r>
      <w:bookmarkEnd w:id="22"/>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23" w:name="_Toc80274858"/>
      <w:r>
        <w:t>Anwe</w:t>
      </w:r>
      <w:r w:rsidR="00AF4DBA">
        <w:t>n</w:t>
      </w:r>
      <w:r>
        <w:t>dungs</w:t>
      </w:r>
      <w:r w:rsidR="00AF4DBA">
        <w:t>fälle</w:t>
      </w:r>
      <w:bookmarkEnd w:id="23"/>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w:t>
      </w:r>
      <w:proofErr w:type="gramStart"/>
      <w:r>
        <w:t>besonderen</w:t>
      </w:r>
      <w:proofErr w:type="gramEnd"/>
      <w:r>
        <w:t xml:space="preserve">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4" w:name="_Toc80274859"/>
      <w:r>
        <w:t>Anwendung Visualisierung Eins</w:t>
      </w:r>
      <w:bookmarkEnd w:id="24"/>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5" w:name="_Toc80274860"/>
      <w:r>
        <w:t>Anwendung Visualisierung Zwei</w:t>
      </w:r>
      <w:bookmarkEnd w:id="25"/>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6" w:name="_Toc80274861"/>
      <w:r>
        <w:t>Anwendung Visualisierung Drei</w:t>
      </w:r>
      <w:bookmarkEnd w:id="26"/>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7" w:name="_Toc80274862"/>
      <w:r>
        <w:t>Verwandte Arbeiten</w:t>
      </w:r>
      <w:bookmarkEnd w:id="27"/>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8" w:name="_Toc80274863"/>
      <w:r>
        <w:t>Zusammenfassung und Ausblick</w:t>
      </w:r>
      <w:bookmarkEnd w:id="28"/>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lastRenderedPageBreak/>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29" w:name="_Toc80274864"/>
      <w:r>
        <w:lastRenderedPageBreak/>
        <w:t>Literaturverzeichnis</w:t>
      </w:r>
      <w:bookmarkEnd w:id="29"/>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30" w:name="_CTVL00187d62162ca34425db0e18a7c14bcac47"/>
          <w:r w:rsidR="00691019">
            <w:t>P. Roca,</w:t>
          </w:r>
          <w:bookmarkEnd w:id="30"/>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31" w:name="_CTVL001391b1ab3d9a54a7db3302a96d1fac0b0"/>
          <w:r>
            <w:t>M. Yi,</w:t>
          </w:r>
          <w:bookmarkEnd w:id="31"/>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32" w:name="_CTVL001a5d94c2d3e5f43fca4f8405d4d7d4c5b"/>
          <w:r>
            <w:t>S. Few,</w:t>
          </w:r>
          <w:bookmarkEnd w:id="32"/>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33" w:name="_CTVL001a369bd4dadfa4199b7f6512c3d0e0580"/>
          <w:r>
            <w:t>American Society for Quality,</w:t>
          </w:r>
          <w:bookmarkEnd w:id="33"/>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34" w:name="_CTVL001ff33293577c84d32968259d796b52c57"/>
          <w:r>
            <w:t>L. Beilmann,</w:t>
          </w:r>
          <w:bookmarkEnd w:id="34"/>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35" w:name="_CTVL001333615a5980e42f0be017e355212c6b8"/>
          <w:r>
            <w:t>M. Teufel,</w:t>
          </w:r>
          <w:bookmarkEnd w:id="35"/>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6" w:name="_CTVL001fb8010cefe71444aaf891dda70e109b8"/>
          <w:r>
            <w:t>Brogsitter Weinversand,</w:t>
          </w:r>
          <w:bookmarkEnd w:id="36"/>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7" w:name="_CTVL001d5718d54071f4ea6b29e14cd8e806ce9"/>
          <w:r>
            <w:t>Weinkenner GmbH,</w:t>
          </w:r>
          <w:bookmarkEnd w:id="37"/>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8" w:name="_CTVL001feae5290ed314213a08b4b79927e7f1a"/>
          <w:r>
            <w:t>Brogsitter Weinversand,</w:t>
          </w:r>
          <w:bookmarkEnd w:id="38"/>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39" w:name="_CTVL001cc82e137394a423f933de8904adc4a01"/>
          <w:r>
            <w:t>Brogsitter Weinversand,</w:t>
          </w:r>
          <w:bookmarkEnd w:id="39"/>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40" w:name="_CTVL0010cdb8943940a4f8480d87427a95c5420"/>
          <w:r>
            <w:t>Vineyard99,</w:t>
          </w:r>
          <w:bookmarkEnd w:id="40"/>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1" w:name="_Toc80274865"/>
      <w:r>
        <w:lastRenderedPageBreak/>
        <w:t>Anhang</w:t>
      </w:r>
      <w:bookmarkEnd w:id="41"/>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506D"/>
    <w:rsid w:val="000E1F0D"/>
    <w:rsid w:val="000E7635"/>
    <w:rsid w:val="000F55ED"/>
    <w:rsid w:val="00100C62"/>
    <w:rsid w:val="00102C75"/>
    <w:rsid w:val="00105B11"/>
    <w:rsid w:val="00107D58"/>
    <w:rsid w:val="001125E9"/>
    <w:rsid w:val="00112994"/>
    <w:rsid w:val="00112E42"/>
    <w:rsid w:val="00114860"/>
    <w:rsid w:val="001166B2"/>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2113"/>
    <w:rsid w:val="001659B4"/>
    <w:rsid w:val="0017049A"/>
    <w:rsid w:val="001734EE"/>
    <w:rsid w:val="001815BD"/>
    <w:rsid w:val="0018183B"/>
    <w:rsid w:val="0018210B"/>
    <w:rsid w:val="00183678"/>
    <w:rsid w:val="00184993"/>
    <w:rsid w:val="00194BB1"/>
    <w:rsid w:val="001A1890"/>
    <w:rsid w:val="001A1AF1"/>
    <w:rsid w:val="001A2889"/>
    <w:rsid w:val="001A6C96"/>
    <w:rsid w:val="001A7F62"/>
    <w:rsid w:val="001B3D4D"/>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7E6"/>
    <w:rsid w:val="00202A0B"/>
    <w:rsid w:val="00210756"/>
    <w:rsid w:val="00210C6C"/>
    <w:rsid w:val="002162B5"/>
    <w:rsid w:val="00216789"/>
    <w:rsid w:val="002201A1"/>
    <w:rsid w:val="00224237"/>
    <w:rsid w:val="00227DC0"/>
    <w:rsid w:val="00235463"/>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5A3"/>
    <w:rsid w:val="002C53E4"/>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42E0C"/>
    <w:rsid w:val="00343E42"/>
    <w:rsid w:val="00351BA2"/>
    <w:rsid w:val="00352DB3"/>
    <w:rsid w:val="003556FF"/>
    <w:rsid w:val="0036192D"/>
    <w:rsid w:val="0036578C"/>
    <w:rsid w:val="003767FB"/>
    <w:rsid w:val="00377ED7"/>
    <w:rsid w:val="0038125F"/>
    <w:rsid w:val="00381FED"/>
    <w:rsid w:val="00382428"/>
    <w:rsid w:val="003860EF"/>
    <w:rsid w:val="003943A0"/>
    <w:rsid w:val="00396078"/>
    <w:rsid w:val="003A2F23"/>
    <w:rsid w:val="003A4D68"/>
    <w:rsid w:val="003A50A1"/>
    <w:rsid w:val="003A5D5C"/>
    <w:rsid w:val="003A67FF"/>
    <w:rsid w:val="003B1101"/>
    <w:rsid w:val="003B1EF8"/>
    <w:rsid w:val="003B2025"/>
    <w:rsid w:val="003B3DF9"/>
    <w:rsid w:val="003B570A"/>
    <w:rsid w:val="003B5DD3"/>
    <w:rsid w:val="003B7138"/>
    <w:rsid w:val="003C1A00"/>
    <w:rsid w:val="003C7390"/>
    <w:rsid w:val="003D191E"/>
    <w:rsid w:val="003D2DA5"/>
    <w:rsid w:val="003D3700"/>
    <w:rsid w:val="003E48C3"/>
    <w:rsid w:val="003E657C"/>
    <w:rsid w:val="003F6898"/>
    <w:rsid w:val="00403527"/>
    <w:rsid w:val="00404EFD"/>
    <w:rsid w:val="004101A8"/>
    <w:rsid w:val="004125C3"/>
    <w:rsid w:val="00417E8E"/>
    <w:rsid w:val="00420EFB"/>
    <w:rsid w:val="004278E4"/>
    <w:rsid w:val="0044712D"/>
    <w:rsid w:val="0045457D"/>
    <w:rsid w:val="00462FAD"/>
    <w:rsid w:val="00466741"/>
    <w:rsid w:val="00472A57"/>
    <w:rsid w:val="00477941"/>
    <w:rsid w:val="00484454"/>
    <w:rsid w:val="00495337"/>
    <w:rsid w:val="004965C5"/>
    <w:rsid w:val="00497CE6"/>
    <w:rsid w:val="004A119D"/>
    <w:rsid w:val="004A2615"/>
    <w:rsid w:val="004A3E17"/>
    <w:rsid w:val="004A687F"/>
    <w:rsid w:val="004A6D18"/>
    <w:rsid w:val="004B21D3"/>
    <w:rsid w:val="004B2370"/>
    <w:rsid w:val="004B3303"/>
    <w:rsid w:val="004C3C1A"/>
    <w:rsid w:val="004C677A"/>
    <w:rsid w:val="004D03E1"/>
    <w:rsid w:val="004D1827"/>
    <w:rsid w:val="004D4B9C"/>
    <w:rsid w:val="004D631D"/>
    <w:rsid w:val="004D6709"/>
    <w:rsid w:val="004E0A65"/>
    <w:rsid w:val="004E3927"/>
    <w:rsid w:val="004E5136"/>
    <w:rsid w:val="004F3462"/>
    <w:rsid w:val="004F437C"/>
    <w:rsid w:val="004F439A"/>
    <w:rsid w:val="005001B3"/>
    <w:rsid w:val="005029BC"/>
    <w:rsid w:val="005078EF"/>
    <w:rsid w:val="00510830"/>
    <w:rsid w:val="005147F5"/>
    <w:rsid w:val="005164B9"/>
    <w:rsid w:val="00520BCC"/>
    <w:rsid w:val="005241C5"/>
    <w:rsid w:val="00531DFF"/>
    <w:rsid w:val="005358E1"/>
    <w:rsid w:val="00537FBC"/>
    <w:rsid w:val="00546623"/>
    <w:rsid w:val="00555EC7"/>
    <w:rsid w:val="00564504"/>
    <w:rsid w:val="00567EB0"/>
    <w:rsid w:val="00575F7D"/>
    <w:rsid w:val="005856E4"/>
    <w:rsid w:val="0058775F"/>
    <w:rsid w:val="0059369C"/>
    <w:rsid w:val="005944A6"/>
    <w:rsid w:val="00597615"/>
    <w:rsid w:val="005A3644"/>
    <w:rsid w:val="005A3763"/>
    <w:rsid w:val="005A3F90"/>
    <w:rsid w:val="005A5B25"/>
    <w:rsid w:val="005C175E"/>
    <w:rsid w:val="005C34A5"/>
    <w:rsid w:val="005C4645"/>
    <w:rsid w:val="005C50F9"/>
    <w:rsid w:val="005C678C"/>
    <w:rsid w:val="005C7B94"/>
    <w:rsid w:val="005D170D"/>
    <w:rsid w:val="005E19D8"/>
    <w:rsid w:val="005E248E"/>
    <w:rsid w:val="005E3C6B"/>
    <w:rsid w:val="005E5910"/>
    <w:rsid w:val="005F79E3"/>
    <w:rsid w:val="00601F07"/>
    <w:rsid w:val="00602C81"/>
    <w:rsid w:val="006048AB"/>
    <w:rsid w:val="00604A94"/>
    <w:rsid w:val="00604D8C"/>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4ED"/>
    <w:rsid w:val="006722A0"/>
    <w:rsid w:val="00675484"/>
    <w:rsid w:val="00682F6A"/>
    <w:rsid w:val="00685A3F"/>
    <w:rsid w:val="00685D9E"/>
    <w:rsid w:val="00691019"/>
    <w:rsid w:val="00695877"/>
    <w:rsid w:val="006A03FF"/>
    <w:rsid w:val="006A3DD9"/>
    <w:rsid w:val="006A631C"/>
    <w:rsid w:val="006A6E00"/>
    <w:rsid w:val="006A777C"/>
    <w:rsid w:val="006A78C2"/>
    <w:rsid w:val="006B0B35"/>
    <w:rsid w:val="006B3782"/>
    <w:rsid w:val="006B6025"/>
    <w:rsid w:val="006C1565"/>
    <w:rsid w:val="006C6F16"/>
    <w:rsid w:val="006C74AB"/>
    <w:rsid w:val="006D422B"/>
    <w:rsid w:val="006D4B24"/>
    <w:rsid w:val="006D4FCE"/>
    <w:rsid w:val="006D78B0"/>
    <w:rsid w:val="006E1C9A"/>
    <w:rsid w:val="006E7B5E"/>
    <w:rsid w:val="006F296F"/>
    <w:rsid w:val="006F366D"/>
    <w:rsid w:val="006F57D7"/>
    <w:rsid w:val="00703B40"/>
    <w:rsid w:val="0070775F"/>
    <w:rsid w:val="007107B8"/>
    <w:rsid w:val="00711273"/>
    <w:rsid w:val="007112E0"/>
    <w:rsid w:val="007118D0"/>
    <w:rsid w:val="00723879"/>
    <w:rsid w:val="00726478"/>
    <w:rsid w:val="00730819"/>
    <w:rsid w:val="007470E3"/>
    <w:rsid w:val="00751668"/>
    <w:rsid w:val="007562E6"/>
    <w:rsid w:val="00757094"/>
    <w:rsid w:val="0076328B"/>
    <w:rsid w:val="00766BC0"/>
    <w:rsid w:val="00770C57"/>
    <w:rsid w:val="00773518"/>
    <w:rsid w:val="0077404E"/>
    <w:rsid w:val="007802C2"/>
    <w:rsid w:val="007818F1"/>
    <w:rsid w:val="007834B3"/>
    <w:rsid w:val="0079027C"/>
    <w:rsid w:val="00790CAA"/>
    <w:rsid w:val="00792548"/>
    <w:rsid w:val="00792911"/>
    <w:rsid w:val="007A6428"/>
    <w:rsid w:val="007B1754"/>
    <w:rsid w:val="007B1969"/>
    <w:rsid w:val="007B1F52"/>
    <w:rsid w:val="007B4903"/>
    <w:rsid w:val="007B6F1B"/>
    <w:rsid w:val="007C5E58"/>
    <w:rsid w:val="007C7A88"/>
    <w:rsid w:val="007C7D8B"/>
    <w:rsid w:val="007D5583"/>
    <w:rsid w:val="007E78D6"/>
    <w:rsid w:val="007F1624"/>
    <w:rsid w:val="008033C4"/>
    <w:rsid w:val="00803BD7"/>
    <w:rsid w:val="00806EF0"/>
    <w:rsid w:val="00807763"/>
    <w:rsid w:val="008202F5"/>
    <w:rsid w:val="008225DC"/>
    <w:rsid w:val="00824EBC"/>
    <w:rsid w:val="008254EF"/>
    <w:rsid w:val="008310C6"/>
    <w:rsid w:val="00832098"/>
    <w:rsid w:val="00834BA0"/>
    <w:rsid w:val="00837B88"/>
    <w:rsid w:val="00842032"/>
    <w:rsid w:val="00847608"/>
    <w:rsid w:val="00847C39"/>
    <w:rsid w:val="0085434F"/>
    <w:rsid w:val="00864A54"/>
    <w:rsid w:val="00866379"/>
    <w:rsid w:val="0086683B"/>
    <w:rsid w:val="00866A45"/>
    <w:rsid w:val="00866B6F"/>
    <w:rsid w:val="008710C7"/>
    <w:rsid w:val="008717C1"/>
    <w:rsid w:val="0087260F"/>
    <w:rsid w:val="008947D4"/>
    <w:rsid w:val="00894D39"/>
    <w:rsid w:val="00895DFA"/>
    <w:rsid w:val="0089759F"/>
    <w:rsid w:val="008A4AE0"/>
    <w:rsid w:val="008A58B0"/>
    <w:rsid w:val="008B05DF"/>
    <w:rsid w:val="008C1750"/>
    <w:rsid w:val="008C3772"/>
    <w:rsid w:val="008D22D0"/>
    <w:rsid w:val="008D2BE8"/>
    <w:rsid w:val="008D4491"/>
    <w:rsid w:val="008D4BEB"/>
    <w:rsid w:val="008D5147"/>
    <w:rsid w:val="008D6AA7"/>
    <w:rsid w:val="008E29DF"/>
    <w:rsid w:val="008E4AA4"/>
    <w:rsid w:val="008F1476"/>
    <w:rsid w:val="008F41D5"/>
    <w:rsid w:val="008F593C"/>
    <w:rsid w:val="00900BA8"/>
    <w:rsid w:val="00901490"/>
    <w:rsid w:val="009024D1"/>
    <w:rsid w:val="00907B61"/>
    <w:rsid w:val="00920061"/>
    <w:rsid w:val="00921592"/>
    <w:rsid w:val="00934FAE"/>
    <w:rsid w:val="00942A4E"/>
    <w:rsid w:val="00945D42"/>
    <w:rsid w:val="0094712C"/>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C2D4C"/>
    <w:rsid w:val="009C4B33"/>
    <w:rsid w:val="009C77C2"/>
    <w:rsid w:val="009D0C0C"/>
    <w:rsid w:val="009D177F"/>
    <w:rsid w:val="009D3347"/>
    <w:rsid w:val="009E0F72"/>
    <w:rsid w:val="009E126D"/>
    <w:rsid w:val="009E1A7E"/>
    <w:rsid w:val="009E1CAF"/>
    <w:rsid w:val="009E2D98"/>
    <w:rsid w:val="009F2C6E"/>
    <w:rsid w:val="009F2D50"/>
    <w:rsid w:val="009F3BDC"/>
    <w:rsid w:val="009F73F7"/>
    <w:rsid w:val="009F7A08"/>
    <w:rsid w:val="00A0567A"/>
    <w:rsid w:val="00A05A94"/>
    <w:rsid w:val="00A065DD"/>
    <w:rsid w:val="00A10D2E"/>
    <w:rsid w:val="00A11D67"/>
    <w:rsid w:val="00A12BD6"/>
    <w:rsid w:val="00A213AC"/>
    <w:rsid w:val="00A21FD0"/>
    <w:rsid w:val="00A25BB1"/>
    <w:rsid w:val="00A274B2"/>
    <w:rsid w:val="00A275B4"/>
    <w:rsid w:val="00A31DB5"/>
    <w:rsid w:val="00A31E0E"/>
    <w:rsid w:val="00A32A54"/>
    <w:rsid w:val="00A50D41"/>
    <w:rsid w:val="00A52F50"/>
    <w:rsid w:val="00A60CEA"/>
    <w:rsid w:val="00A62989"/>
    <w:rsid w:val="00A654AB"/>
    <w:rsid w:val="00A65640"/>
    <w:rsid w:val="00A65A8B"/>
    <w:rsid w:val="00A702E8"/>
    <w:rsid w:val="00A718CD"/>
    <w:rsid w:val="00A73D3C"/>
    <w:rsid w:val="00A779E3"/>
    <w:rsid w:val="00A8554F"/>
    <w:rsid w:val="00A872CA"/>
    <w:rsid w:val="00A9168F"/>
    <w:rsid w:val="00A961A7"/>
    <w:rsid w:val="00A96333"/>
    <w:rsid w:val="00AA0FBE"/>
    <w:rsid w:val="00AA5AB8"/>
    <w:rsid w:val="00AB58E5"/>
    <w:rsid w:val="00AB5D01"/>
    <w:rsid w:val="00AC3ACF"/>
    <w:rsid w:val="00AC7D83"/>
    <w:rsid w:val="00AD28E2"/>
    <w:rsid w:val="00AD3BC9"/>
    <w:rsid w:val="00AD4A11"/>
    <w:rsid w:val="00AD5735"/>
    <w:rsid w:val="00AE14E3"/>
    <w:rsid w:val="00AE5D52"/>
    <w:rsid w:val="00AE6C31"/>
    <w:rsid w:val="00AF104E"/>
    <w:rsid w:val="00AF4C52"/>
    <w:rsid w:val="00AF4DBA"/>
    <w:rsid w:val="00AF4EF6"/>
    <w:rsid w:val="00B0169D"/>
    <w:rsid w:val="00B036A5"/>
    <w:rsid w:val="00B037AE"/>
    <w:rsid w:val="00B10553"/>
    <w:rsid w:val="00B1145B"/>
    <w:rsid w:val="00B14B0E"/>
    <w:rsid w:val="00B1763C"/>
    <w:rsid w:val="00B21785"/>
    <w:rsid w:val="00B21D51"/>
    <w:rsid w:val="00B21D82"/>
    <w:rsid w:val="00B24ECB"/>
    <w:rsid w:val="00B267D8"/>
    <w:rsid w:val="00B32886"/>
    <w:rsid w:val="00B32B19"/>
    <w:rsid w:val="00B334A2"/>
    <w:rsid w:val="00B428AB"/>
    <w:rsid w:val="00B42E86"/>
    <w:rsid w:val="00B44455"/>
    <w:rsid w:val="00B46A77"/>
    <w:rsid w:val="00B47C78"/>
    <w:rsid w:val="00B5223B"/>
    <w:rsid w:val="00B53C34"/>
    <w:rsid w:val="00B602AC"/>
    <w:rsid w:val="00B617E4"/>
    <w:rsid w:val="00B66547"/>
    <w:rsid w:val="00B71716"/>
    <w:rsid w:val="00B77DCC"/>
    <w:rsid w:val="00B80F07"/>
    <w:rsid w:val="00B83701"/>
    <w:rsid w:val="00B907CC"/>
    <w:rsid w:val="00B95F50"/>
    <w:rsid w:val="00B976BB"/>
    <w:rsid w:val="00BA403B"/>
    <w:rsid w:val="00BC01EF"/>
    <w:rsid w:val="00BC2E5B"/>
    <w:rsid w:val="00BD43AC"/>
    <w:rsid w:val="00BD485E"/>
    <w:rsid w:val="00BE0523"/>
    <w:rsid w:val="00BE37B3"/>
    <w:rsid w:val="00BE59CD"/>
    <w:rsid w:val="00BE698D"/>
    <w:rsid w:val="00BE78B8"/>
    <w:rsid w:val="00BF09D7"/>
    <w:rsid w:val="00BF220C"/>
    <w:rsid w:val="00BF25F5"/>
    <w:rsid w:val="00BF5CFF"/>
    <w:rsid w:val="00BF69A0"/>
    <w:rsid w:val="00C00CE9"/>
    <w:rsid w:val="00C01E8B"/>
    <w:rsid w:val="00C020B9"/>
    <w:rsid w:val="00C138E4"/>
    <w:rsid w:val="00C21B16"/>
    <w:rsid w:val="00C22A87"/>
    <w:rsid w:val="00C32A31"/>
    <w:rsid w:val="00C34488"/>
    <w:rsid w:val="00C42A22"/>
    <w:rsid w:val="00C450F3"/>
    <w:rsid w:val="00C53004"/>
    <w:rsid w:val="00C54B8A"/>
    <w:rsid w:val="00C61C31"/>
    <w:rsid w:val="00C64D48"/>
    <w:rsid w:val="00C707B8"/>
    <w:rsid w:val="00C722F8"/>
    <w:rsid w:val="00C738FD"/>
    <w:rsid w:val="00C739E1"/>
    <w:rsid w:val="00C74429"/>
    <w:rsid w:val="00C76BB2"/>
    <w:rsid w:val="00C81A9E"/>
    <w:rsid w:val="00C826B0"/>
    <w:rsid w:val="00C90547"/>
    <w:rsid w:val="00C949EE"/>
    <w:rsid w:val="00C968AB"/>
    <w:rsid w:val="00CB027B"/>
    <w:rsid w:val="00CB2EDD"/>
    <w:rsid w:val="00CB39E0"/>
    <w:rsid w:val="00CB7E19"/>
    <w:rsid w:val="00CC1F47"/>
    <w:rsid w:val="00CC4A2B"/>
    <w:rsid w:val="00CC5317"/>
    <w:rsid w:val="00CC58BB"/>
    <w:rsid w:val="00CD5EF3"/>
    <w:rsid w:val="00CE6EF7"/>
    <w:rsid w:val="00CF11B1"/>
    <w:rsid w:val="00CF5FAB"/>
    <w:rsid w:val="00D017E5"/>
    <w:rsid w:val="00D01BDB"/>
    <w:rsid w:val="00D07480"/>
    <w:rsid w:val="00D15447"/>
    <w:rsid w:val="00D22191"/>
    <w:rsid w:val="00D227BA"/>
    <w:rsid w:val="00D25063"/>
    <w:rsid w:val="00D370AE"/>
    <w:rsid w:val="00D40FCE"/>
    <w:rsid w:val="00D410B2"/>
    <w:rsid w:val="00D430EF"/>
    <w:rsid w:val="00D45F4B"/>
    <w:rsid w:val="00D45FE2"/>
    <w:rsid w:val="00D468F6"/>
    <w:rsid w:val="00D5007D"/>
    <w:rsid w:val="00D50C6A"/>
    <w:rsid w:val="00D52BD7"/>
    <w:rsid w:val="00D60800"/>
    <w:rsid w:val="00D715BE"/>
    <w:rsid w:val="00D75282"/>
    <w:rsid w:val="00D75E81"/>
    <w:rsid w:val="00D77B8F"/>
    <w:rsid w:val="00D90BD2"/>
    <w:rsid w:val="00D91E62"/>
    <w:rsid w:val="00DA317A"/>
    <w:rsid w:val="00DB2942"/>
    <w:rsid w:val="00DB3AA6"/>
    <w:rsid w:val="00DC21E2"/>
    <w:rsid w:val="00DC34E9"/>
    <w:rsid w:val="00DC55E8"/>
    <w:rsid w:val="00DD270F"/>
    <w:rsid w:val="00DD6EAF"/>
    <w:rsid w:val="00DE1B1B"/>
    <w:rsid w:val="00DE41D8"/>
    <w:rsid w:val="00DF0069"/>
    <w:rsid w:val="00DF1342"/>
    <w:rsid w:val="00DF4917"/>
    <w:rsid w:val="00DF6B6A"/>
    <w:rsid w:val="00E01208"/>
    <w:rsid w:val="00E01F05"/>
    <w:rsid w:val="00E05179"/>
    <w:rsid w:val="00E2443D"/>
    <w:rsid w:val="00E2667D"/>
    <w:rsid w:val="00E32161"/>
    <w:rsid w:val="00E3286E"/>
    <w:rsid w:val="00E32AD2"/>
    <w:rsid w:val="00E32FC7"/>
    <w:rsid w:val="00E42317"/>
    <w:rsid w:val="00E449F3"/>
    <w:rsid w:val="00E53077"/>
    <w:rsid w:val="00E53BDE"/>
    <w:rsid w:val="00E57FB4"/>
    <w:rsid w:val="00E661B0"/>
    <w:rsid w:val="00E670CC"/>
    <w:rsid w:val="00E67FC0"/>
    <w:rsid w:val="00E729FB"/>
    <w:rsid w:val="00E77048"/>
    <w:rsid w:val="00E7704F"/>
    <w:rsid w:val="00E800C1"/>
    <w:rsid w:val="00E81E79"/>
    <w:rsid w:val="00E81FB1"/>
    <w:rsid w:val="00E86738"/>
    <w:rsid w:val="00E87D66"/>
    <w:rsid w:val="00E92AC8"/>
    <w:rsid w:val="00E93CF6"/>
    <w:rsid w:val="00E952C0"/>
    <w:rsid w:val="00E96528"/>
    <w:rsid w:val="00EA635D"/>
    <w:rsid w:val="00EC4014"/>
    <w:rsid w:val="00EC4536"/>
    <w:rsid w:val="00ED47F8"/>
    <w:rsid w:val="00ED5C60"/>
    <w:rsid w:val="00EF5493"/>
    <w:rsid w:val="00EF5712"/>
    <w:rsid w:val="00F01048"/>
    <w:rsid w:val="00F03F0A"/>
    <w:rsid w:val="00F06DB8"/>
    <w:rsid w:val="00F13A09"/>
    <w:rsid w:val="00F152C2"/>
    <w:rsid w:val="00F215CB"/>
    <w:rsid w:val="00F35B08"/>
    <w:rsid w:val="00F41A14"/>
    <w:rsid w:val="00F41A69"/>
    <w:rsid w:val="00F42313"/>
    <w:rsid w:val="00F534B9"/>
    <w:rsid w:val="00F54141"/>
    <w:rsid w:val="00F57DB7"/>
    <w:rsid w:val="00F66EA6"/>
    <w:rsid w:val="00F70C23"/>
    <w:rsid w:val="00F80C8D"/>
    <w:rsid w:val="00F81C3B"/>
    <w:rsid w:val="00F82050"/>
    <w:rsid w:val="00F83A18"/>
    <w:rsid w:val="00F8468F"/>
    <w:rsid w:val="00F86A34"/>
    <w:rsid w:val="00F971C1"/>
    <w:rsid w:val="00FA0662"/>
    <w:rsid w:val="00FA1671"/>
    <w:rsid w:val="00FA24A4"/>
    <w:rsid w:val="00FA287D"/>
    <w:rsid w:val="00FA4148"/>
    <w:rsid w:val="00FB7ECD"/>
    <w:rsid w:val="00FC069F"/>
    <w:rsid w:val="00FD3D99"/>
    <w:rsid w:val="00FE0172"/>
    <w:rsid w:val="00FE5E89"/>
    <w:rsid w:val="00FE5FB4"/>
    <w:rsid w:val="00FE6346"/>
    <w:rsid w:val="00FE71BD"/>
    <w:rsid w:val="00FF0ACC"/>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semiHidden/>
    <w:unhideWhenUsed/>
    <w:qFormat/>
    <w:rsid w:val="00AC7D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ev7halo/wine-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13734</Words>
  <Characters>86530</Characters>
  <Application>Microsoft Office Word</Application>
  <DocSecurity>0</DocSecurity>
  <Lines>721</Lines>
  <Paragraphs>200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655</cp:revision>
  <cp:lastPrinted>2021-08-19T13:03:00Z</cp:lastPrinted>
  <dcterms:created xsi:type="dcterms:W3CDTF">2021-07-07T08:34:00Z</dcterms:created>
  <dcterms:modified xsi:type="dcterms:W3CDTF">2021-08-20T12:37:00Z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