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8E0B" w14:textId="1D854697" w:rsidR="00B71A41" w:rsidRPr="00040645" w:rsidRDefault="00474BC5">
      <w:pPr>
        <w:rPr>
          <w:sz w:val="28"/>
          <w:szCs w:val="28"/>
        </w:rPr>
      </w:pPr>
      <w:r>
        <w:rPr>
          <w:sz w:val="28"/>
          <w:szCs w:val="28"/>
        </w:rPr>
        <w:t>Schools</w:t>
      </w:r>
      <w:r w:rsidR="0036216F">
        <w:rPr>
          <w:sz w:val="28"/>
          <w:szCs w:val="28"/>
        </w:rPr>
        <w:t>’</w:t>
      </w:r>
      <w:r>
        <w:rPr>
          <w:sz w:val="28"/>
          <w:szCs w:val="28"/>
        </w:rPr>
        <w:t xml:space="preserve"> Report</w:t>
      </w:r>
    </w:p>
    <w:p w14:paraId="615F90E5" w14:textId="3A7DF534" w:rsidR="00C728F9" w:rsidRDefault="00474BC5" w:rsidP="00C728F9">
      <w:pPr>
        <w:numPr>
          <w:ilvl w:val="0"/>
          <w:numId w:val="1"/>
        </w:numPr>
        <w:spacing w:before="100" w:beforeAutospacing="1" w:after="120" w:line="360" w:lineRule="atLeast"/>
        <w:jc w:val="both"/>
        <w:rPr>
          <w:rFonts w:eastAsia="Times New Roman" w:cstheme="minorHAnsi"/>
          <w:b/>
          <w:bCs/>
          <w:color w:val="2B2B2B"/>
          <w:lang w:eastAsia="en-AU"/>
        </w:rPr>
      </w:pPr>
      <w:r>
        <w:rPr>
          <w:rFonts w:eastAsia="Times New Roman" w:cstheme="minorHAnsi"/>
          <w:b/>
          <w:bCs/>
          <w:color w:val="2B2B2B"/>
          <w:lang w:eastAsia="en-AU"/>
        </w:rPr>
        <w:t>Summary of the analysis</w:t>
      </w:r>
    </w:p>
    <w:p w14:paraId="51A27E27" w14:textId="6083044C" w:rsidR="00885289" w:rsidRDefault="009A2BFE"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The Local Government Area contains fifteen schools and spends approximately $24.5 million on funding. Overall, </w:t>
      </w:r>
      <w:r w:rsidR="00885289">
        <w:rPr>
          <w:rFonts w:eastAsia="Times New Roman" w:cstheme="minorHAnsi"/>
          <w:color w:val="2B2B2B"/>
          <w:lang w:eastAsia="en-AU"/>
        </w:rPr>
        <w:t xml:space="preserve">although greater than 84% of students achieve a pass in maths or reading, the percentage of students achieving passes in both subjects is noticeably lower at 73%., slightly more than a 10% </w:t>
      </w:r>
      <w:r w:rsidR="00970C1D">
        <w:rPr>
          <w:rFonts w:eastAsia="Times New Roman" w:cstheme="minorHAnsi"/>
          <w:color w:val="2B2B2B"/>
          <w:lang w:eastAsia="en-AU"/>
        </w:rPr>
        <w:t>lower</w:t>
      </w:r>
      <w:r w:rsidR="00885289">
        <w:rPr>
          <w:rFonts w:eastAsia="Times New Roman" w:cstheme="minorHAnsi"/>
          <w:color w:val="2B2B2B"/>
          <w:lang w:eastAsia="en-AU"/>
        </w:rPr>
        <w:t xml:space="preserve">. </w:t>
      </w:r>
    </w:p>
    <w:p w14:paraId="3991856C" w14:textId="2D4B10AD" w:rsidR="00885289" w:rsidRPr="009F3C7C" w:rsidRDefault="008463AA" w:rsidP="009A2BFE">
      <w:pPr>
        <w:spacing w:before="100" w:beforeAutospacing="1" w:after="120" w:line="360" w:lineRule="atLeast"/>
        <w:ind w:left="360"/>
        <w:jc w:val="both"/>
        <w:rPr>
          <w:rFonts w:eastAsia="Times New Roman" w:cstheme="minorHAnsi"/>
          <w:lang w:eastAsia="en-AU"/>
        </w:rPr>
      </w:pPr>
      <w:r w:rsidRPr="009F3C7C">
        <w:rPr>
          <w:rFonts w:eastAsia="Times New Roman" w:cstheme="minorHAnsi"/>
          <w:lang w:eastAsia="en-AU"/>
        </w:rPr>
        <w:t>This pattern is played out in many of the schools, with a noticeably lower proportion of students passing in both subjects. The top five schools</w:t>
      </w:r>
      <w:r w:rsidR="009F3C7C" w:rsidRPr="009F3C7C">
        <w:rPr>
          <w:rFonts w:eastAsia="Times New Roman" w:cstheme="minorHAnsi"/>
          <w:lang w:eastAsia="en-AU"/>
        </w:rPr>
        <w:t xml:space="preserve"> in terms of passing both subjects</w:t>
      </w:r>
      <w:r w:rsidR="009F3C7C">
        <w:rPr>
          <w:rFonts w:eastAsia="Times New Roman" w:cstheme="minorHAnsi"/>
          <w:lang w:eastAsia="en-AU"/>
        </w:rPr>
        <w:t xml:space="preserve">, achieve a rate of 80% (notably lower than the pass rate in either reading or maths). </w:t>
      </w:r>
      <w:r w:rsidRPr="009F3C7C">
        <w:rPr>
          <w:rFonts w:eastAsia="Times New Roman" w:cstheme="minorHAnsi"/>
          <w:lang w:eastAsia="en-AU"/>
        </w:rPr>
        <w:t>The bottom five schools</w:t>
      </w:r>
      <w:r w:rsidR="009F3C7C">
        <w:rPr>
          <w:rFonts w:eastAsia="Times New Roman" w:cstheme="minorHAnsi"/>
          <w:lang w:eastAsia="en-AU"/>
        </w:rPr>
        <w:t>, in comparison,</w:t>
      </w:r>
      <w:r w:rsidRPr="009F3C7C">
        <w:rPr>
          <w:rFonts w:eastAsia="Times New Roman" w:cstheme="minorHAnsi"/>
          <w:lang w:eastAsia="en-AU"/>
        </w:rPr>
        <w:t xml:space="preserve"> achieve a rate of between 81 and 82</w:t>
      </w:r>
      <w:r w:rsidR="00D80699" w:rsidRPr="009F3C7C">
        <w:rPr>
          <w:rFonts w:eastAsia="Times New Roman" w:cstheme="minorHAnsi"/>
          <w:lang w:eastAsia="en-AU"/>
        </w:rPr>
        <w:t>% of</w:t>
      </w:r>
      <w:r w:rsidRPr="009F3C7C">
        <w:rPr>
          <w:rFonts w:eastAsia="Times New Roman" w:cstheme="minorHAnsi"/>
          <w:lang w:eastAsia="en-AU"/>
        </w:rPr>
        <w:t xml:space="preserve"> students passing</w:t>
      </w:r>
      <w:r w:rsidR="00D80699" w:rsidRPr="009F3C7C">
        <w:rPr>
          <w:rFonts w:eastAsia="Times New Roman" w:cstheme="minorHAnsi"/>
          <w:lang w:eastAsia="en-AU"/>
        </w:rPr>
        <w:t xml:space="preserve"> one subject</w:t>
      </w:r>
      <w:r w:rsidRPr="009F3C7C">
        <w:rPr>
          <w:rFonts w:eastAsia="Times New Roman" w:cstheme="minorHAnsi"/>
          <w:lang w:eastAsia="en-AU"/>
        </w:rPr>
        <w:t>, but in terms of passes in both subjects this is considerably lower at approximately 67%.</w:t>
      </w:r>
    </w:p>
    <w:p w14:paraId="20EE81E1" w14:textId="59819D64" w:rsidR="00885289" w:rsidRDefault="009F3C7C"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It is interesting to note that </w:t>
      </w:r>
      <w:r w:rsidR="008463AA">
        <w:rPr>
          <w:rFonts w:eastAsia="Times New Roman" w:cstheme="minorHAnsi"/>
          <w:color w:val="2B2B2B"/>
          <w:lang w:eastAsia="en-AU"/>
        </w:rPr>
        <w:t xml:space="preserve">the average maths and reading scores between the top five and bottom five schools are </w:t>
      </w:r>
      <w:r w:rsidR="00D80699">
        <w:rPr>
          <w:rFonts w:eastAsia="Times New Roman" w:cstheme="minorHAnsi"/>
          <w:color w:val="2B2B2B"/>
          <w:lang w:eastAsia="en-AU"/>
        </w:rPr>
        <w:t xml:space="preserve">similar, </w:t>
      </w:r>
      <w:r>
        <w:rPr>
          <w:rFonts w:eastAsia="Times New Roman" w:cstheme="minorHAnsi"/>
          <w:color w:val="2B2B2B"/>
          <w:lang w:eastAsia="en-AU"/>
        </w:rPr>
        <w:t>despite the differences in the proportions passing. This indicates that there is more disparity between students within the lowest five schools</w:t>
      </w:r>
      <w:r w:rsidR="006F6EAD">
        <w:rPr>
          <w:rFonts w:eastAsia="Times New Roman" w:cstheme="minorHAnsi"/>
          <w:color w:val="2B2B2B"/>
          <w:lang w:eastAsia="en-AU"/>
        </w:rPr>
        <w:t>, which is further evidenced in the lower number of passes achieved in both subjects</w:t>
      </w:r>
      <w:r>
        <w:rPr>
          <w:rFonts w:eastAsia="Times New Roman" w:cstheme="minorHAnsi"/>
          <w:color w:val="2B2B2B"/>
          <w:lang w:eastAsia="en-AU"/>
        </w:rPr>
        <w:t xml:space="preserve">.  </w:t>
      </w:r>
    </w:p>
    <w:p w14:paraId="23B9F71D" w14:textId="5AD5BBDC" w:rsidR="009F3C7C" w:rsidRDefault="00970C1D"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The</w:t>
      </w:r>
      <w:r w:rsidR="009F3C7C">
        <w:rPr>
          <w:rFonts w:eastAsia="Times New Roman" w:cstheme="minorHAnsi"/>
          <w:color w:val="2B2B2B"/>
          <w:lang w:eastAsia="en-AU"/>
        </w:rPr>
        <w:t xml:space="preserve"> number of passes in reading </w:t>
      </w:r>
      <w:r>
        <w:rPr>
          <w:rFonts w:eastAsia="Times New Roman" w:cstheme="minorHAnsi"/>
          <w:color w:val="2B2B2B"/>
          <w:lang w:eastAsia="en-AU"/>
        </w:rPr>
        <w:t xml:space="preserve">in </w:t>
      </w:r>
      <w:proofErr w:type="gramStart"/>
      <w:r>
        <w:rPr>
          <w:rFonts w:eastAsia="Times New Roman" w:cstheme="minorHAnsi"/>
          <w:color w:val="2B2B2B"/>
          <w:lang w:eastAsia="en-AU"/>
        </w:rPr>
        <w:t xml:space="preserve">most </w:t>
      </w:r>
      <w:r w:rsidR="009F3C7C">
        <w:rPr>
          <w:rFonts w:eastAsia="Times New Roman" w:cstheme="minorHAnsi"/>
          <w:color w:val="2B2B2B"/>
          <w:lang w:eastAsia="en-AU"/>
        </w:rPr>
        <w:t xml:space="preserve"> schools</w:t>
      </w:r>
      <w:proofErr w:type="gramEnd"/>
      <w:r w:rsidR="009F3C7C">
        <w:rPr>
          <w:rFonts w:eastAsia="Times New Roman" w:cstheme="minorHAnsi"/>
          <w:color w:val="2B2B2B"/>
          <w:lang w:eastAsia="en-AU"/>
        </w:rPr>
        <w:t xml:space="preserve"> is </w:t>
      </w:r>
      <w:r w:rsidR="006F6EAD">
        <w:rPr>
          <w:rFonts w:eastAsia="Times New Roman" w:cstheme="minorHAnsi"/>
          <w:color w:val="2B2B2B"/>
          <w:lang w:eastAsia="en-AU"/>
        </w:rPr>
        <w:t xml:space="preserve">slightly </w:t>
      </w:r>
      <w:r w:rsidR="009F3C7C">
        <w:rPr>
          <w:rFonts w:eastAsia="Times New Roman" w:cstheme="minorHAnsi"/>
          <w:color w:val="2B2B2B"/>
          <w:lang w:eastAsia="en-AU"/>
        </w:rPr>
        <w:t xml:space="preserve">lower than </w:t>
      </w:r>
      <w:r w:rsidR="00E1435F">
        <w:rPr>
          <w:rFonts w:eastAsia="Times New Roman" w:cstheme="minorHAnsi"/>
          <w:color w:val="2B2B2B"/>
          <w:lang w:eastAsia="en-AU"/>
        </w:rPr>
        <w:t xml:space="preserve">that in maths, both in terms of the average mark and the proportion of students passing in most of the schools. This is indicative that a greater focus on reading could improve the overall pass </w:t>
      </w:r>
      <w:r w:rsidR="006F6EAD">
        <w:rPr>
          <w:rFonts w:eastAsia="Times New Roman" w:cstheme="minorHAnsi"/>
          <w:color w:val="2B2B2B"/>
          <w:lang w:eastAsia="en-AU"/>
        </w:rPr>
        <w:t>rate</w:t>
      </w:r>
      <w:r w:rsidR="00E1435F">
        <w:rPr>
          <w:rFonts w:eastAsia="Times New Roman" w:cstheme="minorHAnsi"/>
          <w:color w:val="2B2B2B"/>
          <w:lang w:eastAsia="en-AU"/>
        </w:rPr>
        <w:t>.</w:t>
      </w:r>
    </w:p>
    <w:p w14:paraId="6C6A2456" w14:textId="490BE2DC" w:rsidR="009347D0" w:rsidRDefault="00970C1D"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In comparing the level of funding between schools, notably the schools within the bottom two ranges of funding (less than $630 per student) achieve higher results. This is because </w:t>
      </w:r>
      <w:r w:rsidR="003F5705">
        <w:rPr>
          <w:rFonts w:eastAsia="Times New Roman" w:cstheme="minorHAnsi"/>
          <w:color w:val="2B2B2B"/>
          <w:lang w:eastAsia="en-AU"/>
        </w:rPr>
        <w:t>the independent</w:t>
      </w:r>
      <w:r>
        <w:rPr>
          <w:rFonts w:eastAsia="Times New Roman" w:cstheme="minorHAnsi"/>
          <w:color w:val="2B2B2B"/>
          <w:lang w:eastAsia="en-AU"/>
        </w:rPr>
        <w:t xml:space="preserve"> schools receive lower amounts of funding per student than the government schools. </w:t>
      </w:r>
      <w:r w:rsidR="003F5705">
        <w:rPr>
          <w:rFonts w:eastAsia="Times New Roman" w:cstheme="minorHAnsi"/>
          <w:color w:val="2B2B2B"/>
          <w:lang w:eastAsia="en-AU"/>
        </w:rPr>
        <w:t>This result</w:t>
      </w:r>
      <w:r>
        <w:rPr>
          <w:rFonts w:eastAsia="Times New Roman" w:cstheme="minorHAnsi"/>
          <w:color w:val="2B2B2B"/>
          <w:lang w:eastAsia="en-AU"/>
        </w:rPr>
        <w:t xml:space="preserve"> has two caveats: firstly, this report is about public funding of schools. Independent schools are likely to have other sources of funding – such as school fees.</w:t>
      </w:r>
      <w:r w:rsidR="003F5705">
        <w:rPr>
          <w:rFonts w:eastAsia="Times New Roman" w:cstheme="minorHAnsi"/>
          <w:color w:val="2B2B2B"/>
          <w:lang w:eastAsia="en-AU"/>
        </w:rPr>
        <w:t xml:space="preserve"> Secondly, the independent schools are more likely to have students from more advantaged backgrounds and potentially have selective enrolment. Government school are more likely to have a higher proportion of students from lower social-economic backgrounds and will also have pupils with a range of academic abilities. These are factors which greatly affect outcomes, but the data presented in this report does not provide insights into these factors. </w:t>
      </w:r>
      <w:proofErr w:type="gramStart"/>
      <w:r w:rsidR="003F5705">
        <w:rPr>
          <w:rFonts w:eastAsia="Times New Roman" w:cstheme="minorHAnsi"/>
          <w:color w:val="2B2B2B"/>
          <w:lang w:eastAsia="en-AU"/>
        </w:rPr>
        <w:t>Similarly</w:t>
      </w:r>
      <w:proofErr w:type="gramEnd"/>
      <w:r w:rsidR="003F5705">
        <w:rPr>
          <w:rFonts w:eastAsia="Times New Roman" w:cstheme="minorHAnsi"/>
          <w:color w:val="2B2B2B"/>
          <w:lang w:eastAsia="en-AU"/>
        </w:rPr>
        <w:t xml:space="preserve"> the size of school can be correlated with higher </w:t>
      </w:r>
      <w:r w:rsidR="009347D0">
        <w:rPr>
          <w:rFonts w:eastAsia="Times New Roman" w:cstheme="minorHAnsi"/>
          <w:color w:val="2B2B2B"/>
          <w:lang w:eastAsia="en-AU"/>
        </w:rPr>
        <w:t>scores,</w:t>
      </w:r>
      <w:r w:rsidR="003F5705">
        <w:rPr>
          <w:rFonts w:eastAsia="Times New Roman" w:cstheme="minorHAnsi"/>
          <w:color w:val="2B2B2B"/>
          <w:lang w:eastAsia="en-AU"/>
        </w:rPr>
        <w:t xml:space="preserve"> with schools under 1,000 getting better results, compared to larger campuses with between 2 - 3,000 pupils.  </w:t>
      </w:r>
      <w:r w:rsidR="009347D0">
        <w:rPr>
          <w:rFonts w:eastAsia="Times New Roman" w:cstheme="minorHAnsi"/>
          <w:color w:val="2B2B2B"/>
          <w:lang w:eastAsia="en-AU"/>
        </w:rPr>
        <w:t>Notably, however, a</w:t>
      </w:r>
      <w:r w:rsidR="003F5705">
        <w:rPr>
          <w:rFonts w:eastAsia="Times New Roman" w:cstheme="minorHAnsi"/>
          <w:color w:val="2B2B2B"/>
          <w:lang w:eastAsia="en-AU"/>
        </w:rPr>
        <w:t xml:space="preserve">ll the schools with less than 2,000 pupils are independent, with the largest school </w:t>
      </w:r>
      <w:r w:rsidR="009347D0">
        <w:rPr>
          <w:rFonts w:eastAsia="Times New Roman" w:cstheme="minorHAnsi"/>
          <w:color w:val="2B2B2B"/>
          <w:lang w:eastAsia="en-AU"/>
        </w:rPr>
        <w:t xml:space="preserve">having 2,283 pupils. In comparison all the Government schools have greater than 2,500 pupils. It is therefore not surprising that the comparison between independent and government schools shows that the proportions of pupils passing maths and reading, and passing both, are notably higher; however, it is worth noting that </w:t>
      </w:r>
      <w:r w:rsidR="009347D0">
        <w:rPr>
          <w:rFonts w:eastAsia="Times New Roman" w:cstheme="minorHAnsi"/>
          <w:color w:val="2B2B2B"/>
          <w:lang w:eastAsia="en-AU"/>
        </w:rPr>
        <w:lastRenderedPageBreak/>
        <w:t xml:space="preserve">the average scores remain relatively similar, with the gap between independent and government schools being much smaller. </w:t>
      </w:r>
    </w:p>
    <w:p w14:paraId="37C66F89" w14:textId="3591D5FC" w:rsidR="009347D0" w:rsidRDefault="009347D0" w:rsidP="009347D0">
      <w:pPr>
        <w:numPr>
          <w:ilvl w:val="0"/>
          <w:numId w:val="1"/>
        </w:numPr>
        <w:spacing w:before="100" w:beforeAutospacing="1" w:after="120" w:line="360" w:lineRule="atLeast"/>
        <w:jc w:val="both"/>
        <w:rPr>
          <w:rFonts w:eastAsia="Times New Roman" w:cstheme="minorHAnsi"/>
          <w:b/>
          <w:bCs/>
          <w:color w:val="2B2B2B"/>
          <w:lang w:eastAsia="en-AU"/>
        </w:rPr>
      </w:pPr>
      <w:r>
        <w:rPr>
          <w:rFonts w:eastAsia="Times New Roman" w:cstheme="minorHAnsi"/>
          <w:b/>
          <w:bCs/>
          <w:color w:val="2B2B2B"/>
          <w:lang w:eastAsia="en-AU"/>
        </w:rPr>
        <w:t>Points of interest</w:t>
      </w:r>
    </w:p>
    <w:p w14:paraId="36CAF3AC" w14:textId="36AA287F" w:rsidR="009347D0" w:rsidRDefault="009347D0" w:rsidP="009347D0">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There is a difference in results between independent and government schools, with independent schools generally having a notably larger proportion of their </w:t>
      </w:r>
      <w:proofErr w:type="gramStart"/>
      <w:r>
        <w:rPr>
          <w:rFonts w:eastAsia="Times New Roman" w:cstheme="minorHAnsi"/>
          <w:color w:val="2B2B2B"/>
          <w:lang w:eastAsia="en-AU"/>
        </w:rPr>
        <w:t>students</w:t>
      </w:r>
      <w:proofErr w:type="gramEnd"/>
      <w:r>
        <w:rPr>
          <w:rFonts w:eastAsia="Times New Roman" w:cstheme="minorHAnsi"/>
          <w:color w:val="2B2B2B"/>
          <w:lang w:eastAsia="en-AU"/>
        </w:rPr>
        <w:t xml:space="preserve"> achieving passes in either reading or maths, and also in the numbers achieving an overall pass. </w:t>
      </w:r>
    </w:p>
    <w:p w14:paraId="3CADE93B" w14:textId="383D983A" w:rsidR="000711C7" w:rsidRDefault="009347D0" w:rsidP="009347D0">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Despite there being an overall </w:t>
      </w:r>
      <w:r w:rsidR="000711C7">
        <w:rPr>
          <w:rFonts w:eastAsia="Times New Roman" w:cstheme="minorHAnsi"/>
          <w:color w:val="2B2B2B"/>
          <w:lang w:eastAsia="en-AU"/>
        </w:rPr>
        <w:t>higher rate of achievement in independent schools compared with government schools, two of the five top-performing schools in terms of overall pass are government schools, whilst there is one independent school in the bottom five. There is disparity in performance between schools, whether independent or government.</w:t>
      </w:r>
    </w:p>
    <w:p w14:paraId="38E04FFA" w14:textId="39F80590" w:rsidR="009347D0" w:rsidRDefault="000711C7" w:rsidP="009347D0">
      <w:pPr>
        <w:spacing w:before="100" w:beforeAutospacing="1" w:after="120" w:line="360" w:lineRule="atLeast"/>
        <w:ind w:left="360"/>
        <w:jc w:val="both"/>
        <w:rPr>
          <w:rFonts w:eastAsia="Times New Roman" w:cstheme="minorHAnsi"/>
          <w:b/>
          <w:bCs/>
          <w:color w:val="2B2B2B"/>
          <w:lang w:eastAsia="en-AU"/>
        </w:rPr>
      </w:pPr>
      <w:r>
        <w:rPr>
          <w:rFonts w:eastAsia="Times New Roman" w:cstheme="minorHAnsi"/>
          <w:color w:val="2B2B2B"/>
          <w:lang w:eastAsia="en-AU"/>
        </w:rPr>
        <w:t xml:space="preserve">A third observation is that there is a clear difference in average scores and proportion of pupils achieving a pass in terms of the size of school. Nonetheless, the largest school, Bailey High School, is the largest school within the data, and it is the third highest ranked in terms of overall passes. It is perhaps noticeable that there is a disparity between the proportions of students gaining passes compared </w:t>
      </w:r>
      <w:proofErr w:type="spellStart"/>
      <w:r>
        <w:rPr>
          <w:rFonts w:eastAsia="Times New Roman" w:cstheme="minorHAnsi"/>
          <w:color w:val="2B2B2B"/>
          <w:lang w:eastAsia="en-AU"/>
        </w:rPr>
        <w:t>wth</w:t>
      </w:r>
      <w:proofErr w:type="spellEnd"/>
      <w:r>
        <w:rPr>
          <w:rFonts w:eastAsia="Times New Roman" w:cstheme="minorHAnsi"/>
          <w:color w:val="2B2B2B"/>
          <w:lang w:eastAsia="en-AU"/>
        </w:rPr>
        <w:t xml:space="preserve"> a comparison of the average scores by school. This indicates that whereas the government schools are likely to follow a normal distribution, there is a greater skew in the results of the independent schools towards the higher scores. This may be indicative of other factors – such as social-economic background, smaller class sizes and other forms of funding not represented in this data.</w:t>
      </w:r>
    </w:p>
    <w:p w14:paraId="218D5FBD" w14:textId="77777777" w:rsidR="009347D0" w:rsidRPr="009347D0" w:rsidRDefault="009347D0" w:rsidP="009347D0">
      <w:pPr>
        <w:pStyle w:val="ListParagraph"/>
        <w:spacing w:before="100" w:beforeAutospacing="1" w:after="120" w:line="360" w:lineRule="atLeast"/>
        <w:ind w:left="1080"/>
        <w:jc w:val="both"/>
        <w:rPr>
          <w:rFonts w:eastAsia="Times New Roman" w:cstheme="minorHAnsi"/>
          <w:b/>
          <w:bCs/>
          <w:color w:val="2B2B2B"/>
          <w:lang w:eastAsia="en-AU"/>
        </w:rPr>
      </w:pPr>
    </w:p>
    <w:p w14:paraId="1095FDA9" w14:textId="6C57592C" w:rsidR="00885289" w:rsidRDefault="00970C1D"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 xml:space="preserve"> </w:t>
      </w:r>
    </w:p>
    <w:p w14:paraId="23B9754E" w14:textId="1CD5E7A9"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55250C52" w14:textId="09567C09"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55E11B5E" w14:textId="37E3C488"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37F77803" w14:textId="2BC3E66E"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156BCD8D" w14:textId="63B9478D"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55FAE84E" w14:textId="15AECA63"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6D96E778" w14:textId="513AC694"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56E0E977" w14:textId="0D6961EF"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1EDED04A" w14:textId="64E95EC7"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67E5E576" w14:textId="79A0D2A7"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29BE5B5D" w14:textId="06C3BAA8" w:rsidR="00885289" w:rsidRDefault="00885289" w:rsidP="009A2BFE">
      <w:pPr>
        <w:spacing w:before="100" w:beforeAutospacing="1" w:after="120" w:line="360" w:lineRule="atLeast"/>
        <w:ind w:left="360"/>
        <w:jc w:val="both"/>
        <w:rPr>
          <w:rFonts w:eastAsia="Times New Roman" w:cstheme="minorHAnsi"/>
          <w:color w:val="2B2B2B"/>
          <w:lang w:eastAsia="en-AU"/>
        </w:rPr>
      </w:pPr>
    </w:p>
    <w:p w14:paraId="1DDC7788" w14:textId="2DE24E3C" w:rsidR="00885289" w:rsidRDefault="00885289" w:rsidP="009A2BFE">
      <w:pPr>
        <w:spacing w:before="100" w:beforeAutospacing="1" w:after="120" w:line="360" w:lineRule="atLeast"/>
        <w:ind w:left="360"/>
        <w:jc w:val="both"/>
        <w:rPr>
          <w:rFonts w:eastAsia="Times New Roman" w:cstheme="minorHAnsi"/>
          <w:color w:val="2B2B2B"/>
          <w:lang w:eastAsia="en-AU"/>
        </w:rPr>
      </w:pPr>
      <w:r>
        <w:rPr>
          <w:rFonts w:eastAsia="Times New Roman" w:cstheme="minorHAnsi"/>
          <w:color w:val="2B2B2B"/>
          <w:lang w:eastAsia="en-AU"/>
        </w:rPr>
        <w:t>5</w:t>
      </w:r>
    </w:p>
    <w:p w14:paraId="38578B89" w14:textId="210FD927" w:rsidR="009A2BFE" w:rsidRDefault="009A2BFE" w:rsidP="009A2BFE">
      <w:pPr>
        <w:spacing w:before="100" w:beforeAutospacing="1" w:after="120" w:line="360" w:lineRule="atLeast"/>
        <w:ind w:left="360"/>
        <w:jc w:val="both"/>
        <w:rPr>
          <w:rFonts w:eastAsia="Times New Roman" w:cstheme="minorHAnsi"/>
          <w:b/>
          <w:bCs/>
          <w:color w:val="2B2B2B"/>
          <w:lang w:eastAsia="en-AU"/>
        </w:rPr>
      </w:pPr>
      <w:r>
        <w:rPr>
          <w:rFonts w:eastAsia="Times New Roman" w:cstheme="minorHAnsi"/>
          <w:b/>
          <w:bCs/>
          <w:color w:val="2B2B2B"/>
          <w:lang w:eastAsia="en-AU"/>
        </w:rPr>
        <w:t>3 key findings</w:t>
      </w:r>
    </w:p>
    <w:p w14:paraId="097457FD" w14:textId="77777777" w:rsidR="009A2BFE" w:rsidRDefault="009A2BFE" w:rsidP="009A2BFE">
      <w:pPr>
        <w:spacing w:before="100" w:beforeAutospacing="1" w:after="120" w:line="360" w:lineRule="atLeast"/>
        <w:jc w:val="both"/>
        <w:rPr>
          <w:rFonts w:eastAsia="Times New Roman" w:cstheme="minorHAnsi"/>
          <w:b/>
          <w:bCs/>
          <w:color w:val="2B2B2B"/>
          <w:lang w:eastAsia="en-AU"/>
        </w:rPr>
      </w:pPr>
    </w:p>
    <w:p w14:paraId="73E2298D" w14:textId="77777777" w:rsidR="00895644" w:rsidRPr="00040645" w:rsidRDefault="00895644" w:rsidP="00895644">
      <w:pPr>
        <w:spacing w:before="100" w:beforeAutospacing="1" w:after="120" w:line="360" w:lineRule="atLeast"/>
        <w:ind w:left="360"/>
        <w:jc w:val="both"/>
        <w:rPr>
          <w:rFonts w:eastAsia="Times New Roman" w:cstheme="minorHAnsi"/>
          <w:b/>
          <w:bCs/>
          <w:color w:val="2B2B2B"/>
          <w:lang w:eastAsia="en-AU"/>
        </w:rPr>
      </w:pPr>
    </w:p>
    <w:p w14:paraId="45CF81BC" w14:textId="77777777" w:rsidR="00860766" w:rsidRDefault="00860766" w:rsidP="00C728F9">
      <w:pPr>
        <w:pStyle w:val="ListParagraph"/>
        <w:ind w:left="360"/>
      </w:pPr>
    </w:p>
    <w:p w14:paraId="64347F9F" w14:textId="08034273" w:rsidR="00C728F9" w:rsidRDefault="00C728F9" w:rsidP="00040645">
      <w:pPr>
        <w:pStyle w:val="ListParagraph"/>
        <w:numPr>
          <w:ilvl w:val="0"/>
          <w:numId w:val="2"/>
        </w:numPr>
      </w:pPr>
      <w:r>
        <w:t>Theatre is the most frequent</w:t>
      </w:r>
      <w:r w:rsidRPr="00C728F9">
        <w:t xml:space="preserve"> category</w:t>
      </w:r>
      <w:r>
        <w:t xml:space="preserve"> to seek crowdfunding with a total of 344 campaigns, of which 132 were successful. </w:t>
      </w:r>
      <w:r w:rsidR="00610487">
        <w:t xml:space="preserve">The next largest categories </w:t>
      </w:r>
      <w:r w:rsidR="00BB3DF3">
        <w:t xml:space="preserve">have about </w:t>
      </w:r>
      <w:r w:rsidR="00610487">
        <w:t xml:space="preserve">175 campaigns apiece, so </w:t>
      </w:r>
      <w:r w:rsidR="00BB3DF3">
        <w:t>‘T</w:t>
      </w:r>
      <w:r w:rsidR="00610487">
        <w:t>heatre</w:t>
      </w:r>
      <w:r w:rsidR="00BB3DF3">
        <w:t>’</w:t>
      </w:r>
      <w:r w:rsidR="00610487">
        <w:t xml:space="preserve"> is </w:t>
      </w:r>
      <w:r w:rsidR="00326F91">
        <w:t xml:space="preserve">almost </w:t>
      </w:r>
      <w:r w:rsidR="00610487">
        <w:t xml:space="preserve">twice as frequent within this data. It is interesting to note that </w:t>
      </w:r>
      <w:r w:rsidR="00BB3DF3">
        <w:t>next largest categories</w:t>
      </w:r>
      <w:r w:rsidR="00610487">
        <w:t xml:space="preserve"> </w:t>
      </w:r>
      <w:r w:rsidR="00BB3DF3">
        <w:t>are ‘</w:t>
      </w:r>
      <w:r w:rsidR="00610487" w:rsidRPr="00DC284D">
        <w:t xml:space="preserve">Film &amp; </w:t>
      </w:r>
      <w:r w:rsidR="00610487">
        <w:t>V</w:t>
      </w:r>
      <w:r w:rsidR="00610487" w:rsidRPr="00DC284D">
        <w:t>ideo</w:t>
      </w:r>
      <w:r w:rsidR="00610487">
        <w:t>’ and ‘</w:t>
      </w:r>
      <w:r w:rsidR="00610487" w:rsidRPr="00860766">
        <w:t>Music</w:t>
      </w:r>
      <w:r w:rsidR="00610487">
        <w:t xml:space="preserve">’ </w:t>
      </w:r>
      <w:r w:rsidR="00BB3DF3">
        <w:t xml:space="preserve">which </w:t>
      </w:r>
      <w:r w:rsidR="00610487">
        <w:t xml:space="preserve">are also concerned with performing arts. </w:t>
      </w:r>
      <w:r w:rsidR="00BB3DF3">
        <w:t>I</w:t>
      </w:r>
      <w:r w:rsidR="00610487">
        <w:t xml:space="preserve">t would be interesting to investigate this further – for instance, </w:t>
      </w:r>
      <w:r w:rsidR="007C63CA">
        <w:t xml:space="preserve">are </w:t>
      </w:r>
      <w:r w:rsidR="00326F91">
        <w:t xml:space="preserve">these projects driven to crowdfunding because </w:t>
      </w:r>
      <w:r w:rsidR="007C63CA">
        <w:t xml:space="preserve">traditional funding sources harder for these industries to access, or does it reflect the preference of people who access crowdfunding platforms? </w:t>
      </w:r>
      <w:r w:rsidR="00610487">
        <w:t xml:space="preserve"> </w:t>
      </w:r>
    </w:p>
    <w:p w14:paraId="526C9C55" w14:textId="453985D7" w:rsidR="00040645" w:rsidRDefault="00040645" w:rsidP="00C728F9">
      <w:pPr>
        <w:pStyle w:val="ListParagraph"/>
        <w:ind w:left="360"/>
      </w:pPr>
    </w:p>
    <w:p w14:paraId="2C95792E" w14:textId="10FC4462" w:rsidR="00040645" w:rsidRPr="00040645" w:rsidRDefault="00BB3DF3" w:rsidP="00040645">
      <w:pPr>
        <w:pStyle w:val="ListParagraph"/>
        <w:ind w:left="360"/>
        <w:rPr>
          <w:b/>
          <w:bCs/>
          <w:i/>
          <w:iCs/>
          <w:sz w:val="20"/>
          <w:szCs w:val="20"/>
        </w:rPr>
      </w:pPr>
      <w:r>
        <w:rPr>
          <w:b/>
          <w:bCs/>
          <w:i/>
          <w:iCs/>
          <w:sz w:val="20"/>
          <w:szCs w:val="20"/>
        </w:rPr>
        <w:t>Number</w:t>
      </w:r>
      <w:r w:rsidR="00040645" w:rsidRPr="00040645">
        <w:rPr>
          <w:b/>
          <w:bCs/>
          <w:i/>
          <w:iCs/>
          <w:sz w:val="20"/>
          <w:szCs w:val="20"/>
        </w:rPr>
        <w:t xml:space="preserve"> of projects by category and outcome.</w:t>
      </w:r>
    </w:p>
    <w:p w14:paraId="4AD07214" w14:textId="77777777" w:rsidR="00040645" w:rsidRDefault="00040645" w:rsidP="00C728F9">
      <w:pPr>
        <w:pStyle w:val="ListParagraph"/>
        <w:ind w:left="360"/>
      </w:pPr>
    </w:p>
    <w:p w14:paraId="0A529CB5" w14:textId="71B4BD8C" w:rsidR="00040645" w:rsidRDefault="00040645" w:rsidP="00C728F9">
      <w:pPr>
        <w:pStyle w:val="ListParagraph"/>
        <w:ind w:left="360"/>
      </w:pPr>
    </w:p>
    <w:p w14:paraId="7AFEF484" w14:textId="21F752FC" w:rsidR="00860766" w:rsidRDefault="00860766" w:rsidP="00C728F9">
      <w:pPr>
        <w:pStyle w:val="ListParagraph"/>
        <w:ind w:left="360"/>
      </w:pPr>
    </w:p>
    <w:p w14:paraId="795C1C08" w14:textId="77777777" w:rsidR="00BB3DF3" w:rsidRDefault="00BB3DF3" w:rsidP="00040645">
      <w:pPr>
        <w:pStyle w:val="ListParagraph"/>
        <w:numPr>
          <w:ilvl w:val="0"/>
          <w:numId w:val="3"/>
        </w:numPr>
      </w:pPr>
      <w:r>
        <w:t>P</w:t>
      </w:r>
      <w:r w:rsidR="00895644">
        <w:t xml:space="preserve">rojects </w:t>
      </w:r>
      <w:r>
        <w:t>with</w:t>
      </w:r>
      <w:r w:rsidR="00895644">
        <w:t xml:space="preserve"> goals </w:t>
      </w:r>
      <w:r w:rsidR="00763361">
        <w:t>valued between 1,000 and</w:t>
      </w:r>
      <w:r w:rsidR="00895644">
        <w:t xml:space="preserve"> 10,000, represen</w:t>
      </w:r>
      <w:r>
        <w:t>t</w:t>
      </w:r>
      <w:r w:rsidR="00895644">
        <w:t xml:space="preserve"> </w:t>
      </w:r>
      <w:r w:rsidR="00763361">
        <w:t>55</w:t>
      </w:r>
      <w:r w:rsidR="00895644">
        <w:t xml:space="preserve">% of the total sample. Projects </w:t>
      </w:r>
      <w:r>
        <w:t xml:space="preserve">greater than </w:t>
      </w:r>
      <w:r w:rsidR="00895644">
        <w:t>this have a higher success rate, but this is based on a very small number of projects and is not a reliable indicator</w:t>
      </w:r>
      <w:r>
        <w:t>: projects falling between 10,000 and 50,000 represent only 8% of the total</w:t>
      </w:r>
      <w:r w:rsidR="00895644">
        <w:t xml:space="preserve">. </w:t>
      </w:r>
    </w:p>
    <w:p w14:paraId="34E133ED" w14:textId="77777777" w:rsidR="00BB3DF3" w:rsidRDefault="00BB3DF3" w:rsidP="00BB3DF3">
      <w:pPr>
        <w:pStyle w:val="ListParagraph"/>
        <w:ind w:left="1080"/>
      </w:pPr>
    </w:p>
    <w:p w14:paraId="75BBE73D" w14:textId="77777777" w:rsidR="00BB3DF3" w:rsidRDefault="00895644" w:rsidP="00BB3DF3">
      <w:pPr>
        <w:pStyle w:val="ListParagraph"/>
        <w:ind w:left="1080"/>
      </w:pPr>
      <w:r>
        <w:t xml:space="preserve">The </w:t>
      </w:r>
      <w:r w:rsidR="00763361">
        <w:t xml:space="preserve">most successful </w:t>
      </w:r>
      <w:r>
        <w:t xml:space="preserve">group of projects by funding size are </w:t>
      </w:r>
      <w:r w:rsidR="00BB3DF3">
        <w:t>those</w:t>
      </w:r>
      <w:r>
        <w:t xml:space="preserve"> with goals between $1,000 and </w:t>
      </w:r>
      <w:r w:rsidR="00BB3DF3">
        <w:t>$5,000 and enjoy a</w:t>
      </w:r>
      <w:r>
        <w:t xml:space="preserve"> success rate of 83%. </w:t>
      </w:r>
      <w:r w:rsidR="00BB3DF3">
        <w:t>T</w:t>
      </w:r>
      <w:r w:rsidR="00763361">
        <w:t>his group represents 23% of the total dataset</w:t>
      </w:r>
      <w:r w:rsidR="00BB3DF3">
        <w:t>, and we can have confidence in this result.</w:t>
      </w:r>
      <w:r w:rsidR="00763361">
        <w:t xml:space="preserve"> </w:t>
      </w:r>
    </w:p>
    <w:p w14:paraId="3BF372BE" w14:textId="77777777" w:rsidR="00BB3DF3" w:rsidRDefault="00BB3DF3" w:rsidP="00BB3DF3">
      <w:pPr>
        <w:pStyle w:val="ListParagraph"/>
        <w:ind w:left="1080"/>
      </w:pPr>
    </w:p>
    <w:p w14:paraId="269FC7AB" w14:textId="77777777" w:rsidR="00BB3DF3" w:rsidRDefault="00BB3DF3" w:rsidP="00BB3DF3">
      <w:pPr>
        <w:pStyle w:val="ListParagraph"/>
        <w:ind w:left="1080"/>
      </w:pPr>
      <w:r>
        <w:t>T</w:t>
      </w:r>
      <w:r w:rsidR="00763361">
        <w:t xml:space="preserve">he grouping of projects between 5,000 and 10,000 represent the largest group, </w:t>
      </w:r>
      <w:r>
        <w:t>with</w:t>
      </w:r>
      <w:r w:rsidR="00763361">
        <w:t xml:space="preserve"> 31% of total </w:t>
      </w:r>
      <w:r>
        <w:t>projects</w:t>
      </w:r>
      <w:r w:rsidR="00763361">
        <w:t xml:space="preserve">, but have a lower success rate of 52%. </w:t>
      </w:r>
    </w:p>
    <w:p w14:paraId="6F0A33D9" w14:textId="77777777" w:rsidR="00BB3DF3" w:rsidRDefault="00BB3DF3" w:rsidP="00BB3DF3">
      <w:pPr>
        <w:pStyle w:val="ListParagraph"/>
        <w:ind w:left="1080"/>
      </w:pPr>
    </w:p>
    <w:p w14:paraId="66EA9F77" w14:textId="77777777" w:rsidR="00026991" w:rsidRDefault="00BB3DF3" w:rsidP="00BB3DF3">
      <w:pPr>
        <w:pStyle w:val="ListParagraph"/>
        <w:ind w:left="1080"/>
      </w:pPr>
      <w:r>
        <w:t>Whilst the numbers of projects with more ambitious goals are very small, the number of the of projects seeking greater than 50,000 represents 305 projects. Clearly, this will include a large range of project values, including high value outliers, but tellingly only 37% of this group were successful.</w:t>
      </w:r>
    </w:p>
    <w:p w14:paraId="2A9AC4C6" w14:textId="77777777" w:rsidR="00026991" w:rsidRDefault="00026991" w:rsidP="00BB3DF3">
      <w:pPr>
        <w:pStyle w:val="ListParagraph"/>
        <w:ind w:left="1080"/>
      </w:pPr>
    </w:p>
    <w:p w14:paraId="4BFAF310" w14:textId="734F9793" w:rsidR="00607496" w:rsidRDefault="00026991" w:rsidP="00BB3DF3">
      <w:pPr>
        <w:pStyle w:val="ListParagraph"/>
        <w:ind w:left="1080"/>
      </w:pPr>
      <w:r>
        <w:lastRenderedPageBreak/>
        <w:t xml:space="preserve">We </w:t>
      </w:r>
      <w:r w:rsidR="00763361">
        <w:t xml:space="preserve">can conclude that crowdfunding works particularly well for smaller projects. This perhaps reflects that these projects need far fewer backers to achieve success. </w:t>
      </w:r>
      <w:r>
        <w:t>It would be interesting to research this further as the implications for campaigns positioning themselves for success could be profound.</w:t>
      </w:r>
    </w:p>
    <w:p w14:paraId="199C1904" w14:textId="708AB814" w:rsidR="00326616" w:rsidRPr="00895644" w:rsidRDefault="00631A61" w:rsidP="00326616">
      <w:pPr>
        <w:pStyle w:val="ListParagraph"/>
        <w:spacing w:before="100" w:beforeAutospacing="1" w:after="120" w:line="360" w:lineRule="atLeast"/>
        <w:ind w:left="1080"/>
        <w:rPr>
          <w:rFonts w:eastAsia="Times New Roman" w:cstheme="minorHAnsi"/>
          <w:b/>
          <w:bCs/>
          <w:i/>
          <w:iCs/>
          <w:color w:val="2B2B2B"/>
          <w:sz w:val="20"/>
          <w:szCs w:val="20"/>
          <w:lang w:eastAsia="en-AU"/>
        </w:rPr>
      </w:pPr>
      <w:r>
        <w:rPr>
          <w:rFonts w:eastAsia="Times New Roman" w:cstheme="minorHAnsi"/>
          <w:b/>
          <w:bCs/>
          <w:i/>
          <w:iCs/>
          <w:color w:val="2B2B2B"/>
          <w:sz w:val="20"/>
          <w:szCs w:val="20"/>
          <w:lang w:eastAsia="en-AU"/>
        </w:rPr>
        <w:t>Percentage of outcomes based on value of goal</w:t>
      </w:r>
    </w:p>
    <w:p w14:paraId="0EDEBBEC" w14:textId="0318A145" w:rsidR="00C728F9" w:rsidRPr="00C728F9" w:rsidRDefault="00326616" w:rsidP="00C728F9">
      <w:pPr>
        <w:spacing w:before="100" w:beforeAutospacing="1" w:after="120" w:line="360" w:lineRule="atLeast"/>
        <w:ind w:left="1080"/>
        <w:jc w:val="both"/>
        <w:rPr>
          <w:rFonts w:eastAsia="Times New Roman" w:cstheme="minorHAnsi"/>
          <w:color w:val="2B2B2B"/>
          <w:lang w:eastAsia="en-AU"/>
        </w:rPr>
      </w:pPr>
      <w:r>
        <w:rPr>
          <w:rFonts w:eastAsia="Times New Roman" w:cstheme="minorHAnsi"/>
          <w:noProof/>
          <w:color w:val="2B2B2B"/>
          <w:lang w:eastAsia="en-AU"/>
        </w:rPr>
        <w:drawing>
          <wp:inline distT="0" distB="0" distL="0" distR="0" wp14:anchorId="3BE216D5" wp14:editId="78D2056D">
            <wp:extent cx="4128939" cy="2186609"/>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6721" cy="2201322"/>
                    </a:xfrm>
                    <a:prstGeom prst="rect">
                      <a:avLst/>
                    </a:prstGeom>
                    <a:noFill/>
                  </pic:spPr>
                </pic:pic>
              </a:graphicData>
            </a:graphic>
          </wp:inline>
        </w:drawing>
      </w:r>
    </w:p>
    <w:p w14:paraId="2A467929" w14:textId="2C92D9EC" w:rsidR="00C728F9" w:rsidRPr="00D73264" w:rsidRDefault="00C728F9" w:rsidP="00C728F9">
      <w:pPr>
        <w:numPr>
          <w:ilvl w:val="0"/>
          <w:numId w:val="1"/>
        </w:numPr>
        <w:spacing w:before="100" w:beforeAutospacing="1" w:after="120" w:line="360" w:lineRule="atLeast"/>
        <w:rPr>
          <w:rFonts w:eastAsia="Times New Roman" w:cstheme="minorHAnsi"/>
          <w:b/>
          <w:bCs/>
          <w:color w:val="2B2B2B"/>
          <w:lang w:eastAsia="en-AU"/>
        </w:rPr>
      </w:pPr>
      <w:r w:rsidRPr="00D73264">
        <w:rPr>
          <w:rFonts w:eastAsia="Times New Roman" w:cstheme="minorHAnsi"/>
          <w:b/>
          <w:bCs/>
          <w:color w:val="2B2B2B"/>
          <w:lang w:eastAsia="en-AU"/>
        </w:rPr>
        <w:t>What are some limitations of this dataset?</w:t>
      </w:r>
    </w:p>
    <w:p w14:paraId="3A04AFBA" w14:textId="33300C4F" w:rsidR="00895644" w:rsidRDefault="00026991" w:rsidP="00895644">
      <w:pPr>
        <w:pStyle w:val="ListParagraph"/>
        <w:numPr>
          <w:ilvl w:val="0"/>
          <w:numId w:val="3"/>
        </w:numPr>
        <w:spacing w:before="100" w:beforeAutospacing="1" w:after="120" w:line="360" w:lineRule="atLeast"/>
        <w:rPr>
          <w:rFonts w:eastAsia="Times New Roman" w:cstheme="minorHAnsi"/>
          <w:color w:val="2B2B2B"/>
          <w:lang w:eastAsia="en-AU"/>
        </w:rPr>
      </w:pPr>
      <w:r>
        <w:rPr>
          <w:rFonts w:eastAsia="Times New Roman" w:cstheme="minorHAnsi"/>
          <w:color w:val="2B2B2B"/>
          <w:lang w:eastAsia="en-AU"/>
        </w:rPr>
        <w:t>The s</w:t>
      </w:r>
      <w:r w:rsidR="00326F91" w:rsidRPr="00895644">
        <w:rPr>
          <w:rFonts w:eastAsia="Times New Roman" w:cstheme="minorHAnsi"/>
          <w:color w:val="2B2B2B"/>
          <w:lang w:eastAsia="en-AU"/>
        </w:rPr>
        <w:t>ample is heavily influenced by US projects, which represent 7</w:t>
      </w:r>
      <w:r w:rsidR="00895644">
        <w:rPr>
          <w:rFonts w:eastAsia="Times New Roman" w:cstheme="minorHAnsi"/>
          <w:color w:val="2B2B2B"/>
          <w:lang w:eastAsia="en-AU"/>
        </w:rPr>
        <w:t>6</w:t>
      </w:r>
      <w:r w:rsidR="00326F91" w:rsidRPr="00895644">
        <w:rPr>
          <w:rFonts w:eastAsia="Times New Roman" w:cstheme="minorHAnsi"/>
          <w:color w:val="2B2B2B"/>
          <w:lang w:eastAsia="en-AU"/>
        </w:rPr>
        <w:t>% of the data</w:t>
      </w:r>
      <w:r>
        <w:rPr>
          <w:rFonts w:eastAsia="Times New Roman" w:cstheme="minorHAnsi"/>
          <w:color w:val="2B2B2B"/>
          <w:lang w:eastAsia="en-AU"/>
        </w:rPr>
        <w:t>. This</w:t>
      </w:r>
      <w:r w:rsidR="00B747A2" w:rsidRPr="00895644">
        <w:rPr>
          <w:rFonts w:eastAsia="Times New Roman" w:cstheme="minorHAnsi"/>
          <w:color w:val="2B2B2B"/>
          <w:lang w:eastAsia="en-AU"/>
        </w:rPr>
        <w:t xml:space="preserve"> distorts the picture it gives for the other countries profiled. </w:t>
      </w:r>
      <w:r>
        <w:rPr>
          <w:rFonts w:eastAsia="Times New Roman" w:cstheme="minorHAnsi"/>
          <w:color w:val="2B2B2B"/>
          <w:lang w:eastAsia="en-AU"/>
        </w:rPr>
        <w:t>We</w:t>
      </w:r>
      <w:r w:rsidR="00B747A2" w:rsidRPr="00895644">
        <w:rPr>
          <w:rFonts w:eastAsia="Times New Roman" w:cstheme="minorHAnsi"/>
          <w:color w:val="2B2B2B"/>
          <w:lang w:eastAsia="en-AU"/>
        </w:rPr>
        <w:t xml:space="preserve"> can only make sound conclusions about the US market given the relatively small samples from the other countries listed.</w:t>
      </w:r>
    </w:p>
    <w:p w14:paraId="07643E99" w14:textId="77777777" w:rsidR="006E068C" w:rsidRPr="00895644" w:rsidRDefault="006E068C" w:rsidP="006E068C">
      <w:pPr>
        <w:pStyle w:val="ListParagraph"/>
        <w:spacing w:before="100" w:beforeAutospacing="1" w:after="120" w:line="360" w:lineRule="atLeast"/>
        <w:ind w:left="1080"/>
        <w:rPr>
          <w:rFonts w:eastAsia="Times New Roman" w:cstheme="minorHAnsi"/>
          <w:color w:val="2B2B2B"/>
          <w:lang w:eastAsia="en-AU"/>
        </w:rPr>
      </w:pPr>
    </w:p>
    <w:p w14:paraId="71693E2B" w14:textId="1846E9BD" w:rsidR="00040645" w:rsidRPr="00895644" w:rsidRDefault="00040645" w:rsidP="00895644">
      <w:pPr>
        <w:pStyle w:val="ListParagraph"/>
        <w:spacing w:before="100" w:beforeAutospacing="1" w:after="120" w:line="360" w:lineRule="atLeast"/>
        <w:ind w:left="1080"/>
        <w:rPr>
          <w:rFonts w:eastAsia="Times New Roman" w:cstheme="minorHAnsi"/>
          <w:b/>
          <w:bCs/>
          <w:i/>
          <w:iCs/>
          <w:color w:val="2B2B2B"/>
          <w:sz w:val="20"/>
          <w:szCs w:val="20"/>
          <w:lang w:eastAsia="en-AU"/>
        </w:rPr>
      </w:pPr>
      <w:r w:rsidRPr="00895644">
        <w:rPr>
          <w:rFonts w:eastAsia="Times New Roman" w:cstheme="minorHAnsi"/>
          <w:b/>
          <w:bCs/>
          <w:i/>
          <w:iCs/>
          <w:color w:val="2B2B2B"/>
          <w:sz w:val="20"/>
          <w:szCs w:val="20"/>
          <w:lang w:eastAsia="en-AU"/>
        </w:rPr>
        <w:t>US projects by category as a proportion of total</w:t>
      </w:r>
    </w:p>
    <w:p w14:paraId="47880C34" w14:textId="7FE49725" w:rsidR="00040645" w:rsidRDefault="00040645" w:rsidP="009618DE">
      <w:pPr>
        <w:pStyle w:val="ListParagraph"/>
        <w:spacing w:before="100" w:beforeAutospacing="1" w:after="120" w:line="360" w:lineRule="atLeast"/>
        <w:ind w:left="1080"/>
        <w:rPr>
          <w:rFonts w:eastAsia="Times New Roman" w:cstheme="minorHAnsi"/>
          <w:color w:val="2B2B2B"/>
          <w:lang w:eastAsia="en-AU"/>
        </w:rPr>
      </w:pPr>
      <w:r w:rsidRPr="00040645">
        <w:rPr>
          <w:noProof/>
        </w:rPr>
        <w:drawing>
          <wp:inline distT="0" distB="0" distL="0" distR="0" wp14:anchorId="0DBEF5E8" wp14:editId="1BD902B8">
            <wp:extent cx="2919940" cy="1796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55" cy="1800758"/>
                    </a:xfrm>
                    <a:prstGeom prst="rect">
                      <a:avLst/>
                    </a:prstGeom>
                    <a:noFill/>
                    <a:ln>
                      <a:noFill/>
                    </a:ln>
                  </pic:spPr>
                </pic:pic>
              </a:graphicData>
            </a:graphic>
          </wp:inline>
        </w:drawing>
      </w:r>
    </w:p>
    <w:p w14:paraId="7F8757E1" w14:textId="77777777" w:rsidR="00D72ED0" w:rsidRPr="00895644" w:rsidRDefault="00D72ED0" w:rsidP="009618DE">
      <w:pPr>
        <w:pStyle w:val="ListParagraph"/>
        <w:spacing w:before="100" w:beforeAutospacing="1" w:after="120" w:line="360" w:lineRule="atLeast"/>
        <w:ind w:left="1080"/>
        <w:rPr>
          <w:rFonts w:eastAsia="Times New Roman" w:cstheme="minorHAnsi"/>
          <w:color w:val="2B2B2B"/>
          <w:lang w:eastAsia="en-AU"/>
        </w:rPr>
      </w:pPr>
    </w:p>
    <w:p w14:paraId="18BEEB75" w14:textId="3F141240" w:rsidR="00326F91" w:rsidRDefault="00EB3ED9" w:rsidP="00895644">
      <w:pPr>
        <w:pStyle w:val="ListParagraph"/>
        <w:numPr>
          <w:ilvl w:val="0"/>
          <w:numId w:val="3"/>
        </w:numPr>
        <w:spacing w:before="100" w:beforeAutospacing="1" w:after="120" w:line="360" w:lineRule="atLeast"/>
        <w:rPr>
          <w:rFonts w:eastAsia="Times New Roman" w:cstheme="minorHAnsi"/>
          <w:color w:val="2B2B2B"/>
          <w:lang w:eastAsia="en-AU"/>
        </w:rPr>
      </w:pPr>
      <w:r w:rsidRPr="00895644">
        <w:rPr>
          <w:rFonts w:eastAsia="Times New Roman" w:cstheme="minorHAnsi"/>
          <w:color w:val="2B2B2B"/>
          <w:lang w:eastAsia="en-AU"/>
        </w:rPr>
        <w:t>A</w:t>
      </w:r>
      <w:r w:rsidR="00B747A2" w:rsidRPr="00895644">
        <w:rPr>
          <w:rFonts w:eastAsia="Times New Roman" w:cstheme="minorHAnsi"/>
          <w:color w:val="2B2B2B"/>
          <w:lang w:eastAsia="en-AU"/>
        </w:rPr>
        <w:t xml:space="preserve">ll the </w:t>
      </w:r>
      <w:r w:rsidRPr="00895644">
        <w:rPr>
          <w:rFonts w:eastAsia="Times New Roman" w:cstheme="minorHAnsi"/>
          <w:color w:val="2B2B2B"/>
          <w:lang w:eastAsia="en-AU"/>
        </w:rPr>
        <w:t xml:space="preserve">other </w:t>
      </w:r>
      <w:r w:rsidR="00B747A2" w:rsidRPr="00895644">
        <w:rPr>
          <w:rFonts w:eastAsia="Times New Roman" w:cstheme="minorHAnsi"/>
          <w:color w:val="2B2B2B"/>
          <w:lang w:eastAsia="en-AU"/>
        </w:rPr>
        <w:t xml:space="preserve">countries within the dataset are </w:t>
      </w:r>
      <w:r w:rsidRPr="00895644">
        <w:rPr>
          <w:rFonts w:eastAsia="Times New Roman" w:cstheme="minorHAnsi"/>
          <w:color w:val="2B2B2B"/>
          <w:lang w:eastAsia="en-AU"/>
        </w:rPr>
        <w:t xml:space="preserve">from the west: </w:t>
      </w:r>
      <w:r w:rsidR="00B747A2" w:rsidRPr="00895644">
        <w:rPr>
          <w:rFonts w:eastAsia="Times New Roman" w:cstheme="minorHAnsi"/>
          <w:color w:val="2B2B2B"/>
          <w:lang w:eastAsia="en-AU"/>
        </w:rPr>
        <w:t xml:space="preserve">Australia, Switzerland, Italy, Canada, </w:t>
      </w:r>
      <w:r w:rsidR="00C258D0" w:rsidRPr="00895644">
        <w:rPr>
          <w:rFonts w:eastAsia="Times New Roman" w:cstheme="minorHAnsi"/>
          <w:color w:val="2B2B2B"/>
          <w:lang w:eastAsia="en-AU"/>
        </w:rPr>
        <w:t>Denmark,</w:t>
      </w:r>
      <w:r w:rsidR="00B747A2" w:rsidRPr="00895644">
        <w:rPr>
          <w:rFonts w:eastAsia="Times New Roman" w:cstheme="minorHAnsi"/>
          <w:color w:val="2B2B2B"/>
          <w:lang w:eastAsia="en-AU"/>
        </w:rPr>
        <w:t xml:space="preserve"> and the UK</w:t>
      </w:r>
      <w:r w:rsidRPr="00895644">
        <w:rPr>
          <w:rFonts w:eastAsia="Times New Roman" w:cstheme="minorHAnsi"/>
          <w:color w:val="2B2B2B"/>
          <w:lang w:eastAsia="en-AU"/>
        </w:rPr>
        <w:t xml:space="preserve">. The </w:t>
      </w:r>
      <w:r w:rsidR="00B747A2" w:rsidRPr="00895644">
        <w:rPr>
          <w:rFonts w:eastAsia="Times New Roman" w:cstheme="minorHAnsi"/>
          <w:color w:val="2B2B2B"/>
          <w:lang w:eastAsia="en-AU"/>
        </w:rPr>
        <w:t xml:space="preserve">market for crowdfunding is far wider. Although the US represents by far the largest market, countries such as China, </w:t>
      </w:r>
      <w:r w:rsidRPr="00895644">
        <w:rPr>
          <w:rFonts w:eastAsia="Times New Roman" w:cstheme="minorHAnsi"/>
          <w:color w:val="2B2B2B"/>
          <w:lang w:eastAsia="en-AU"/>
        </w:rPr>
        <w:t xml:space="preserve">Russia, </w:t>
      </w:r>
      <w:r w:rsidR="00B747A2" w:rsidRPr="00895644">
        <w:rPr>
          <w:rFonts w:eastAsia="Times New Roman" w:cstheme="minorHAnsi"/>
          <w:color w:val="2B2B2B"/>
          <w:lang w:eastAsia="en-AU"/>
        </w:rPr>
        <w:t xml:space="preserve">India, </w:t>
      </w:r>
      <w:proofErr w:type="gramStart"/>
      <w:r w:rsidR="00B747A2" w:rsidRPr="00895644">
        <w:rPr>
          <w:rFonts w:eastAsia="Times New Roman" w:cstheme="minorHAnsi"/>
          <w:color w:val="2B2B2B"/>
          <w:lang w:eastAsia="en-AU"/>
        </w:rPr>
        <w:t>Korea</w:t>
      </w:r>
      <w:proofErr w:type="gramEnd"/>
      <w:r w:rsidR="00B747A2" w:rsidRPr="00895644">
        <w:rPr>
          <w:rFonts w:eastAsia="Times New Roman" w:cstheme="minorHAnsi"/>
          <w:color w:val="2B2B2B"/>
          <w:lang w:eastAsia="en-AU"/>
        </w:rPr>
        <w:t xml:space="preserve"> and Japan also have a large number of crowdfunded projects</w:t>
      </w:r>
      <w:r w:rsidR="00026991">
        <w:rPr>
          <w:rFonts w:eastAsia="Times New Roman" w:cstheme="minorHAnsi"/>
          <w:color w:val="2B2B2B"/>
          <w:lang w:eastAsia="en-AU"/>
        </w:rPr>
        <w:t xml:space="preserve"> and crowdfunding platforms</w:t>
      </w:r>
      <w:r w:rsidRPr="00895644">
        <w:rPr>
          <w:rFonts w:eastAsia="Times New Roman" w:cstheme="minorHAnsi"/>
          <w:color w:val="2B2B2B"/>
          <w:lang w:eastAsia="en-AU"/>
        </w:rPr>
        <w:t xml:space="preserve">. Given that these countries are culturally diverse </w:t>
      </w:r>
      <w:r w:rsidR="00026991">
        <w:rPr>
          <w:rFonts w:eastAsia="Times New Roman" w:cstheme="minorHAnsi"/>
          <w:color w:val="2B2B2B"/>
          <w:lang w:eastAsia="en-AU"/>
        </w:rPr>
        <w:t>from</w:t>
      </w:r>
      <w:r w:rsidRPr="00895644">
        <w:rPr>
          <w:rFonts w:eastAsia="Times New Roman" w:cstheme="minorHAnsi"/>
          <w:color w:val="2B2B2B"/>
          <w:lang w:eastAsia="en-AU"/>
        </w:rPr>
        <w:t xml:space="preserve"> those contained within the sample dataset, any conclusions drawn cannot be </w:t>
      </w:r>
      <w:r w:rsidR="00026991">
        <w:rPr>
          <w:rFonts w:eastAsia="Times New Roman" w:cstheme="minorHAnsi"/>
          <w:color w:val="2B2B2B"/>
          <w:lang w:eastAsia="en-AU"/>
        </w:rPr>
        <w:t xml:space="preserve">confidently </w:t>
      </w:r>
      <w:r w:rsidRPr="00895644">
        <w:rPr>
          <w:rFonts w:eastAsia="Times New Roman" w:cstheme="minorHAnsi"/>
          <w:color w:val="2B2B2B"/>
          <w:lang w:eastAsia="en-AU"/>
        </w:rPr>
        <w:t>applied to those markets.</w:t>
      </w:r>
    </w:p>
    <w:p w14:paraId="63468C31" w14:textId="77777777" w:rsidR="008251ED" w:rsidRPr="00895644" w:rsidRDefault="008251ED" w:rsidP="008251ED">
      <w:pPr>
        <w:pStyle w:val="ListParagraph"/>
        <w:spacing w:before="100" w:beforeAutospacing="1" w:after="120" w:line="360" w:lineRule="atLeast"/>
        <w:ind w:left="1080"/>
        <w:rPr>
          <w:rFonts w:eastAsia="Times New Roman" w:cstheme="minorHAnsi"/>
          <w:color w:val="2B2B2B"/>
          <w:lang w:eastAsia="en-AU"/>
        </w:rPr>
      </w:pPr>
    </w:p>
    <w:p w14:paraId="056E4161" w14:textId="05006044" w:rsidR="00EB3ED9" w:rsidRDefault="00EB3ED9" w:rsidP="00895644">
      <w:pPr>
        <w:pStyle w:val="ListParagraph"/>
        <w:numPr>
          <w:ilvl w:val="0"/>
          <w:numId w:val="3"/>
        </w:numPr>
        <w:spacing w:before="100" w:beforeAutospacing="1" w:after="120" w:line="360" w:lineRule="atLeast"/>
        <w:rPr>
          <w:rFonts w:eastAsia="Times New Roman" w:cstheme="minorHAnsi"/>
          <w:color w:val="2B2B2B"/>
          <w:lang w:eastAsia="en-AU"/>
        </w:rPr>
      </w:pPr>
      <w:r w:rsidRPr="00895644">
        <w:rPr>
          <w:rFonts w:eastAsia="Times New Roman" w:cstheme="minorHAnsi"/>
          <w:color w:val="2B2B2B"/>
          <w:lang w:eastAsia="en-AU"/>
        </w:rPr>
        <w:t>We do not know which crowdfunding platforms have provided this data. This would be essential as the choice of platform may influence the success of a crowdfunding project or may prove more suitable to a particular category. The data may have been sourced f</w:t>
      </w:r>
      <w:r w:rsidR="00770218">
        <w:rPr>
          <w:rFonts w:eastAsia="Times New Roman" w:cstheme="minorHAnsi"/>
          <w:color w:val="2B2B2B"/>
          <w:lang w:eastAsia="en-AU"/>
        </w:rPr>
        <w:t>ro</w:t>
      </w:r>
      <w:r w:rsidRPr="00895644">
        <w:rPr>
          <w:rFonts w:eastAsia="Times New Roman" w:cstheme="minorHAnsi"/>
          <w:color w:val="2B2B2B"/>
          <w:lang w:eastAsia="en-AU"/>
        </w:rPr>
        <w:t xml:space="preserve">m a popular crowdfunding platform that attracts a high number of people interested in the arts, but if you </w:t>
      </w:r>
      <w:r w:rsidR="00770218">
        <w:rPr>
          <w:rFonts w:eastAsia="Times New Roman" w:cstheme="minorHAnsi"/>
          <w:color w:val="2B2B2B"/>
          <w:lang w:eastAsia="en-AU"/>
        </w:rPr>
        <w:t>are</w:t>
      </w:r>
      <w:r w:rsidRPr="00895644">
        <w:rPr>
          <w:rFonts w:eastAsia="Times New Roman" w:cstheme="minorHAnsi"/>
          <w:color w:val="2B2B2B"/>
          <w:lang w:eastAsia="en-AU"/>
        </w:rPr>
        <w:t xml:space="preserve"> raising money for a technological or environmental project there may be </w:t>
      </w:r>
      <w:r w:rsidR="00770218">
        <w:rPr>
          <w:rFonts w:eastAsia="Times New Roman" w:cstheme="minorHAnsi"/>
          <w:color w:val="2B2B2B"/>
          <w:lang w:eastAsia="en-AU"/>
        </w:rPr>
        <w:t>more suitable</w:t>
      </w:r>
      <w:r w:rsidRPr="00895644">
        <w:rPr>
          <w:rFonts w:eastAsia="Times New Roman" w:cstheme="minorHAnsi"/>
          <w:color w:val="2B2B2B"/>
          <w:lang w:eastAsia="en-AU"/>
        </w:rPr>
        <w:t xml:space="preserve"> platforms </w:t>
      </w:r>
      <w:r w:rsidR="00770218">
        <w:rPr>
          <w:rFonts w:eastAsia="Times New Roman" w:cstheme="minorHAnsi"/>
          <w:color w:val="2B2B2B"/>
          <w:lang w:eastAsia="en-AU"/>
        </w:rPr>
        <w:t>to</w:t>
      </w:r>
      <w:r w:rsidRPr="00895644">
        <w:rPr>
          <w:rFonts w:eastAsia="Times New Roman" w:cstheme="minorHAnsi"/>
          <w:color w:val="2B2B2B"/>
          <w:lang w:eastAsia="en-AU"/>
        </w:rPr>
        <w:t xml:space="preserve"> attract backers.</w:t>
      </w:r>
      <w:r w:rsidR="00C258D0" w:rsidRPr="00895644">
        <w:rPr>
          <w:rFonts w:eastAsia="Times New Roman" w:cstheme="minorHAnsi"/>
          <w:color w:val="2B2B2B"/>
          <w:lang w:eastAsia="en-AU"/>
        </w:rPr>
        <w:t xml:space="preserve"> </w:t>
      </w:r>
    </w:p>
    <w:p w14:paraId="114E917C" w14:textId="77777777" w:rsidR="008251ED" w:rsidRDefault="008251ED" w:rsidP="008251ED">
      <w:pPr>
        <w:pStyle w:val="ListParagraph"/>
        <w:spacing w:before="100" w:beforeAutospacing="1" w:after="120" w:line="360" w:lineRule="atLeast"/>
        <w:ind w:left="1080"/>
        <w:rPr>
          <w:rFonts w:eastAsia="Times New Roman" w:cstheme="minorHAnsi"/>
          <w:color w:val="2B2B2B"/>
          <w:lang w:eastAsia="en-AU"/>
        </w:rPr>
      </w:pPr>
    </w:p>
    <w:p w14:paraId="62028DE4" w14:textId="627D7D82" w:rsidR="009618DE" w:rsidRDefault="009618DE" w:rsidP="00895644">
      <w:pPr>
        <w:pStyle w:val="ListParagraph"/>
        <w:numPr>
          <w:ilvl w:val="0"/>
          <w:numId w:val="3"/>
        </w:numPr>
        <w:spacing w:before="100" w:beforeAutospacing="1" w:after="120" w:line="360" w:lineRule="atLeast"/>
        <w:rPr>
          <w:rFonts w:eastAsia="Times New Roman" w:cstheme="minorHAnsi"/>
          <w:color w:val="2B2B2B"/>
          <w:lang w:eastAsia="en-AU"/>
        </w:rPr>
      </w:pPr>
      <w:r>
        <w:rPr>
          <w:rFonts w:eastAsia="Times New Roman" w:cstheme="minorHAnsi"/>
          <w:color w:val="2B2B2B"/>
          <w:lang w:eastAsia="en-AU"/>
        </w:rPr>
        <w:t>The analysis does not distinguish between currencies</w:t>
      </w:r>
      <w:r w:rsidR="00770218">
        <w:rPr>
          <w:rFonts w:eastAsia="Times New Roman" w:cstheme="minorHAnsi"/>
          <w:color w:val="2B2B2B"/>
          <w:lang w:eastAsia="en-AU"/>
        </w:rPr>
        <w:t xml:space="preserve"> in the values of pledges offered</w:t>
      </w:r>
      <w:r>
        <w:rPr>
          <w:rFonts w:eastAsia="Times New Roman" w:cstheme="minorHAnsi"/>
          <w:color w:val="2B2B2B"/>
          <w:lang w:eastAsia="en-AU"/>
        </w:rPr>
        <w:t xml:space="preserve">, </w:t>
      </w:r>
      <w:r w:rsidR="00770218">
        <w:rPr>
          <w:rFonts w:eastAsia="Times New Roman" w:cstheme="minorHAnsi"/>
          <w:color w:val="2B2B2B"/>
          <w:lang w:eastAsia="en-AU"/>
        </w:rPr>
        <w:t>and there is no conversion into one currency for purposes of comparison</w:t>
      </w:r>
      <w:r>
        <w:rPr>
          <w:rFonts w:eastAsia="Times New Roman" w:cstheme="minorHAnsi"/>
          <w:color w:val="2B2B2B"/>
          <w:lang w:eastAsia="en-AU"/>
        </w:rPr>
        <w:t>. This present</w:t>
      </w:r>
      <w:r w:rsidR="001D0D2E">
        <w:rPr>
          <w:rFonts w:eastAsia="Times New Roman" w:cstheme="minorHAnsi"/>
          <w:color w:val="2B2B2B"/>
          <w:lang w:eastAsia="en-AU"/>
        </w:rPr>
        <w:t>s</w:t>
      </w:r>
      <w:r>
        <w:rPr>
          <w:rFonts w:eastAsia="Times New Roman" w:cstheme="minorHAnsi"/>
          <w:color w:val="2B2B2B"/>
          <w:lang w:eastAsia="en-AU"/>
        </w:rPr>
        <w:t xml:space="preserve"> a </w:t>
      </w:r>
      <w:r w:rsidR="00770218">
        <w:rPr>
          <w:rFonts w:eastAsia="Times New Roman" w:cstheme="minorHAnsi"/>
          <w:color w:val="2B2B2B"/>
          <w:lang w:eastAsia="en-AU"/>
        </w:rPr>
        <w:t>potentially</w:t>
      </w:r>
      <w:r>
        <w:rPr>
          <w:rFonts w:eastAsia="Times New Roman" w:cstheme="minorHAnsi"/>
          <w:color w:val="2B2B2B"/>
          <w:lang w:eastAsia="en-AU"/>
        </w:rPr>
        <w:t xml:space="preserve"> distortion</w:t>
      </w:r>
      <w:r w:rsidR="001D0D2E">
        <w:rPr>
          <w:rFonts w:eastAsia="Times New Roman" w:cstheme="minorHAnsi"/>
          <w:color w:val="2B2B2B"/>
          <w:lang w:eastAsia="en-AU"/>
        </w:rPr>
        <w:t xml:space="preserve"> to any analysis around correlations between values of goals and outcomes.</w:t>
      </w:r>
      <w:r>
        <w:rPr>
          <w:rFonts w:eastAsia="Times New Roman" w:cstheme="minorHAnsi"/>
          <w:color w:val="2B2B2B"/>
          <w:lang w:eastAsia="en-AU"/>
        </w:rPr>
        <w:t xml:space="preserve"> </w:t>
      </w:r>
      <w:r w:rsidR="001D0D2E">
        <w:rPr>
          <w:rFonts w:eastAsia="Times New Roman" w:cstheme="minorHAnsi"/>
          <w:color w:val="2B2B2B"/>
          <w:lang w:eastAsia="en-AU"/>
        </w:rPr>
        <w:t xml:space="preserve">Although the distortion might be less in lower value ranges, the difference between values will have an increasing effect on the higher ranges. </w:t>
      </w:r>
      <w:r w:rsidR="008251ED">
        <w:rPr>
          <w:rFonts w:eastAsia="Times New Roman" w:cstheme="minorHAnsi"/>
          <w:color w:val="2B2B2B"/>
          <w:lang w:eastAsia="en-AU"/>
        </w:rPr>
        <w:t>The</w:t>
      </w:r>
      <w:r w:rsidR="001D0D2E">
        <w:rPr>
          <w:rFonts w:eastAsia="Times New Roman" w:cstheme="minorHAnsi"/>
          <w:color w:val="2B2B2B"/>
          <w:lang w:eastAsia="en-AU"/>
        </w:rPr>
        <w:t xml:space="preserve"> conversion rate between UK </w:t>
      </w:r>
      <w:r w:rsidR="008251ED">
        <w:rPr>
          <w:rFonts w:eastAsia="Times New Roman" w:cstheme="minorHAnsi"/>
          <w:color w:val="2B2B2B"/>
          <w:lang w:eastAsia="en-AU"/>
        </w:rPr>
        <w:t>Stirling</w:t>
      </w:r>
      <w:r w:rsidR="001D0D2E">
        <w:rPr>
          <w:rFonts w:eastAsia="Times New Roman" w:cstheme="minorHAnsi"/>
          <w:color w:val="2B2B2B"/>
          <w:lang w:eastAsia="en-AU"/>
        </w:rPr>
        <w:t xml:space="preserve"> and US dollars would mean that campaigns valued at $15,000 (US) would be </w:t>
      </w:r>
      <w:r w:rsidR="00770218">
        <w:rPr>
          <w:rFonts w:eastAsia="Times New Roman" w:cstheme="minorHAnsi"/>
          <w:color w:val="2B2B2B"/>
          <w:lang w:eastAsia="en-AU"/>
        </w:rPr>
        <w:t xml:space="preserve">misclassified </w:t>
      </w:r>
      <w:r w:rsidR="001D0D2E">
        <w:rPr>
          <w:rFonts w:eastAsia="Times New Roman" w:cstheme="minorHAnsi"/>
          <w:color w:val="2B2B2B"/>
          <w:lang w:eastAsia="en-AU"/>
        </w:rPr>
        <w:t xml:space="preserve">in a higher value group (on the scale </w:t>
      </w:r>
      <w:r w:rsidR="008251ED">
        <w:rPr>
          <w:rFonts w:eastAsia="Times New Roman" w:cstheme="minorHAnsi"/>
          <w:color w:val="2B2B2B"/>
          <w:lang w:eastAsia="en-AU"/>
        </w:rPr>
        <w:t>adopted</w:t>
      </w:r>
      <w:r w:rsidR="001D0D2E">
        <w:rPr>
          <w:rFonts w:eastAsia="Times New Roman" w:cstheme="minorHAnsi"/>
          <w:color w:val="2B2B2B"/>
          <w:lang w:eastAsia="en-AU"/>
        </w:rPr>
        <w:t xml:space="preserve"> in this analysis) than a </w:t>
      </w:r>
      <w:r w:rsidR="008251ED">
        <w:rPr>
          <w:rFonts w:eastAsia="Times New Roman" w:cstheme="minorHAnsi"/>
          <w:color w:val="2B2B2B"/>
          <w:lang w:eastAsia="en-AU"/>
        </w:rPr>
        <w:t xml:space="preserve">UK project </w:t>
      </w:r>
      <w:r w:rsidR="00770218">
        <w:rPr>
          <w:rFonts w:eastAsia="Times New Roman" w:cstheme="minorHAnsi"/>
          <w:color w:val="2B2B2B"/>
          <w:lang w:eastAsia="en-AU"/>
        </w:rPr>
        <w:t>also worth</w:t>
      </w:r>
      <w:r w:rsidR="008251ED">
        <w:rPr>
          <w:rFonts w:eastAsia="Times New Roman" w:cstheme="minorHAnsi"/>
          <w:color w:val="2B2B2B"/>
          <w:lang w:eastAsia="en-AU"/>
        </w:rPr>
        <w:t xml:space="preserve"> $15,000 (US) – roughly £12,600.</w:t>
      </w:r>
    </w:p>
    <w:p w14:paraId="5399C2D7" w14:textId="77777777" w:rsidR="008251ED" w:rsidRPr="00895644" w:rsidRDefault="008251ED" w:rsidP="008251ED">
      <w:pPr>
        <w:pStyle w:val="ListParagraph"/>
        <w:spacing w:before="100" w:beforeAutospacing="1" w:after="120" w:line="360" w:lineRule="atLeast"/>
        <w:ind w:left="1080"/>
        <w:rPr>
          <w:rFonts w:eastAsia="Times New Roman" w:cstheme="minorHAnsi"/>
          <w:color w:val="2B2B2B"/>
          <w:lang w:eastAsia="en-AU"/>
        </w:rPr>
      </w:pPr>
    </w:p>
    <w:p w14:paraId="4C1611B1" w14:textId="23EF0B3C" w:rsidR="008251ED" w:rsidRDefault="00EB3ED9" w:rsidP="008251ED">
      <w:pPr>
        <w:pStyle w:val="ListParagraph"/>
        <w:numPr>
          <w:ilvl w:val="0"/>
          <w:numId w:val="3"/>
        </w:numPr>
        <w:spacing w:before="100" w:beforeAutospacing="1" w:after="120" w:line="360" w:lineRule="atLeast"/>
        <w:rPr>
          <w:rFonts w:eastAsia="Times New Roman" w:cstheme="minorHAnsi"/>
          <w:color w:val="2B2B2B"/>
          <w:lang w:eastAsia="en-AU"/>
        </w:rPr>
      </w:pPr>
      <w:r w:rsidRPr="00895644">
        <w:rPr>
          <w:rFonts w:eastAsia="Times New Roman" w:cstheme="minorHAnsi"/>
          <w:color w:val="2B2B2B"/>
          <w:lang w:eastAsia="en-AU"/>
        </w:rPr>
        <w:t xml:space="preserve">There is a huge </w:t>
      </w:r>
      <w:r w:rsidR="00326F91" w:rsidRPr="00895644">
        <w:rPr>
          <w:rFonts w:eastAsia="Times New Roman" w:cstheme="minorHAnsi"/>
          <w:color w:val="2B2B2B"/>
          <w:lang w:eastAsia="en-AU"/>
        </w:rPr>
        <w:t>variance in the number of projects by category</w:t>
      </w:r>
      <w:r w:rsidR="00874BD6" w:rsidRPr="00895644">
        <w:rPr>
          <w:rFonts w:eastAsia="Times New Roman" w:cstheme="minorHAnsi"/>
          <w:color w:val="2B2B2B"/>
          <w:lang w:eastAsia="en-AU"/>
        </w:rPr>
        <w:t xml:space="preserve">. Excluding the categories that address the performing arts, the number of projects within other categories are </w:t>
      </w:r>
      <w:r w:rsidR="00770218">
        <w:rPr>
          <w:rFonts w:eastAsia="Times New Roman" w:cstheme="minorHAnsi"/>
          <w:color w:val="2B2B2B"/>
          <w:lang w:eastAsia="en-AU"/>
        </w:rPr>
        <w:t>considerably</w:t>
      </w:r>
      <w:r w:rsidR="00040645" w:rsidRPr="00895644">
        <w:rPr>
          <w:rFonts w:eastAsia="Times New Roman" w:cstheme="minorHAnsi"/>
          <w:color w:val="2B2B2B"/>
          <w:lang w:eastAsia="en-AU"/>
        </w:rPr>
        <w:t xml:space="preserve"> </w:t>
      </w:r>
      <w:r w:rsidR="00874BD6" w:rsidRPr="00895644">
        <w:rPr>
          <w:rFonts w:eastAsia="Times New Roman" w:cstheme="minorHAnsi"/>
          <w:color w:val="2B2B2B"/>
          <w:lang w:eastAsia="en-AU"/>
        </w:rPr>
        <w:t>small</w:t>
      </w:r>
      <w:r w:rsidR="00040645" w:rsidRPr="00895644">
        <w:rPr>
          <w:rFonts w:eastAsia="Times New Roman" w:cstheme="minorHAnsi"/>
          <w:color w:val="2B2B2B"/>
          <w:lang w:eastAsia="en-AU"/>
        </w:rPr>
        <w:t>er</w:t>
      </w:r>
      <w:r w:rsidR="00874BD6" w:rsidRPr="00895644">
        <w:rPr>
          <w:rFonts w:eastAsia="Times New Roman" w:cstheme="minorHAnsi"/>
          <w:color w:val="2B2B2B"/>
          <w:lang w:eastAsia="en-AU"/>
        </w:rPr>
        <w:t xml:space="preserve">.  Journalism </w:t>
      </w:r>
      <w:r w:rsidR="00C258D0" w:rsidRPr="00895644">
        <w:rPr>
          <w:rFonts w:eastAsia="Times New Roman" w:cstheme="minorHAnsi"/>
          <w:color w:val="2B2B2B"/>
          <w:lang w:eastAsia="en-AU"/>
        </w:rPr>
        <w:t>has</w:t>
      </w:r>
      <w:r w:rsidR="00874BD6" w:rsidRPr="00895644">
        <w:rPr>
          <w:rFonts w:eastAsia="Times New Roman" w:cstheme="minorHAnsi"/>
          <w:color w:val="2B2B2B"/>
          <w:lang w:eastAsia="en-AU"/>
        </w:rPr>
        <w:t xml:space="preserve"> a 100% </w:t>
      </w:r>
      <w:r w:rsidR="00C258D0" w:rsidRPr="00895644">
        <w:rPr>
          <w:rFonts w:eastAsia="Times New Roman" w:cstheme="minorHAnsi"/>
          <w:color w:val="2B2B2B"/>
          <w:lang w:eastAsia="en-AU"/>
        </w:rPr>
        <w:t xml:space="preserve">success rate, but there are only four projects, meaning that no conclusions can be drawn. </w:t>
      </w:r>
      <w:r w:rsidR="00973B2A" w:rsidRPr="00895644">
        <w:rPr>
          <w:rFonts w:eastAsia="Times New Roman" w:cstheme="minorHAnsi"/>
          <w:color w:val="2B2B2B"/>
          <w:lang w:eastAsia="en-AU"/>
        </w:rPr>
        <w:t>If we take the number of projects desirable to allow meaningful analysis as 50</w:t>
      </w:r>
      <w:r w:rsidR="00040645" w:rsidRPr="00895644">
        <w:rPr>
          <w:rFonts w:eastAsia="Times New Roman" w:cstheme="minorHAnsi"/>
          <w:color w:val="2B2B2B"/>
          <w:lang w:eastAsia="en-AU"/>
        </w:rPr>
        <w:t xml:space="preserve"> (albeit an arbitrary threshold)</w:t>
      </w:r>
      <w:r w:rsidR="00973B2A" w:rsidRPr="00895644">
        <w:rPr>
          <w:rFonts w:eastAsia="Times New Roman" w:cstheme="minorHAnsi"/>
          <w:color w:val="2B2B2B"/>
          <w:lang w:eastAsia="en-AU"/>
        </w:rPr>
        <w:t>, then only four of the</w:t>
      </w:r>
      <w:r w:rsidR="00770218">
        <w:rPr>
          <w:rFonts w:eastAsia="Times New Roman" w:cstheme="minorHAnsi"/>
          <w:color w:val="2B2B2B"/>
          <w:lang w:eastAsia="en-AU"/>
        </w:rPr>
        <w:t xml:space="preserve"> nine</w:t>
      </w:r>
      <w:r w:rsidR="00973B2A" w:rsidRPr="00895644">
        <w:rPr>
          <w:rFonts w:eastAsia="Times New Roman" w:cstheme="minorHAnsi"/>
          <w:color w:val="2B2B2B"/>
          <w:lang w:eastAsia="en-AU"/>
        </w:rPr>
        <w:t xml:space="preserve"> categories qualify. </w:t>
      </w:r>
    </w:p>
    <w:p w14:paraId="7433A6CD" w14:textId="77777777" w:rsidR="008251ED" w:rsidRPr="008251ED" w:rsidRDefault="008251ED" w:rsidP="008251ED">
      <w:pPr>
        <w:pStyle w:val="ListParagraph"/>
        <w:rPr>
          <w:rFonts w:eastAsia="Times New Roman" w:cstheme="minorHAnsi"/>
          <w:color w:val="2B2B2B"/>
          <w:lang w:eastAsia="en-AU"/>
        </w:rPr>
      </w:pPr>
    </w:p>
    <w:p w14:paraId="761A90D8" w14:textId="77777777" w:rsidR="008251ED" w:rsidRPr="008251ED" w:rsidRDefault="008251ED" w:rsidP="008251ED">
      <w:pPr>
        <w:pStyle w:val="ListParagraph"/>
        <w:spacing w:before="100" w:beforeAutospacing="1" w:after="120" w:line="360" w:lineRule="atLeast"/>
        <w:ind w:left="1080"/>
        <w:rPr>
          <w:rFonts w:eastAsia="Times New Roman" w:cstheme="minorHAnsi"/>
          <w:color w:val="2B2B2B"/>
          <w:lang w:eastAsia="en-AU"/>
        </w:rPr>
      </w:pPr>
    </w:p>
    <w:p w14:paraId="31296A7A" w14:textId="2F3F4B55" w:rsidR="00326F91" w:rsidRDefault="00C258D0" w:rsidP="00895644">
      <w:pPr>
        <w:pStyle w:val="ListParagraph"/>
        <w:numPr>
          <w:ilvl w:val="0"/>
          <w:numId w:val="3"/>
        </w:numPr>
        <w:spacing w:before="100" w:beforeAutospacing="1" w:after="120" w:line="360" w:lineRule="atLeast"/>
        <w:rPr>
          <w:rFonts w:eastAsia="Times New Roman" w:cstheme="minorHAnsi"/>
          <w:color w:val="2B2B2B"/>
          <w:lang w:eastAsia="en-AU"/>
        </w:rPr>
      </w:pPr>
      <w:r w:rsidRPr="00895644">
        <w:rPr>
          <w:rFonts w:eastAsia="Times New Roman" w:cstheme="minorHAnsi"/>
          <w:color w:val="2B2B2B"/>
          <w:lang w:eastAsia="en-AU"/>
        </w:rPr>
        <w:t>When the categories are broken down into subcategories, then the issue is even more prevalent</w:t>
      </w:r>
      <w:r w:rsidR="00973B2A" w:rsidRPr="00895644">
        <w:rPr>
          <w:rFonts w:eastAsia="Times New Roman" w:cstheme="minorHAnsi"/>
          <w:color w:val="2B2B2B"/>
          <w:lang w:eastAsia="en-AU"/>
        </w:rPr>
        <w:t xml:space="preserve">, and most </w:t>
      </w:r>
      <w:r w:rsidR="00040645" w:rsidRPr="00895644">
        <w:rPr>
          <w:rFonts w:eastAsia="Times New Roman" w:cstheme="minorHAnsi"/>
          <w:color w:val="2B2B2B"/>
          <w:lang w:eastAsia="en-AU"/>
        </w:rPr>
        <w:t>subgroups</w:t>
      </w:r>
      <w:r w:rsidR="00973B2A" w:rsidRPr="00895644">
        <w:rPr>
          <w:rFonts w:eastAsia="Times New Roman" w:cstheme="minorHAnsi"/>
          <w:color w:val="2B2B2B"/>
          <w:lang w:eastAsia="en-AU"/>
        </w:rPr>
        <w:t xml:space="preserve"> give too small a sample of projects to provide meaningful analysis. The only subcategories with samples of greater than 50 projects are Plays (synonymous with its parent category</w:t>
      </w:r>
      <w:r w:rsidR="00770218">
        <w:rPr>
          <w:rFonts w:eastAsia="Times New Roman" w:cstheme="minorHAnsi"/>
          <w:color w:val="2B2B2B"/>
          <w:lang w:eastAsia="en-AU"/>
        </w:rPr>
        <w:t xml:space="preserve"> ‘</w:t>
      </w:r>
      <w:r w:rsidR="00973B2A" w:rsidRPr="00895644">
        <w:rPr>
          <w:rFonts w:eastAsia="Times New Roman" w:cstheme="minorHAnsi"/>
          <w:color w:val="2B2B2B"/>
          <w:lang w:eastAsia="en-AU"/>
        </w:rPr>
        <w:t>Theatre</w:t>
      </w:r>
      <w:r w:rsidR="00770218">
        <w:rPr>
          <w:rFonts w:eastAsia="Times New Roman" w:cstheme="minorHAnsi"/>
          <w:color w:val="2B2B2B"/>
          <w:lang w:eastAsia="en-AU"/>
        </w:rPr>
        <w:t>’</w:t>
      </w:r>
      <w:r w:rsidR="00973B2A" w:rsidRPr="00895644">
        <w:rPr>
          <w:rFonts w:eastAsia="Times New Roman" w:cstheme="minorHAnsi"/>
          <w:color w:val="2B2B2B"/>
          <w:lang w:eastAsia="en-AU"/>
        </w:rPr>
        <w:t>), Rock, Documentary and Web. A</w:t>
      </w:r>
      <w:r w:rsidRPr="00895644">
        <w:rPr>
          <w:rFonts w:eastAsia="Times New Roman" w:cstheme="minorHAnsi"/>
          <w:color w:val="2B2B2B"/>
          <w:lang w:eastAsia="en-AU"/>
        </w:rPr>
        <w:t xml:space="preserve"> larger dataset would be needed to </w:t>
      </w:r>
      <w:r w:rsidR="00770218">
        <w:rPr>
          <w:rFonts w:eastAsia="Times New Roman" w:cstheme="minorHAnsi"/>
          <w:color w:val="2B2B2B"/>
          <w:lang w:eastAsia="en-AU"/>
        </w:rPr>
        <w:t>drill down meaningfully into subcategories.</w:t>
      </w:r>
      <w:r w:rsidR="00973B2A" w:rsidRPr="00895644">
        <w:rPr>
          <w:rFonts w:eastAsia="Times New Roman" w:cstheme="minorHAnsi"/>
          <w:color w:val="2B2B2B"/>
          <w:lang w:eastAsia="en-AU"/>
        </w:rPr>
        <w:t xml:space="preserve"> </w:t>
      </w:r>
      <w:r w:rsidR="00770218" w:rsidRPr="00895644">
        <w:rPr>
          <w:rFonts w:eastAsia="Times New Roman" w:cstheme="minorHAnsi"/>
          <w:color w:val="2B2B2B"/>
          <w:lang w:eastAsia="en-AU"/>
        </w:rPr>
        <w:t>S</w:t>
      </w:r>
      <w:r w:rsidR="00973B2A" w:rsidRPr="00895644">
        <w:rPr>
          <w:rFonts w:eastAsia="Times New Roman" w:cstheme="minorHAnsi"/>
          <w:color w:val="2B2B2B"/>
          <w:lang w:eastAsia="en-AU"/>
        </w:rPr>
        <w:t>ubcategories</w:t>
      </w:r>
    </w:p>
    <w:p w14:paraId="27DB371E" w14:textId="77777777" w:rsidR="00770218" w:rsidRPr="00770218" w:rsidRDefault="00770218" w:rsidP="00770218">
      <w:pPr>
        <w:spacing w:before="100" w:beforeAutospacing="1" w:after="120" w:line="360" w:lineRule="atLeast"/>
        <w:rPr>
          <w:rFonts w:eastAsia="Times New Roman" w:cstheme="minorHAnsi"/>
          <w:color w:val="2B2B2B"/>
          <w:lang w:eastAsia="en-AU"/>
        </w:rPr>
      </w:pPr>
    </w:p>
    <w:p w14:paraId="6CA2D6CF" w14:textId="6019AA21" w:rsidR="00C728F9" w:rsidRPr="00D73264" w:rsidRDefault="00C728F9" w:rsidP="00C728F9">
      <w:pPr>
        <w:numPr>
          <w:ilvl w:val="0"/>
          <w:numId w:val="1"/>
        </w:numPr>
        <w:spacing w:before="100" w:beforeAutospacing="1" w:after="100" w:afterAutospacing="1" w:line="360" w:lineRule="atLeast"/>
        <w:rPr>
          <w:rFonts w:eastAsia="Times New Roman" w:cstheme="minorHAnsi"/>
          <w:b/>
          <w:bCs/>
          <w:color w:val="2B2B2B"/>
          <w:lang w:eastAsia="en-AU"/>
        </w:rPr>
      </w:pPr>
      <w:r w:rsidRPr="00D73264">
        <w:rPr>
          <w:rFonts w:eastAsia="Times New Roman" w:cstheme="minorHAnsi"/>
          <w:b/>
          <w:bCs/>
          <w:color w:val="2B2B2B"/>
          <w:lang w:eastAsia="en-AU"/>
        </w:rPr>
        <w:t>What are some other possible tables and/or graphs that we could create, and what additional value would they provide?</w:t>
      </w:r>
    </w:p>
    <w:p w14:paraId="0CCEA392" w14:textId="7C639ACA" w:rsidR="006050B2" w:rsidRDefault="00326F91" w:rsidP="00D73264">
      <w:pPr>
        <w:numPr>
          <w:ilvl w:val="1"/>
          <w:numId w:val="4"/>
        </w:numPr>
        <w:spacing w:before="100" w:beforeAutospacing="1" w:after="100" w:afterAutospacing="1" w:line="360" w:lineRule="atLeast"/>
        <w:rPr>
          <w:rFonts w:eastAsia="Times New Roman" w:cstheme="minorHAnsi"/>
          <w:color w:val="2B2B2B"/>
          <w:lang w:eastAsia="en-AU"/>
        </w:rPr>
      </w:pPr>
      <w:r>
        <w:rPr>
          <w:rFonts w:eastAsia="Times New Roman" w:cstheme="minorHAnsi"/>
          <w:color w:val="2B2B2B"/>
          <w:lang w:eastAsia="en-AU"/>
        </w:rPr>
        <w:t xml:space="preserve">A table </w:t>
      </w:r>
      <w:r w:rsidR="00B747A2">
        <w:rPr>
          <w:rFonts w:eastAsia="Times New Roman" w:cstheme="minorHAnsi"/>
          <w:color w:val="2B2B2B"/>
          <w:lang w:eastAsia="en-AU"/>
        </w:rPr>
        <w:t xml:space="preserve">and graph </w:t>
      </w:r>
      <w:r>
        <w:rPr>
          <w:rFonts w:eastAsia="Times New Roman" w:cstheme="minorHAnsi"/>
          <w:color w:val="2B2B2B"/>
          <w:lang w:eastAsia="en-AU"/>
        </w:rPr>
        <w:t xml:space="preserve">showing the range of </w:t>
      </w:r>
      <w:r w:rsidR="00B747A2">
        <w:rPr>
          <w:rFonts w:eastAsia="Times New Roman" w:cstheme="minorHAnsi"/>
          <w:color w:val="2B2B2B"/>
          <w:lang w:eastAsia="en-AU"/>
        </w:rPr>
        <w:t xml:space="preserve">average </w:t>
      </w:r>
      <w:r w:rsidR="008251ED">
        <w:rPr>
          <w:rFonts w:eastAsia="Times New Roman" w:cstheme="minorHAnsi"/>
          <w:color w:val="2B2B2B"/>
          <w:lang w:eastAsia="en-AU"/>
        </w:rPr>
        <w:t>pledges</w:t>
      </w:r>
      <w:r>
        <w:rPr>
          <w:rFonts w:eastAsia="Times New Roman" w:cstheme="minorHAnsi"/>
          <w:color w:val="2B2B2B"/>
          <w:lang w:eastAsia="en-AU"/>
        </w:rPr>
        <w:t xml:space="preserve"> </w:t>
      </w:r>
      <w:r w:rsidR="00770218">
        <w:rPr>
          <w:rFonts w:eastAsia="Times New Roman" w:cstheme="minorHAnsi"/>
          <w:color w:val="2B2B2B"/>
          <w:lang w:eastAsia="en-AU"/>
        </w:rPr>
        <w:t>per</w:t>
      </w:r>
      <w:r>
        <w:rPr>
          <w:rFonts w:eastAsia="Times New Roman" w:cstheme="minorHAnsi"/>
          <w:color w:val="2B2B2B"/>
          <w:lang w:eastAsia="en-AU"/>
        </w:rPr>
        <w:t xml:space="preserve"> backer</w:t>
      </w:r>
      <w:r w:rsidR="00B747A2">
        <w:rPr>
          <w:rFonts w:eastAsia="Times New Roman" w:cstheme="minorHAnsi"/>
          <w:color w:val="2B2B2B"/>
          <w:lang w:eastAsia="en-AU"/>
        </w:rPr>
        <w:t xml:space="preserve">, and potentially by category. </w:t>
      </w:r>
      <w:r w:rsidR="00770218">
        <w:rPr>
          <w:rFonts w:eastAsia="Times New Roman" w:cstheme="minorHAnsi"/>
          <w:color w:val="2B2B2B"/>
          <w:lang w:eastAsia="en-AU"/>
        </w:rPr>
        <w:t>An idea about the</w:t>
      </w:r>
      <w:r w:rsidR="008251ED">
        <w:rPr>
          <w:rFonts w:eastAsia="Times New Roman" w:cstheme="minorHAnsi"/>
          <w:color w:val="2B2B2B"/>
          <w:lang w:eastAsia="en-AU"/>
        </w:rPr>
        <w:t xml:space="preserve"> range of what people </w:t>
      </w:r>
      <w:proofErr w:type="gramStart"/>
      <w:r w:rsidR="008251ED">
        <w:rPr>
          <w:rFonts w:eastAsia="Times New Roman" w:cstheme="minorHAnsi"/>
          <w:color w:val="2B2B2B"/>
          <w:lang w:eastAsia="en-AU"/>
        </w:rPr>
        <w:t>are</w:t>
      </w:r>
      <w:proofErr w:type="gramEnd"/>
      <w:r w:rsidR="008251ED">
        <w:rPr>
          <w:rFonts w:eastAsia="Times New Roman" w:cstheme="minorHAnsi"/>
          <w:color w:val="2B2B2B"/>
          <w:lang w:eastAsia="en-AU"/>
        </w:rPr>
        <w:t xml:space="preserve"> likely to contribute would inform </w:t>
      </w:r>
      <w:r w:rsidR="008251ED">
        <w:rPr>
          <w:rFonts w:eastAsia="Times New Roman" w:cstheme="minorHAnsi"/>
          <w:color w:val="2B2B2B"/>
          <w:lang w:eastAsia="en-AU"/>
        </w:rPr>
        <w:lastRenderedPageBreak/>
        <w:t xml:space="preserve">us as to whether </w:t>
      </w:r>
      <w:r w:rsidR="006050B2">
        <w:rPr>
          <w:rFonts w:eastAsia="Times New Roman" w:cstheme="minorHAnsi"/>
          <w:color w:val="2B2B2B"/>
          <w:lang w:eastAsia="en-AU"/>
        </w:rPr>
        <w:t xml:space="preserve">certain </w:t>
      </w:r>
      <w:r w:rsidR="00770218">
        <w:rPr>
          <w:rFonts w:eastAsia="Times New Roman" w:cstheme="minorHAnsi"/>
          <w:color w:val="2B2B2B"/>
          <w:lang w:eastAsia="en-AU"/>
        </w:rPr>
        <w:t xml:space="preserve">categories of </w:t>
      </w:r>
      <w:r w:rsidR="006050B2">
        <w:rPr>
          <w:rFonts w:eastAsia="Times New Roman" w:cstheme="minorHAnsi"/>
          <w:color w:val="2B2B2B"/>
          <w:lang w:eastAsia="en-AU"/>
        </w:rPr>
        <w:t xml:space="preserve">project </w:t>
      </w:r>
      <w:r w:rsidR="00770218">
        <w:rPr>
          <w:rFonts w:eastAsia="Times New Roman" w:cstheme="minorHAnsi"/>
          <w:color w:val="2B2B2B"/>
          <w:lang w:eastAsia="en-AU"/>
        </w:rPr>
        <w:t>attract</w:t>
      </w:r>
      <w:r w:rsidR="006050B2">
        <w:rPr>
          <w:rFonts w:eastAsia="Times New Roman" w:cstheme="minorHAnsi"/>
          <w:color w:val="2B2B2B"/>
          <w:lang w:eastAsia="en-AU"/>
        </w:rPr>
        <w:t xml:space="preserve"> higher pledges compared to others. If this were the case then additional research could be undertaken as to whether certain categories appeal to wealthier social groups, whether projects are gaining higher pledges because they appeal to a devoted audience </w:t>
      </w:r>
      <w:r w:rsidR="00770218">
        <w:rPr>
          <w:rFonts w:eastAsia="Times New Roman" w:cstheme="minorHAnsi"/>
          <w:color w:val="2B2B2B"/>
          <w:lang w:eastAsia="en-AU"/>
        </w:rPr>
        <w:t>or have</w:t>
      </w:r>
      <w:r w:rsidR="006050B2">
        <w:rPr>
          <w:rFonts w:eastAsia="Times New Roman" w:cstheme="minorHAnsi"/>
          <w:color w:val="2B2B2B"/>
          <w:lang w:eastAsia="en-AU"/>
        </w:rPr>
        <w:t xml:space="preserve"> </w:t>
      </w:r>
      <w:r w:rsidR="00770218">
        <w:rPr>
          <w:rFonts w:eastAsia="Times New Roman" w:cstheme="minorHAnsi"/>
          <w:color w:val="2B2B2B"/>
          <w:lang w:eastAsia="en-AU"/>
        </w:rPr>
        <w:t xml:space="preserve">easy </w:t>
      </w:r>
      <w:r w:rsidR="00045FDD">
        <w:rPr>
          <w:rFonts w:eastAsia="Times New Roman" w:cstheme="minorHAnsi"/>
          <w:color w:val="2B2B2B"/>
          <w:lang w:eastAsia="en-AU"/>
        </w:rPr>
        <w:t>access likely backers</w:t>
      </w:r>
      <w:r w:rsidR="00770218">
        <w:rPr>
          <w:rFonts w:eastAsia="Times New Roman" w:cstheme="minorHAnsi"/>
          <w:color w:val="2B2B2B"/>
          <w:lang w:eastAsia="en-AU"/>
        </w:rPr>
        <w:t xml:space="preserve"> </w:t>
      </w:r>
      <w:r w:rsidR="006050B2">
        <w:rPr>
          <w:rFonts w:eastAsia="Times New Roman" w:cstheme="minorHAnsi"/>
          <w:color w:val="2B2B2B"/>
          <w:lang w:eastAsia="en-AU"/>
        </w:rPr>
        <w:t xml:space="preserve">(such as a podcast appealing to its listeners </w:t>
      </w:r>
      <w:r w:rsidR="00770218">
        <w:rPr>
          <w:rFonts w:eastAsia="Times New Roman" w:cstheme="minorHAnsi"/>
          <w:color w:val="2B2B2B"/>
          <w:lang w:eastAsia="en-AU"/>
        </w:rPr>
        <w:t>to pledge</w:t>
      </w:r>
      <w:r w:rsidR="006050B2">
        <w:rPr>
          <w:rFonts w:eastAsia="Times New Roman" w:cstheme="minorHAnsi"/>
          <w:color w:val="2B2B2B"/>
          <w:lang w:eastAsia="en-AU"/>
        </w:rPr>
        <w:t xml:space="preserve">). </w:t>
      </w:r>
    </w:p>
    <w:p w14:paraId="44D0F452" w14:textId="0CE133C9" w:rsidR="00B747A2" w:rsidRPr="006050B2" w:rsidRDefault="006050B2" w:rsidP="006050B2">
      <w:pPr>
        <w:spacing w:before="100" w:beforeAutospacing="1" w:after="100" w:afterAutospacing="1" w:line="360" w:lineRule="atLeast"/>
        <w:ind w:left="1080"/>
        <w:rPr>
          <w:rFonts w:eastAsia="Times New Roman" w:cstheme="minorHAnsi"/>
          <w:color w:val="2B2B2B"/>
          <w:lang w:eastAsia="en-AU"/>
        </w:rPr>
      </w:pPr>
      <w:r w:rsidRPr="006050B2">
        <w:rPr>
          <w:rFonts w:eastAsia="Times New Roman" w:cstheme="minorHAnsi"/>
          <w:color w:val="2B2B2B"/>
          <w:lang w:eastAsia="en-AU"/>
        </w:rPr>
        <w:t>Knowing the typical size of pledge by category would also enable a potential project to evaluate how many backers it is likely to need</w:t>
      </w:r>
      <w:r w:rsidR="00045FDD">
        <w:rPr>
          <w:rFonts w:eastAsia="Times New Roman" w:cstheme="minorHAnsi"/>
          <w:color w:val="2B2B2B"/>
          <w:lang w:eastAsia="en-AU"/>
        </w:rPr>
        <w:t xml:space="preserve"> to achieve success and what resources it would need to dedicate to achieve success.</w:t>
      </w:r>
    </w:p>
    <w:p w14:paraId="5E492CC9" w14:textId="5CE65447" w:rsidR="001B7244" w:rsidRDefault="00045FDD" w:rsidP="00D73264">
      <w:pPr>
        <w:numPr>
          <w:ilvl w:val="1"/>
          <w:numId w:val="5"/>
        </w:numPr>
        <w:spacing w:before="100" w:beforeAutospacing="1" w:after="100" w:afterAutospacing="1" w:line="360" w:lineRule="atLeast"/>
      </w:pPr>
      <w:r>
        <w:rPr>
          <w:rFonts w:eastAsia="Times New Roman" w:cstheme="minorHAnsi"/>
          <w:color w:val="2B2B2B"/>
          <w:lang w:eastAsia="en-AU"/>
        </w:rPr>
        <w:t>W</w:t>
      </w:r>
      <w:r w:rsidR="00B747A2" w:rsidRPr="00B747A2">
        <w:rPr>
          <w:rFonts w:eastAsia="Times New Roman" w:cstheme="minorHAnsi"/>
          <w:color w:val="2B2B2B"/>
          <w:lang w:eastAsia="en-AU"/>
        </w:rPr>
        <w:t xml:space="preserve">hether there is a correlation between success and the </w:t>
      </w:r>
      <w:r>
        <w:rPr>
          <w:rFonts w:eastAsia="Times New Roman" w:cstheme="minorHAnsi"/>
          <w:color w:val="2B2B2B"/>
          <w:lang w:eastAsia="en-AU"/>
        </w:rPr>
        <w:t>duration of a campaign</w:t>
      </w:r>
      <w:r w:rsidR="00B747A2" w:rsidRPr="00B747A2">
        <w:rPr>
          <w:rFonts w:eastAsia="Times New Roman" w:cstheme="minorHAnsi"/>
          <w:color w:val="2B2B2B"/>
          <w:lang w:eastAsia="en-AU"/>
        </w:rPr>
        <w:t xml:space="preserve">. </w:t>
      </w:r>
      <w:r>
        <w:rPr>
          <w:rFonts w:eastAsia="Times New Roman" w:cstheme="minorHAnsi"/>
          <w:color w:val="2B2B2B"/>
          <w:lang w:eastAsia="en-AU"/>
        </w:rPr>
        <w:t>W</w:t>
      </w:r>
      <w:r w:rsidR="006050B2">
        <w:rPr>
          <w:rFonts w:eastAsia="Times New Roman" w:cstheme="minorHAnsi"/>
          <w:color w:val="2B2B2B"/>
          <w:lang w:eastAsia="en-AU"/>
        </w:rPr>
        <w:t xml:space="preserve">e could evaluate whether most successful campaigns reach their target </w:t>
      </w:r>
      <w:r>
        <w:rPr>
          <w:rFonts w:eastAsia="Times New Roman" w:cstheme="minorHAnsi"/>
          <w:color w:val="2B2B2B"/>
          <w:lang w:eastAsia="en-AU"/>
        </w:rPr>
        <w:t>over</w:t>
      </w:r>
      <w:r w:rsidR="006050B2">
        <w:rPr>
          <w:rFonts w:eastAsia="Times New Roman" w:cstheme="minorHAnsi"/>
          <w:color w:val="2B2B2B"/>
          <w:lang w:eastAsia="en-AU"/>
        </w:rPr>
        <w:t xml:space="preserve"> a shorter or longer space of time. This could mean that campaigns seeking funding</w:t>
      </w:r>
      <w:r w:rsidR="00D72ED0">
        <w:rPr>
          <w:rFonts w:eastAsia="Times New Roman" w:cstheme="minorHAnsi"/>
          <w:color w:val="2B2B2B"/>
          <w:lang w:eastAsia="en-AU"/>
        </w:rPr>
        <w:t xml:space="preserve"> will know the most critical period to promote their campaign</w:t>
      </w:r>
      <w:r>
        <w:rPr>
          <w:rFonts w:eastAsia="Times New Roman" w:cstheme="minorHAnsi"/>
          <w:color w:val="2B2B2B"/>
          <w:lang w:eastAsia="en-AU"/>
        </w:rPr>
        <w:t>s</w:t>
      </w:r>
      <w:r w:rsidR="00D72ED0">
        <w:rPr>
          <w:rFonts w:eastAsia="Times New Roman" w:cstheme="minorHAnsi"/>
          <w:color w:val="2B2B2B"/>
          <w:lang w:eastAsia="en-AU"/>
        </w:rPr>
        <w:t xml:space="preserve">, and how long a campaign should run before the risk of failure outweighs </w:t>
      </w:r>
      <w:r>
        <w:rPr>
          <w:rFonts w:eastAsia="Times New Roman" w:cstheme="minorHAnsi"/>
          <w:color w:val="2B2B2B"/>
          <w:lang w:eastAsia="en-AU"/>
        </w:rPr>
        <w:t>the cost of continued promotion.</w:t>
      </w:r>
      <w:r w:rsidR="006050B2">
        <w:rPr>
          <w:rFonts w:eastAsia="Times New Roman" w:cstheme="minorHAnsi"/>
          <w:color w:val="2B2B2B"/>
          <w:lang w:eastAsia="en-AU"/>
        </w:rPr>
        <w:t xml:space="preserve"> </w:t>
      </w:r>
    </w:p>
    <w:sectPr w:rsidR="001B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6F3"/>
    <w:multiLevelType w:val="multilevel"/>
    <w:tmpl w:val="2C9244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80A3594"/>
    <w:multiLevelType w:val="hybridMultilevel"/>
    <w:tmpl w:val="7674C2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5022CA8"/>
    <w:multiLevelType w:val="hybridMultilevel"/>
    <w:tmpl w:val="69509C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6EC021B"/>
    <w:multiLevelType w:val="multilevel"/>
    <w:tmpl w:val="F424BB3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E4C08F9"/>
    <w:multiLevelType w:val="hybridMultilevel"/>
    <w:tmpl w:val="B2641B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42D12E2"/>
    <w:multiLevelType w:val="multilevel"/>
    <w:tmpl w:val="F424BB3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44"/>
    <w:rsid w:val="00026991"/>
    <w:rsid w:val="00040645"/>
    <w:rsid w:val="00045FDD"/>
    <w:rsid w:val="000711C7"/>
    <w:rsid w:val="001B7244"/>
    <w:rsid w:val="001D0D2E"/>
    <w:rsid w:val="00326616"/>
    <w:rsid w:val="00326F91"/>
    <w:rsid w:val="0036216F"/>
    <w:rsid w:val="003F5705"/>
    <w:rsid w:val="00474BC5"/>
    <w:rsid w:val="006050B2"/>
    <w:rsid w:val="00607496"/>
    <w:rsid w:val="00610487"/>
    <w:rsid w:val="00631A61"/>
    <w:rsid w:val="006E068C"/>
    <w:rsid w:val="006F6EAD"/>
    <w:rsid w:val="00742B4F"/>
    <w:rsid w:val="00763361"/>
    <w:rsid w:val="00770218"/>
    <w:rsid w:val="007C63CA"/>
    <w:rsid w:val="008251ED"/>
    <w:rsid w:val="008463AA"/>
    <w:rsid w:val="00860766"/>
    <w:rsid w:val="00874BD6"/>
    <w:rsid w:val="00885289"/>
    <w:rsid w:val="00895644"/>
    <w:rsid w:val="009347D0"/>
    <w:rsid w:val="009618DE"/>
    <w:rsid w:val="00970C1D"/>
    <w:rsid w:val="00973B2A"/>
    <w:rsid w:val="009A2BFE"/>
    <w:rsid w:val="009F3C7C"/>
    <w:rsid w:val="00B71A41"/>
    <w:rsid w:val="00B747A2"/>
    <w:rsid w:val="00B925D2"/>
    <w:rsid w:val="00BB3DF3"/>
    <w:rsid w:val="00C258D0"/>
    <w:rsid w:val="00C728F9"/>
    <w:rsid w:val="00D72ED0"/>
    <w:rsid w:val="00D73264"/>
    <w:rsid w:val="00D80699"/>
    <w:rsid w:val="00DC284D"/>
    <w:rsid w:val="00E1435F"/>
    <w:rsid w:val="00EB3E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CD01"/>
  <w15:chartTrackingRefBased/>
  <w15:docId w15:val="{833A5D7E-5724-47CD-9B37-58FF53F3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0608">
      <w:bodyDiv w:val="1"/>
      <w:marLeft w:val="0"/>
      <w:marRight w:val="0"/>
      <w:marTop w:val="0"/>
      <w:marBottom w:val="0"/>
      <w:divBdr>
        <w:top w:val="none" w:sz="0" w:space="0" w:color="auto"/>
        <w:left w:val="none" w:sz="0" w:space="0" w:color="auto"/>
        <w:bottom w:val="none" w:sz="0" w:space="0" w:color="auto"/>
        <w:right w:val="none" w:sz="0" w:space="0" w:color="auto"/>
      </w:divBdr>
    </w:div>
    <w:div w:id="110233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E3D67A9754340BD00D7B8B0608089" ma:contentTypeVersion="7" ma:contentTypeDescription="Create a new document." ma:contentTypeScope="" ma:versionID="79614e1f65055732151471a35ea19989">
  <xsd:schema xmlns:xsd="http://www.w3.org/2001/XMLSchema" xmlns:xs="http://www.w3.org/2001/XMLSchema" xmlns:p="http://schemas.microsoft.com/office/2006/metadata/properties" xmlns:ns3="7676479a-69cd-4760-a5bf-23fde81a7590" xmlns:ns4="5af852b7-17e5-4779-9473-cc7920b05e40" targetNamespace="http://schemas.microsoft.com/office/2006/metadata/properties" ma:root="true" ma:fieldsID="ee7f4ca1ba425d24337dde7aeae2365d" ns3:_="" ns4:_="">
    <xsd:import namespace="7676479a-69cd-4760-a5bf-23fde81a7590"/>
    <xsd:import namespace="5af852b7-17e5-4779-9473-cc7920b05e4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6479a-69cd-4760-a5bf-23fde81a75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852b7-17e5-4779-9473-cc7920b05e4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74987-ADE7-4D7B-8E89-D6AEA7501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6479a-69cd-4760-a5bf-23fde81a7590"/>
    <ds:schemaRef ds:uri="5af852b7-17e5-4779-9473-cc7920b05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62EE38-135F-4308-93A2-C693262F67D3}">
  <ds:schemaRefs>
    <ds:schemaRef ds:uri="http://schemas.microsoft.com/sharepoint/v3/contenttype/forms"/>
  </ds:schemaRefs>
</ds:datastoreItem>
</file>

<file path=customXml/itemProps3.xml><?xml version="1.0" encoding="utf-8"?>
<ds:datastoreItem xmlns:ds="http://schemas.openxmlformats.org/officeDocument/2006/customXml" ds:itemID="{181186B1-77E9-4962-B5A4-16B69F21D1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Thornton</dc:creator>
  <cp:keywords/>
  <dc:description/>
  <cp:lastModifiedBy>Richard Thornton</cp:lastModifiedBy>
  <cp:revision>2</cp:revision>
  <dcterms:created xsi:type="dcterms:W3CDTF">2023-03-26T11:51:00Z</dcterms:created>
  <dcterms:modified xsi:type="dcterms:W3CDTF">2023-03-26T11:51:00Z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0x01010050DE3D67A9754340BD00D7B8B0608089</vt:lpwstr>
  </property>
</Properties>
</file>