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drawing>
          <wp:inline distT="0" distB="0" distL="0" distR="0">
            <wp:extent cx="1714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14500" cy="1714500"/>
                    </a:xfrm>
                    <a:prstGeom prst="rect">
                      <a:avLst/>
                    </a:prstGeom>
                  </pic:spPr>
                </pic:pic>
              </a:graphicData>
            </a:graphic>
          </wp:inline>
        </w:drawing>
      </w:r>
    </w:p>
    <w:p>
      <w:pPr>
        <w:spacing w:before="1800"/>
      </w:pPr>
    </w:p>
    <w:p>
      <w:pPr>
        <w:spacing w:after="200"/>
      </w:pPr>
      <w:r>
        <w:rPr>
          <w:rFonts w:ascii="Poppins" w:cs="Poppins" w:eastAsia="Poppins" w:hAnsi="Poppins"/>
          <w:b/>
          <w:bCs/>
          <w:color w:val="2A317F"/>
          <w:sz w:val="144"/>
          <w:szCs w:val="144"/>
        </w:rPr>
        <w:t xml:space="preserve">TIF Chat</w:t>
      </w:r>
    </w:p>
    <w:p>
      <w:pPr>
        <w:spacing w:after="100"/>
      </w:pPr>
      <w:r>
        <w:rPr>
          <w:rFonts w:ascii="Poppins" w:cs="Poppins" w:eastAsia="Poppins" w:hAnsi="Poppins"/>
          <w:color w:val="652581"/>
          <w:sz w:val="36"/>
          <w:szCs w:val="36"/>
        </w:rPr>
        <w:t xml:space="preserve">Internal AI Chatbot Platform</w:t>
      </w:r>
    </w:p>
    <w:p>
      <w:pPr>
        <w:spacing w:after="100"/>
      </w:pPr>
      <w:r>
        <w:rPr>
          <w:rFonts w:ascii="Poppins" w:cs="Poppins" w:eastAsia="Poppins" w:hAnsi="Poppins"/>
          <w:color w:val="2A317F"/>
          <w:sz w:val="28"/>
          <w:szCs w:val="28"/>
        </w:rPr>
        <w:t xml:space="preserve">Project Brief — Data Science &amp; Technology</w:t>
      </w:r>
    </w:p>
    <w:p>
      <w:pPr>
        <w:spacing w:before="400"/>
      </w:pPr>
      <w:r>
        <w:rPr>
          <w:rFonts w:ascii="Poppins" w:cs="Poppins" w:eastAsia="Poppins" w:hAnsi="Poppins"/>
          <w:color w:val="2A317F"/>
          <w:sz w:val="24"/>
          <w:szCs w:val="24"/>
        </w:rPr>
        <w:t xml:space="preserve">March 2026</w:t>
      </w:r>
    </w:p>
    <w:p>
      <w:pPr>
        <w:spacing w:before="2400"/>
      </w:pPr>
      <w:r>
        <w:drawing>
          <wp:inline distT="0" distB="0" distL="0" distR="0">
            <wp:extent cx="20955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0" cy="571500"/>
                    </a:xfrm>
                    <a:prstGeom prst="rect">
                      <a:avLst/>
                    </a:prstGeom>
                  </pic:spPr>
                </pic:pic>
              </a:graphicData>
            </a:graphic>
          </wp:inline>
        </w:drawing>
      </w:r>
    </w:p>
    <w:p>
      <w:pPr>
        <w:sectPr>
          <w:pgSz w:w="11906" w:h="16838" w:orient="portrait"/>
          <w:pgMar w:top="600" w:right="750" w:bottom="860" w:left="907" w:header="708" w:footer="708" w:gutter="0"/>
          <w:pgNumType/>
          <w:docGrid w:linePitch="360"/>
        </w:sectPr>
      </w:pPr>
    </w:p>
    <w:p>
      <w:pPr>
        <w:spacing w:after="200" w:before="0"/>
      </w:pPr>
      <w:r>
        <w:rPr>
          <w:rFonts w:ascii="Poppins" w:cs="Poppins" w:eastAsia="Poppins" w:hAnsi="Poppins"/>
          <w:b/>
          <w:bCs/>
          <w:caps/>
          <w:color w:val="DFF3FC"/>
          <w:sz w:val="22"/>
          <w:szCs w:val="22"/>
        </w:rPr>
        <w:t xml:space="preserve">THE INSIGHTS FAMILY</w:t>
      </w:r>
    </w:p>
    <w:p>
      <w:pPr>
        <w:spacing w:after="300" w:before="0"/>
      </w:pPr>
      <w:r>
        <w:rPr>
          <w:rFonts w:ascii="Poppins" w:cs="Poppins" w:eastAsia="Poppins" w:hAnsi="Poppins"/>
          <w:b/>
          <w:bCs/>
          <w:color w:val="2A317F"/>
          <w:sz w:val="72"/>
          <w:szCs w:val="72"/>
        </w:rPr>
        <w:t xml:space="preserve">Project Overview</w:t>
      </w:r>
    </w:p>
    <w:p>
      <w:pPr>
        <w:spacing w:after="120" w:before="280"/>
      </w:pPr>
      <w:r>
        <w:rPr>
          <w:rFonts w:ascii="Poppins" w:cs="Poppins" w:eastAsia="Poppins" w:hAnsi="Poppins"/>
          <w:b/>
          <w:bCs/>
          <w:color w:val="2A317F"/>
          <w:sz w:val="28"/>
          <w:szCs w:val="28"/>
        </w:rPr>
        <w:t xml:space="preserve">What We’re Building</w:t>
      </w:r>
    </w:p>
    <w:p>
      <w:pPr>
        <w:spacing w:after="160" w:line="276"/>
      </w:pPr>
      <w:r>
        <w:rPr>
          <w:rFonts w:ascii="Poppins" w:cs="Poppins" w:eastAsia="Poppins" w:hAnsi="Poppins"/>
          <w:color w:val="2A317F"/>
          <w:sz w:val="22"/>
          <w:szCs w:val="22"/>
        </w:rPr>
        <w:t xml:space="preserve">A company-wide AI chatbot platform that gives every TIF team member access to leading AI models through a single, branded interface. Built on the open-source Vercel Chatbot template (Next.js + AI SDK), the platform will integrate directly with our Microsoft SSO for seamless authentication, offer a choice of AI providers (Anthropic Claude, OpenAI GPT, and Perplexity), and connect to custom MCP tool servers for company-specific and survey data workflows.</w:t>
      </w:r>
    </w:p>
    <w:p>
      <w:pPr>
        <w:spacing w:after="120" w:before="280"/>
      </w:pPr>
      <w:r>
        <w:rPr>
          <w:rFonts w:ascii="Poppins" w:cs="Poppins" w:eastAsia="Poppins" w:hAnsi="Poppins"/>
          <w:b/>
          <w:bCs/>
          <w:color w:val="2A317F"/>
          <w:sz w:val="28"/>
          <w:szCs w:val="28"/>
        </w:rPr>
        <w:t xml:space="preserve">Why This Matters</w:t>
      </w:r>
    </w:p>
    <w:p>
      <w:pPr>
        <w:spacing w:after="160" w:line="276"/>
      </w:pPr>
      <w:r>
        <w:rPr>
          <w:rFonts w:ascii="Poppins" w:cs="Poppins" w:eastAsia="Poppins" w:hAnsi="Poppins"/>
          <w:color w:val="2A317F"/>
          <w:sz w:val="22"/>
          <w:szCs w:val="22"/>
        </w:rPr>
        <w:t xml:space="preserve">Today, team members use a patchwork of different AI tools with separate logins, no shared context, and no connection to our proprietary data. This project consolidates AI access into one platform that understands TIF’s business, connects to our survey data infrastructure, and maintains conversation history for every user.</w:t>
      </w:r>
    </w:p>
    <w:p>
      <w:pPr>
        <w:spacing w:after="120" w:before="280"/>
      </w:pPr>
      <w:r>
        <w:rPr>
          <w:rFonts w:ascii="Poppins" w:cs="Poppins" w:eastAsia="Poppins" w:hAnsi="Poppins"/>
          <w:b/>
          <w:bCs/>
          <w:color w:val="2A317F"/>
          <w:sz w:val="28"/>
          <w:szCs w:val="28"/>
        </w:rPr>
        <w:t xml:space="preserve">Key Objectives</w:t>
      </w:r>
    </w:p>
    <w:p>
      <w:pPr>
        <w:spacing w:after="160" w:line="276"/>
      </w:pPr>
      <w:r>
        <w:rPr>
          <w:rFonts w:ascii="Poppins" w:cs="Poppins" w:eastAsia="Poppins" w:hAnsi="Poppins"/>
          <w:color w:val="2A317F"/>
          <w:sz w:val="22"/>
          <w:szCs w:val="22"/>
        </w:rPr>
        <w:t xml:space="preserve">•  Provide all TIF staff with secure, SSO-authenticated access to AI assistants</w:t>
      </w:r>
    </w:p>
    <w:p>
      <w:pPr>
        <w:spacing w:after="160" w:line="276"/>
      </w:pPr>
      <w:r>
        <w:rPr>
          <w:rFonts w:ascii="Poppins" w:cs="Poppins" w:eastAsia="Poppins" w:hAnsi="Poppins"/>
          <w:color w:val="2A317F"/>
          <w:sz w:val="22"/>
          <w:szCs w:val="22"/>
        </w:rPr>
        <w:t xml:space="preserve">•  Offer model choice: Anthropic Claude, OpenAI, and Perplexity</w:t>
      </w:r>
    </w:p>
    <w:p>
      <w:pPr>
        <w:spacing w:after="160" w:line="276"/>
      </w:pPr>
      <w:r>
        <w:rPr>
          <w:rFonts w:ascii="Poppins" w:cs="Poppins" w:eastAsia="Poppins" w:hAnsi="Poppins"/>
          <w:color w:val="2A317F"/>
          <w:sz w:val="22"/>
          <w:szCs w:val="22"/>
        </w:rPr>
        <w:t xml:space="preserve">•  Connect two MCP tool servers for company use and survey data querying</w:t>
      </w:r>
    </w:p>
    <w:p>
      <w:pPr>
        <w:spacing w:after="160" w:line="276"/>
      </w:pPr>
      <w:r>
        <w:rPr>
          <w:rFonts w:ascii="Poppins" w:cs="Poppins" w:eastAsia="Poppins" w:hAnsi="Poppins"/>
          <w:color w:val="2A317F"/>
          <w:sz w:val="22"/>
          <w:szCs w:val="22"/>
        </w:rPr>
        <w:t xml:space="preserve">•  Maintain conversation history and file upload capabilities</w:t>
      </w:r>
    </w:p>
    <w:p>
      <w:pPr>
        <w:spacing w:after="160" w:line="276"/>
      </w:pPr>
      <w:r>
        <w:rPr>
          <w:rFonts w:ascii="Poppins" w:cs="Poppins" w:eastAsia="Poppins" w:hAnsi="Poppins"/>
          <w:color w:val="2A317F"/>
          <w:sz w:val="22"/>
          <w:szCs w:val="22"/>
        </w:rPr>
        <w:t xml:space="preserve">•  Apply TIF branding for a professional, consistent experience</w:t>
      </w:r>
    </w:p>
    <w:p>
      <w:pPr>
        <w:spacing w:after="120" w:before="280"/>
      </w:pPr>
      <w:r>
        <w:rPr>
          <w:rFonts w:ascii="Poppins" w:cs="Poppins" w:eastAsia="Poppins" w:hAnsi="Poppins"/>
          <w:b/>
          <w:bCs/>
          <w:color w:val="2A317F"/>
          <w:sz w:val="28"/>
          <w:szCs w:val="28"/>
        </w:rPr>
        <w:t xml:space="preserve">Target Users</w:t>
      </w:r>
    </w:p>
    <w:p>
      <w:pPr>
        <w:spacing w:after="160" w:line="276"/>
      </w:pPr>
      <w:r>
        <w:rPr>
          <w:rFonts w:ascii="Poppins" w:cs="Poppins" w:eastAsia="Poppins" w:hAnsi="Poppins"/>
          <w:color w:val="2A317F"/>
          <w:sz w:val="22"/>
          <w:szCs w:val="22"/>
        </w:rPr>
        <w:t xml:space="preserve">All TIF employees across all departments. No technical knowledge required — users simply sign in with their Microsoft account and start chatting.</w:t>
      </w:r>
    </w:p>
    <w:p>
      <w:pPr>
        <w:sectPr>
          <w:pgSz w:w="11906" w:h="16838" w:orient="portrait"/>
          <w:pgMar w:top="600" w:right="750" w:bottom="860" w:left="907" w:header="708" w:footer="708" w:gutter="0"/>
          <w:pgNumType/>
          <w:docGrid w:linePitch="360"/>
        </w:sectPr>
      </w:pPr>
    </w:p>
    <w:p>
      <w:pPr>
        <w:spacing w:after="200" w:before="0"/>
      </w:pPr>
      <w:r>
        <w:rPr>
          <w:rFonts w:ascii="Poppins" w:cs="Poppins" w:eastAsia="Poppins" w:hAnsi="Poppins"/>
          <w:b/>
          <w:bCs/>
          <w:caps/>
          <w:color w:val="DFF3FC"/>
          <w:sz w:val="22"/>
          <w:szCs w:val="22"/>
        </w:rPr>
        <w:t xml:space="preserve">THE INSIGHTS FAMILY</w:t>
      </w:r>
    </w:p>
    <w:p>
      <w:pPr>
        <w:spacing w:after="300" w:before="0"/>
      </w:pPr>
      <w:r>
        <w:rPr>
          <w:rFonts w:ascii="Poppins" w:cs="Poppins" w:eastAsia="Poppins" w:hAnsi="Poppins"/>
          <w:b/>
          <w:bCs/>
          <w:color w:val="2A317F"/>
          <w:sz w:val="72"/>
          <w:szCs w:val="72"/>
        </w:rPr>
        <w:t xml:space="preserve">Technical Architecture</w:t>
      </w:r>
    </w:p>
    <w:p>
      <w:pPr>
        <w:spacing w:after="120" w:before="280"/>
      </w:pPr>
      <w:r>
        <w:rPr>
          <w:rFonts w:ascii="Poppins" w:cs="Poppins" w:eastAsia="Poppins" w:hAnsi="Poppins"/>
          <w:b/>
          <w:bCs/>
          <w:color w:val="2A317F"/>
          <w:sz w:val="28"/>
          <w:szCs w:val="28"/>
        </w:rPr>
        <w:t xml:space="preserve">Technology Stack</w:t>
      </w:r>
    </w:p>
    <w:tbl>
      <w:tblPr>
        <w:tblW w:type="dxa" w:w="10249"/>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3449"/>
      </w:tblGrid>
      <w:tr>
        <w:tc>
          <w:tcPr>
            <w:tcW w:type="dxa" w:w="3400"/>
            <w:tcBorders>
              <w:top w:val="single" w:color="CCCCCC" w:sz="1"/>
              <w:left w:val="single" w:color="CCCCCC" w:sz="1"/>
              <w:bottom w:val="single" w:color="CCCCCC" w:sz="1"/>
              <w:right w:val="single" w:color="CCCCCC" w:sz="1"/>
            </w:tcBorders>
            <w:shd w:fill="2A317F" w:val="clear"/>
            <w:tcMar>
              <w:top w:type="dxa" w:w="80"/>
              <w:left w:type="dxa" w:w="120"/>
              <w:bottom w:type="dxa" w:w="80"/>
              <w:right w:type="dxa" w:w="120"/>
            </w:tcMar>
          </w:tcPr>
          <w:p>
            <w:r>
              <w:rPr>
                <w:rFonts w:ascii="Poppins" w:cs="Poppins" w:eastAsia="Poppins" w:hAnsi="Poppins"/>
                <w:b/>
                <w:bCs/>
                <w:color w:val="FFFFFF"/>
                <w:sz w:val="20"/>
                <w:szCs w:val="20"/>
              </w:rPr>
              <w:t xml:space="preserve">Component</w:t>
            </w:r>
          </w:p>
        </w:tc>
        <w:tc>
          <w:tcPr>
            <w:tcW w:type="dxa" w:w="3400"/>
            <w:tcBorders>
              <w:top w:val="single" w:color="CCCCCC" w:sz="1"/>
              <w:left w:val="single" w:color="CCCCCC" w:sz="1"/>
              <w:bottom w:val="single" w:color="CCCCCC" w:sz="1"/>
              <w:right w:val="single" w:color="CCCCCC" w:sz="1"/>
            </w:tcBorders>
            <w:shd w:fill="2A317F" w:val="clear"/>
            <w:tcMar>
              <w:top w:type="dxa" w:w="80"/>
              <w:left w:type="dxa" w:w="120"/>
              <w:bottom w:type="dxa" w:w="80"/>
              <w:right w:type="dxa" w:w="120"/>
            </w:tcMar>
          </w:tcPr>
          <w:p>
            <w:r>
              <w:rPr>
                <w:rFonts w:ascii="Poppins" w:cs="Poppins" w:eastAsia="Poppins" w:hAnsi="Poppins"/>
                <w:b/>
                <w:bCs/>
                <w:color w:val="FFFFFF"/>
                <w:sz w:val="20"/>
                <w:szCs w:val="20"/>
              </w:rPr>
              <w:t xml:space="preserve">Technology</w:t>
            </w:r>
          </w:p>
        </w:tc>
        <w:tc>
          <w:tcPr>
            <w:tcW w:type="dxa" w:w="3449"/>
            <w:tcBorders>
              <w:top w:val="single" w:color="CCCCCC" w:sz="1"/>
              <w:left w:val="single" w:color="CCCCCC" w:sz="1"/>
              <w:bottom w:val="single" w:color="CCCCCC" w:sz="1"/>
              <w:right w:val="single" w:color="CCCCCC" w:sz="1"/>
            </w:tcBorders>
            <w:shd w:fill="2A317F" w:val="clear"/>
            <w:tcMar>
              <w:top w:type="dxa" w:w="80"/>
              <w:left w:type="dxa" w:w="120"/>
              <w:bottom w:type="dxa" w:w="80"/>
              <w:right w:type="dxa" w:w="120"/>
            </w:tcMar>
          </w:tcPr>
          <w:p>
            <w:r>
              <w:rPr>
                <w:rFonts w:ascii="Poppins" w:cs="Poppins" w:eastAsia="Poppins" w:hAnsi="Poppins"/>
                <w:b/>
                <w:bCs/>
                <w:color w:val="FFFFFF"/>
                <w:sz w:val="20"/>
                <w:szCs w:val="20"/>
              </w:rPr>
              <w:t xml:space="preserve">Notes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oppins" w:cs="Poppins" w:eastAsia="Poppins" w:hAnsi="Poppins"/>
                <w:color w:val="2A317F"/>
                <w:sz w:val="20"/>
                <w:szCs w:val="20"/>
              </w:rPr>
              <w:t xml:space="preserve">Frontend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oppins" w:cs="Poppins" w:eastAsia="Poppins" w:hAnsi="Poppins"/>
                <w:color w:val="2A317F"/>
                <w:sz w:val="20"/>
                <w:szCs w:val="20"/>
              </w:rPr>
              <w:t xml:space="preserve">Next.js + React</w:t>
            </w:r>
          </w:p>
        </w:tc>
        <w:tc>
          <w:tcPr>
            <w:tcW w:type="dxa" w:w="3449"/>
            <w:tcBorders>
              <w:top w:val="single" w:color="CCCCCC" w:sz="1"/>
              <w:left w:val="single" w:color="CCCCCC" w:sz="1"/>
              <w:bottom w:val="single" w:color="CCCCCC" w:sz="1"/>
              <w:right w:val="single" w:color="CCCCCC" w:sz="1"/>
            </w:tcBorders>
            <w:shd w:fill="E4F3FA" w:val="clear"/>
            <w:tcMar>
              <w:top w:type="dxa" w:w="80"/>
              <w:left w:type="dxa" w:w="120"/>
              <w:bottom w:type="dxa" w:w="80"/>
              <w:right w:type="dxa" w:w="120"/>
            </w:tcMar>
          </w:tcPr>
          <w:p>
            <w:r>
              <w:rPr>
                <w:rFonts w:ascii="Poppins" w:cs="Poppins" w:eastAsia="Poppins" w:hAnsi="Poppins"/>
                <w:color w:val="2A317F"/>
                <w:sz w:val="20"/>
                <w:szCs w:val="20"/>
              </w:rPr>
              <w:t xml:space="preserve">Vercel Chatbot template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oppins" w:cs="Poppins" w:eastAsia="Poppins" w:hAnsi="Poppins"/>
                <w:color w:val="2A317F"/>
                <w:sz w:val="20"/>
                <w:szCs w:val="20"/>
              </w:rPr>
              <w:t xml:space="preserve">UI Framework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oppins" w:cs="Poppins" w:eastAsia="Poppins" w:hAnsi="Poppins"/>
                <w:color w:val="2A317F"/>
                <w:sz w:val="20"/>
                <w:szCs w:val="20"/>
              </w:rPr>
              <w:t xml:space="preserve">shadcn/ui + Tailwind</w:t>
            </w:r>
          </w:p>
        </w:tc>
        <w:tc>
          <w:tcPr>
            <w:tcW w:type="dxa" w:w="3449"/>
            <w:tcBorders>
              <w:top w:val="single" w:color="CCCCCC" w:sz="1"/>
              <w:left w:val="single" w:color="CCCCCC" w:sz="1"/>
              <w:bottom w:val="single" w:color="CCCCCC" w:sz="1"/>
              <w:right w:val="single" w:color="CCCCCC" w:sz="1"/>
            </w:tcBorders>
            <w:shd w:fill="E4F3FA" w:val="clear"/>
            <w:tcMar>
              <w:top w:type="dxa" w:w="80"/>
              <w:left w:type="dxa" w:w="120"/>
              <w:bottom w:type="dxa" w:w="80"/>
              <w:right w:type="dxa" w:w="120"/>
            </w:tcMar>
          </w:tcPr>
          <w:p>
            <w:r>
              <w:rPr>
                <w:rFonts w:ascii="Poppins" w:cs="Poppins" w:eastAsia="Poppins" w:hAnsi="Poppins"/>
                <w:color w:val="2A317F"/>
                <w:sz w:val="20"/>
                <w:szCs w:val="20"/>
              </w:rPr>
              <w:t xml:space="preserve">Customised with TIF branding</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oppins" w:cs="Poppins" w:eastAsia="Poppins" w:hAnsi="Poppins"/>
                <w:color w:val="2A317F"/>
                <w:sz w:val="20"/>
                <w:szCs w:val="20"/>
              </w:rPr>
              <w:t xml:space="preserve">Authentication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oppins" w:cs="Poppins" w:eastAsia="Poppins" w:hAnsi="Poppins"/>
                <w:color w:val="2A317F"/>
                <w:sz w:val="20"/>
                <w:szCs w:val="20"/>
              </w:rPr>
              <w:t xml:space="preserve">Auth.js + Microsoft Entra ID</w:t>
            </w:r>
          </w:p>
        </w:tc>
        <w:tc>
          <w:tcPr>
            <w:tcW w:type="dxa" w:w="3449"/>
            <w:tcBorders>
              <w:top w:val="single" w:color="CCCCCC" w:sz="1"/>
              <w:left w:val="single" w:color="CCCCCC" w:sz="1"/>
              <w:bottom w:val="single" w:color="CCCCCC" w:sz="1"/>
              <w:right w:val="single" w:color="CCCCCC" w:sz="1"/>
            </w:tcBorders>
            <w:shd w:fill="E4F3FA" w:val="clear"/>
            <w:tcMar>
              <w:top w:type="dxa" w:w="80"/>
              <w:left w:type="dxa" w:w="120"/>
              <w:bottom w:type="dxa" w:w="80"/>
              <w:right w:type="dxa" w:w="120"/>
            </w:tcMar>
          </w:tcPr>
          <w:p>
            <w:r>
              <w:rPr>
                <w:rFonts w:ascii="Poppins" w:cs="Poppins" w:eastAsia="Poppins" w:hAnsi="Poppins"/>
                <w:color w:val="2A317F"/>
                <w:sz w:val="20"/>
                <w:szCs w:val="20"/>
              </w:rPr>
              <w:t xml:space="preserve">SSO via TIF tenant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oppins" w:cs="Poppins" w:eastAsia="Poppins" w:hAnsi="Poppins"/>
                <w:color w:val="2A317F"/>
                <w:sz w:val="20"/>
                <w:szCs w:val="20"/>
              </w:rPr>
              <w:t xml:space="preserve">AI Providers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oppins" w:cs="Poppins" w:eastAsia="Poppins" w:hAnsi="Poppins"/>
                <w:color w:val="2A317F"/>
                <w:sz w:val="20"/>
                <w:szCs w:val="20"/>
              </w:rPr>
              <w:t xml:space="preserve">AI SDK (Vercel)</w:t>
            </w:r>
          </w:p>
        </w:tc>
        <w:tc>
          <w:tcPr>
            <w:tcW w:type="dxa" w:w="3449"/>
            <w:tcBorders>
              <w:top w:val="single" w:color="CCCCCC" w:sz="1"/>
              <w:left w:val="single" w:color="CCCCCC" w:sz="1"/>
              <w:bottom w:val="single" w:color="CCCCCC" w:sz="1"/>
              <w:right w:val="single" w:color="CCCCCC" w:sz="1"/>
            </w:tcBorders>
            <w:shd w:fill="E4F3FA" w:val="clear"/>
            <w:tcMar>
              <w:top w:type="dxa" w:w="80"/>
              <w:left w:type="dxa" w:w="120"/>
              <w:bottom w:type="dxa" w:w="80"/>
              <w:right w:type="dxa" w:w="120"/>
            </w:tcMar>
          </w:tcPr>
          <w:p>
            <w:r>
              <w:rPr>
                <w:rFonts w:ascii="Poppins" w:cs="Poppins" w:eastAsia="Poppins" w:hAnsi="Poppins"/>
                <w:color w:val="2A317F"/>
                <w:sz w:val="20"/>
                <w:szCs w:val="20"/>
              </w:rPr>
              <w:t xml:space="preserve">Anthropic, OpenAI, Perplexity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oppins" w:cs="Poppins" w:eastAsia="Poppins" w:hAnsi="Poppins"/>
                <w:color w:val="2A317F"/>
                <w:sz w:val="20"/>
                <w:szCs w:val="20"/>
              </w:rPr>
              <w:t xml:space="preserve">Database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oppins" w:cs="Poppins" w:eastAsia="Poppins" w:hAnsi="Poppins"/>
                <w:color w:val="2A317F"/>
                <w:sz w:val="20"/>
                <w:szCs w:val="20"/>
              </w:rPr>
              <w:t xml:space="preserve">Neon Serverless Postgres</w:t>
            </w:r>
          </w:p>
        </w:tc>
        <w:tc>
          <w:tcPr>
            <w:tcW w:type="dxa" w:w="3449"/>
            <w:tcBorders>
              <w:top w:val="single" w:color="CCCCCC" w:sz="1"/>
              <w:left w:val="single" w:color="CCCCCC" w:sz="1"/>
              <w:bottom w:val="single" w:color="CCCCCC" w:sz="1"/>
              <w:right w:val="single" w:color="CCCCCC" w:sz="1"/>
            </w:tcBorders>
            <w:shd w:fill="E4F3FA" w:val="clear"/>
            <w:tcMar>
              <w:top w:type="dxa" w:w="80"/>
              <w:left w:type="dxa" w:w="120"/>
              <w:bottom w:type="dxa" w:w="80"/>
              <w:right w:type="dxa" w:w="120"/>
            </w:tcMar>
          </w:tcPr>
          <w:p>
            <w:r>
              <w:rPr>
                <w:rFonts w:ascii="Poppins" w:cs="Poppins" w:eastAsia="Poppins" w:hAnsi="Poppins"/>
                <w:color w:val="2A317F"/>
                <w:sz w:val="20"/>
                <w:szCs w:val="20"/>
              </w:rPr>
              <w:t xml:space="preserve">Chat history, users, sessions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oppins" w:cs="Poppins" w:eastAsia="Poppins" w:hAnsi="Poppins"/>
                <w:color w:val="2A317F"/>
                <w:sz w:val="20"/>
                <w:szCs w:val="20"/>
              </w:rPr>
              <w:t xml:space="preserve">File Storage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oppins" w:cs="Poppins" w:eastAsia="Poppins" w:hAnsi="Poppins"/>
                <w:color w:val="2A317F"/>
                <w:sz w:val="20"/>
                <w:szCs w:val="20"/>
              </w:rPr>
              <w:t xml:space="preserve">Vercel Blob</w:t>
            </w:r>
          </w:p>
        </w:tc>
        <w:tc>
          <w:tcPr>
            <w:tcW w:type="dxa" w:w="3449"/>
            <w:tcBorders>
              <w:top w:val="single" w:color="CCCCCC" w:sz="1"/>
              <w:left w:val="single" w:color="CCCCCC" w:sz="1"/>
              <w:bottom w:val="single" w:color="CCCCCC" w:sz="1"/>
              <w:right w:val="single" w:color="CCCCCC" w:sz="1"/>
            </w:tcBorders>
            <w:shd w:fill="E4F3FA" w:val="clear"/>
            <w:tcMar>
              <w:top w:type="dxa" w:w="80"/>
              <w:left w:type="dxa" w:w="120"/>
              <w:bottom w:type="dxa" w:w="80"/>
              <w:right w:type="dxa" w:w="120"/>
            </w:tcMar>
          </w:tcPr>
          <w:p>
            <w:r>
              <w:rPr>
                <w:rFonts w:ascii="Poppins" w:cs="Poppins" w:eastAsia="Poppins" w:hAnsi="Poppins"/>
                <w:color w:val="2A317F"/>
                <w:sz w:val="20"/>
                <w:szCs w:val="20"/>
              </w:rPr>
              <w:t xml:space="preserve">User-uploaded files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oppins" w:cs="Poppins" w:eastAsia="Poppins" w:hAnsi="Poppins"/>
                <w:color w:val="2A317F"/>
                <w:sz w:val="20"/>
                <w:szCs w:val="20"/>
              </w:rPr>
              <w:t xml:space="preserve">MCP Tools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oppins" w:cs="Poppins" w:eastAsia="Poppins" w:hAnsi="Poppins"/>
                <w:color w:val="2A317F"/>
                <w:sz w:val="20"/>
                <w:szCs w:val="20"/>
              </w:rPr>
              <w:t xml:space="preserve">@ai-sdk/mcp</w:t>
            </w:r>
          </w:p>
        </w:tc>
        <w:tc>
          <w:tcPr>
            <w:tcW w:type="dxa" w:w="3449"/>
            <w:tcBorders>
              <w:top w:val="single" w:color="CCCCCC" w:sz="1"/>
              <w:left w:val="single" w:color="CCCCCC" w:sz="1"/>
              <w:bottom w:val="single" w:color="CCCCCC" w:sz="1"/>
              <w:right w:val="single" w:color="CCCCCC" w:sz="1"/>
            </w:tcBorders>
            <w:shd w:fill="E4F3FA" w:val="clear"/>
            <w:tcMar>
              <w:top w:type="dxa" w:w="80"/>
              <w:left w:type="dxa" w:w="120"/>
              <w:bottom w:type="dxa" w:w="80"/>
              <w:right w:type="dxa" w:w="120"/>
            </w:tcMar>
          </w:tcPr>
          <w:p>
            <w:r>
              <w:rPr>
                <w:rFonts w:ascii="Poppins" w:cs="Poppins" w:eastAsia="Poppins" w:hAnsi="Poppins"/>
                <w:color w:val="2A317F"/>
                <w:sz w:val="20"/>
                <w:szCs w:val="20"/>
              </w:rPr>
              <w:t xml:space="preserve">Two servers via SSE transport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oppins" w:cs="Poppins" w:eastAsia="Poppins" w:hAnsi="Poppins"/>
                <w:color w:val="2A317F"/>
                <w:sz w:val="20"/>
                <w:szCs w:val="20"/>
              </w:rPr>
              <w:t xml:space="preserve">Hosting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oppins" w:cs="Poppins" w:eastAsia="Poppins" w:hAnsi="Poppins"/>
                <w:color w:val="2A317F"/>
                <w:sz w:val="20"/>
                <w:szCs w:val="20"/>
              </w:rPr>
              <w:t xml:space="preserve">Vercel (or AWS)</w:t>
            </w:r>
          </w:p>
        </w:tc>
        <w:tc>
          <w:tcPr>
            <w:tcW w:type="dxa" w:w="3449"/>
            <w:tcBorders>
              <w:top w:val="single" w:color="CCCCCC" w:sz="1"/>
              <w:left w:val="single" w:color="CCCCCC" w:sz="1"/>
              <w:bottom w:val="single" w:color="CCCCCC" w:sz="1"/>
              <w:right w:val="single" w:color="CCCCCC" w:sz="1"/>
            </w:tcBorders>
            <w:shd w:fill="E4F3FA" w:val="clear"/>
            <w:tcMar>
              <w:top w:type="dxa" w:w="80"/>
              <w:left w:type="dxa" w:w="120"/>
              <w:bottom w:type="dxa" w:w="80"/>
              <w:right w:type="dxa" w:w="120"/>
            </w:tcMar>
          </w:tcPr>
          <w:p>
            <w:r>
              <w:rPr>
                <w:rFonts w:ascii="Poppins" w:cs="Poppins" w:eastAsia="Poppins" w:hAnsi="Poppins"/>
                <w:color w:val="2A317F"/>
                <w:sz w:val="20"/>
                <w:szCs w:val="20"/>
              </w:rPr>
              <w:t xml:space="preserve">One-click deploy option</w:t>
            </w:r>
          </w:p>
        </w:tc>
      </w:tr>
    </w:tbl>
    <w:p>
      <w:pPr>
        <w:spacing w:after="120" w:before="280"/>
      </w:pPr>
      <w:r>
        <w:rPr>
          <w:rFonts w:ascii="Poppins" w:cs="Poppins" w:eastAsia="Poppins" w:hAnsi="Poppins"/>
          <w:b/>
          <w:bCs/>
          <w:color w:val="2A317F"/>
          <w:sz w:val="28"/>
          <w:szCs w:val="28"/>
        </w:rPr>
        <w:t xml:space="preserve">MCP Server Integration</w:t>
      </w:r>
    </w:p>
    <w:p>
      <w:pPr>
        <w:spacing w:after="160" w:line="276"/>
      </w:pPr>
      <w:r>
        <w:rPr>
          <w:rFonts w:ascii="Poppins" w:cs="Poppins" w:eastAsia="Poppins" w:hAnsi="Poppins"/>
          <w:color w:val="2A317F"/>
          <w:sz w:val="22"/>
          <w:szCs w:val="22"/>
        </w:rPr>
        <w:t xml:space="preserve">Two Model Context Protocol servers will be connected as tool providers, giving the AI models direct access to TIF systems:</w:t>
      </w:r>
    </w:p>
    <w:p>
      <w:pPr>
        <w:spacing w:after="60"/>
      </w:pPr>
    </w:p>
    <w:p>
      <w:pPr>
        <w:spacing w:after="160" w:line="276"/>
      </w:pPr>
      <w:r>
        <w:rPr>
          <w:rFonts w:ascii="Poppins" w:cs="Poppins" w:eastAsia="Poppins" w:hAnsi="Poppins"/>
          <w:color w:val="2A317F"/>
          <w:sz w:val="22"/>
          <w:szCs w:val="22"/>
        </w:rPr>
        <w:t xml:space="preserve">•  Company Use MCP — General-purpose tools for company operations, document access, and internal workflows. Available to all users in every conversation.</w:t>
      </w:r>
    </w:p>
    <w:p>
      <w:pPr>
        <w:spacing w:after="60"/>
      </w:pPr>
    </w:p>
    <w:p>
      <w:pPr>
        <w:spacing w:after="160" w:line="276"/>
      </w:pPr>
      <w:r>
        <w:rPr>
          <w:rFonts w:ascii="Poppins" w:cs="Poppins" w:eastAsia="Poppins" w:hAnsi="Poppins"/>
          <w:color w:val="2A317F"/>
          <w:sz w:val="22"/>
          <w:szCs w:val="22"/>
        </w:rPr>
        <w:t xml:space="preserve">•  TIF Survey Tools MCP — Connects to the existing TIF Agent infrastructure for natural language querying of survey databases, IP Currency Score analysis, and demographic data exploration. Leverages the existing AWS Bedrock + Aurora MySQL pipeline.</w:t>
      </w:r>
    </w:p>
    <w:p>
      <w:pPr>
        <w:spacing w:after="120" w:before="280"/>
      </w:pPr>
      <w:r>
        <w:rPr>
          <w:rFonts w:ascii="Poppins" w:cs="Poppins" w:eastAsia="Poppins" w:hAnsi="Poppins"/>
          <w:b/>
          <w:bCs/>
          <w:color w:val="2A317F"/>
          <w:sz w:val="28"/>
          <w:szCs w:val="28"/>
        </w:rPr>
        <w:t xml:space="preserve">Authentication Flow</w:t>
      </w:r>
    </w:p>
    <w:p>
      <w:pPr>
        <w:spacing w:after="160" w:line="276"/>
      </w:pPr>
      <w:r>
        <w:rPr>
          <w:rFonts w:ascii="Poppins" w:cs="Poppins" w:eastAsia="Poppins" w:hAnsi="Poppins"/>
          <w:color w:val="2A317F"/>
          <w:sz w:val="22"/>
          <w:szCs w:val="22"/>
        </w:rPr>
        <w:t xml:space="preserve">Users navigate to the app URL → Click “Sign in with Microsoft” → Redirected to Microsoft Entra ID → Authenticated against TIF tenant → Redirected back to chat interface with session created. Only users within the TIF Microsoft tenant can access the platform.</w:t>
      </w:r>
    </w:p>
    <w:p>
      <w:pPr>
        <w:sectPr>
          <w:pgSz w:w="11906" w:h="16838" w:orient="portrait"/>
          <w:pgMar w:top="600" w:right="750" w:bottom="860" w:left="907" w:header="708" w:footer="708" w:gutter="0"/>
          <w:pgNumType/>
          <w:docGrid w:linePitch="360"/>
        </w:sectPr>
      </w:pPr>
    </w:p>
    <w:p>
      <w:pPr>
        <w:spacing w:after="200" w:before="0"/>
      </w:pPr>
      <w:r>
        <w:rPr>
          <w:rFonts w:ascii="Poppins" w:cs="Poppins" w:eastAsia="Poppins" w:hAnsi="Poppins"/>
          <w:b/>
          <w:bCs/>
          <w:caps/>
          <w:color w:val="DFF3FC"/>
          <w:sz w:val="22"/>
          <w:szCs w:val="22"/>
        </w:rPr>
        <w:t xml:space="preserve">THE INSIGHTS FAMILY</w:t>
      </w:r>
    </w:p>
    <w:p>
      <w:pPr>
        <w:spacing w:after="300" w:before="0"/>
      </w:pPr>
      <w:r>
        <w:rPr>
          <w:rFonts w:ascii="Poppins" w:cs="Poppins" w:eastAsia="Poppins" w:hAnsi="Poppins"/>
          <w:b/>
          <w:bCs/>
          <w:color w:val="2A317F"/>
          <w:sz w:val="72"/>
          <w:szCs w:val="72"/>
        </w:rPr>
        <w:t xml:space="preserve">Branding &amp; Models</w:t>
      </w:r>
    </w:p>
    <w:p>
      <w:pPr>
        <w:spacing w:after="120" w:before="280"/>
      </w:pPr>
      <w:r>
        <w:rPr>
          <w:rFonts w:ascii="Poppins" w:cs="Poppins" w:eastAsia="Poppins" w:hAnsi="Poppins"/>
          <w:b/>
          <w:bCs/>
          <w:color w:val="2A317F"/>
          <w:sz w:val="28"/>
          <w:szCs w:val="28"/>
        </w:rPr>
        <w:t xml:space="preserve">TIF Brand Application</w:t>
      </w:r>
    </w:p>
    <w:p>
      <w:pPr>
        <w:spacing w:after="160" w:line="276"/>
      </w:pPr>
      <w:r>
        <w:rPr>
          <w:rFonts w:ascii="Poppins" w:cs="Poppins" w:eastAsia="Poppins" w:hAnsi="Poppins"/>
          <w:color w:val="2A317F"/>
          <w:sz w:val="22"/>
          <w:szCs w:val="22"/>
        </w:rPr>
        <w:t xml:space="preserve">The chatbot interface will be customised with TIF branding, including:</w:t>
      </w:r>
    </w:p>
    <w:p>
      <w:pPr>
        <w:spacing w:after="160" w:line="276"/>
      </w:pPr>
      <w:r>
        <w:rPr>
          <w:rFonts w:ascii="Poppins" w:cs="Poppins" w:eastAsia="Poppins" w:hAnsi="Poppins"/>
          <w:color w:val="2A317F"/>
          <w:sz w:val="22"/>
          <w:szCs w:val="22"/>
        </w:rPr>
        <w:t xml:space="preserve">•  Primary colour palette: TIF Navy (#2A317F), Coral (#F86C6E), Purple (#652581)</w:t>
      </w:r>
    </w:p>
    <w:p>
      <w:pPr>
        <w:spacing w:after="160" w:line="276"/>
      </w:pPr>
      <w:r>
        <w:rPr>
          <w:rFonts w:ascii="Poppins" w:cs="Poppins" w:eastAsia="Poppins" w:hAnsi="Poppins"/>
          <w:color w:val="2A317F"/>
          <w:sz w:val="22"/>
          <w:szCs w:val="22"/>
        </w:rPr>
        <w:t xml:space="preserve">•  Typography: Poppins font throughout the interface</w:t>
      </w:r>
    </w:p>
    <w:p>
      <w:pPr>
        <w:spacing w:after="160" w:line="276"/>
      </w:pPr>
      <w:r>
        <w:rPr>
          <w:rFonts w:ascii="Poppins" w:cs="Poppins" w:eastAsia="Poppins" w:hAnsi="Poppins"/>
          <w:color w:val="2A317F"/>
          <w:sz w:val="22"/>
          <w:szCs w:val="22"/>
        </w:rPr>
        <w:t xml:space="preserve">•  TIF logo displayed in the header/sidebar</w:t>
      </w:r>
    </w:p>
    <w:p>
      <w:pPr>
        <w:spacing w:after="160" w:line="276"/>
      </w:pPr>
      <w:r>
        <w:rPr>
          <w:rFonts w:ascii="Poppins" w:cs="Poppins" w:eastAsia="Poppins" w:hAnsi="Poppins"/>
          <w:color w:val="2A317F"/>
          <w:sz w:val="22"/>
          <w:szCs w:val="22"/>
        </w:rPr>
        <w:t xml:space="preserve">•  Custom colour scheme applied via Tailwind CSS custom properties</w:t>
      </w:r>
    </w:p>
    <w:p>
      <w:pPr>
        <w:spacing w:after="160" w:line="276"/>
      </w:pPr>
      <w:r>
        <w:rPr>
          <w:rFonts w:ascii="Poppins" w:cs="Poppins" w:eastAsia="Poppins" w:hAnsi="Poppins"/>
          <w:color w:val="2A317F"/>
          <w:sz w:val="22"/>
          <w:szCs w:val="22"/>
        </w:rPr>
        <w:t xml:space="preserve">•  Consistent with existing TIF digital products and documentation</w:t>
      </w:r>
    </w:p>
    <w:p>
      <w:pPr>
        <w:spacing w:after="120" w:before="280"/>
      </w:pPr>
      <w:r>
        <w:rPr>
          <w:rFonts w:ascii="Poppins" w:cs="Poppins" w:eastAsia="Poppins" w:hAnsi="Poppins"/>
          <w:b/>
          <w:bCs/>
          <w:color w:val="2A317F"/>
          <w:sz w:val="28"/>
          <w:szCs w:val="28"/>
        </w:rPr>
        <w:t xml:space="preserve">AI Model Providers</w:t>
      </w:r>
    </w:p>
    <w:p>
      <w:pPr>
        <w:spacing w:after="160" w:line="276"/>
      </w:pPr>
      <w:r>
        <w:rPr>
          <w:rFonts w:ascii="Poppins" w:cs="Poppins" w:eastAsia="Poppins" w:hAnsi="Poppins"/>
          <w:color w:val="2A317F"/>
          <w:sz w:val="22"/>
          <w:szCs w:val="22"/>
        </w:rPr>
        <w:t xml:space="preserve">Users will be able to select from three AI providers, each suited to different tasks:</w:t>
      </w:r>
    </w:p>
    <w:p>
      <w:pPr>
        <w:spacing w:after="60"/>
      </w:pPr>
    </w:p>
    <w:tbl>
      <w:tblPr>
        <w:tblW w:type="dxa" w:w="10249"/>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3449"/>
      </w:tblGrid>
      <w:tr>
        <w:tc>
          <w:tcPr>
            <w:tcW w:type="dxa" w:w="3400"/>
            <w:tcBorders>
              <w:top w:val="single" w:color="CCCCCC" w:sz="1"/>
              <w:left w:val="single" w:color="CCCCCC" w:sz="1"/>
              <w:bottom w:val="single" w:color="CCCCCC" w:sz="1"/>
              <w:right w:val="single" w:color="CCCCCC" w:sz="1"/>
            </w:tcBorders>
            <w:shd w:fill="2A317F" w:val="clear"/>
            <w:tcMar>
              <w:top w:type="dxa" w:w="80"/>
              <w:left w:type="dxa" w:w="120"/>
              <w:bottom w:type="dxa" w:w="80"/>
              <w:right w:type="dxa" w:w="120"/>
            </w:tcMar>
          </w:tcPr>
          <w:p>
            <w:r>
              <w:rPr>
                <w:rFonts w:ascii="Poppins" w:cs="Poppins" w:eastAsia="Poppins" w:hAnsi="Poppins"/>
                <w:b/>
                <w:bCs/>
                <w:color w:val="FFFFFF"/>
                <w:sz w:val="20"/>
                <w:szCs w:val="20"/>
              </w:rPr>
              <w:t xml:space="preserve">Provider</w:t>
            </w:r>
          </w:p>
        </w:tc>
        <w:tc>
          <w:tcPr>
            <w:tcW w:type="dxa" w:w="3400"/>
            <w:tcBorders>
              <w:top w:val="single" w:color="CCCCCC" w:sz="1"/>
              <w:left w:val="single" w:color="CCCCCC" w:sz="1"/>
              <w:bottom w:val="single" w:color="CCCCCC" w:sz="1"/>
              <w:right w:val="single" w:color="CCCCCC" w:sz="1"/>
            </w:tcBorders>
            <w:shd w:fill="2A317F" w:val="clear"/>
            <w:tcMar>
              <w:top w:type="dxa" w:w="80"/>
              <w:left w:type="dxa" w:w="120"/>
              <w:bottom w:type="dxa" w:w="80"/>
              <w:right w:type="dxa" w:w="120"/>
            </w:tcMar>
          </w:tcPr>
          <w:p>
            <w:r>
              <w:rPr>
                <w:rFonts w:ascii="Poppins" w:cs="Poppins" w:eastAsia="Poppins" w:hAnsi="Poppins"/>
                <w:b/>
                <w:bCs/>
                <w:color w:val="FFFFFF"/>
                <w:sz w:val="20"/>
                <w:szCs w:val="20"/>
              </w:rPr>
              <w:t xml:space="preserve">Models</w:t>
            </w:r>
          </w:p>
        </w:tc>
        <w:tc>
          <w:tcPr>
            <w:tcW w:type="dxa" w:w="3449"/>
            <w:tcBorders>
              <w:top w:val="single" w:color="CCCCCC" w:sz="1"/>
              <w:left w:val="single" w:color="CCCCCC" w:sz="1"/>
              <w:bottom w:val="single" w:color="CCCCCC" w:sz="1"/>
              <w:right w:val="single" w:color="CCCCCC" w:sz="1"/>
            </w:tcBorders>
            <w:shd w:fill="2A317F" w:val="clear"/>
            <w:tcMar>
              <w:top w:type="dxa" w:w="80"/>
              <w:left w:type="dxa" w:w="120"/>
              <w:bottom w:type="dxa" w:w="80"/>
              <w:right w:type="dxa" w:w="120"/>
            </w:tcMar>
          </w:tcPr>
          <w:p>
            <w:r>
              <w:rPr>
                <w:rFonts w:ascii="Poppins" w:cs="Poppins" w:eastAsia="Poppins" w:hAnsi="Poppins"/>
                <w:b/>
                <w:bCs/>
                <w:color w:val="FFFFFF"/>
                <w:sz w:val="20"/>
                <w:szCs w:val="20"/>
              </w:rPr>
              <w:t xml:space="preserve">Best For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oppins" w:cs="Poppins" w:eastAsia="Poppins" w:hAnsi="Poppins"/>
                <w:color w:val="2A317F"/>
                <w:sz w:val="20"/>
                <w:szCs w:val="20"/>
              </w:rPr>
              <w:t xml:space="preserve">Anthropic</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oppins" w:cs="Poppins" w:eastAsia="Poppins" w:hAnsi="Poppins"/>
                <w:color w:val="2A317F"/>
                <w:sz w:val="20"/>
                <w:szCs w:val="20"/>
              </w:rPr>
              <w:t xml:space="preserve">Claude Opus, Sonnet, Haiku</w:t>
            </w:r>
          </w:p>
        </w:tc>
        <w:tc>
          <w:tcPr>
            <w:tcW w:type="dxa" w:w="3449"/>
            <w:tcBorders>
              <w:top w:val="single" w:color="CCCCCC" w:sz="1"/>
              <w:left w:val="single" w:color="CCCCCC" w:sz="1"/>
              <w:bottom w:val="single" w:color="CCCCCC" w:sz="1"/>
              <w:right w:val="single" w:color="CCCCCC" w:sz="1"/>
            </w:tcBorders>
            <w:shd w:fill="E4F3FA" w:val="clear"/>
            <w:tcMar>
              <w:top w:type="dxa" w:w="80"/>
              <w:left w:type="dxa" w:w="120"/>
              <w:bottom w:type="dxa" w:w="80"/>
              <w:right w:type="dxa" w:w="120"/>
            </w:tcMar>
          </w:tcPr>
          <w:p>
            <w:r>
              <w:rPr>
                <w:rFonts w:ascii="Poppins" w:cs="Poppins" w:eastAsia="Poppins" w:hAnsi="Poppins"/>
                <w:color w:val="2A317F"/>
                <w:sz w:val="20"/>
                <w:szCs w:val="20"/>
              </w:rPr>
              <w:t xml:space="preserve">Analysis, writing, coding, MCP tools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oppins" w:cs="Poppins" w:eastAsia="Poppins" w:hAnsi="Poppins"/>
                <w:color w:val="2A317F"/>
                <w:sz w:val="20"/>
                <w:szCs w:val="20"/>
              </w:rPr>
              <w:t xml:space="preserve">OpenAI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oppins" w:cs="Poppins" w:eastAsia="Poppins" w:hAnsi="Poppins"/>
                <w:color w:val="2A317F"/>
                <w:sz w:val="20"/>
                <w:szCs w:val="20"/>
              </w:rPr>
              <w:t xml:space="preserve">GPT-4o, GPT-4o-mini</w:t>
            </w:r>
          </w:p>
        </w:tc>
        <w:tc>
          <w:tcPr>
            <w:tcW w:type="dxa" w:w="3449"/>
            <w:tcBorders>
              <w:top w:val="single" w:color="CCCCCC" w:sz="1"/>
              <w:left w:val="single" w:color="CCCCCC" w:sz="1"/>
              <w:bottom w:val="single" w:color="CCCCCC" w:sz="1"/>
              <w:right w:val="single" w:color="CCCCCC" w:sz="1"/>
            </w:tcBorders>
            <w:shd w:fill="E4F3FA" w:val="clear"/>
            <w:tcMar>
              <w:top w:type="dxa" w:w="80"/>
              <w:left w:type="dxa" w:w="120"/>
              <w:bottom w:type="dxa" w:w="80"/>
              <w:right w:type="dxa" w:w="120"/>
            </w:tcMar>
          </w:tcPr>
          <w:p>
            <w:r>
              <w:rPr>
                <w:rFonts w:ascii="Poppins" w:cs="Poppins" w:eastAsia="Poppins" w:hAnsi="Poppins"/>
                <w:color w:val="2A317F"/>
                <w:sz w:val="20"/>
                <w:szCs w:val="20"/>
              </w:rPr>
              <w:t xml:space="preserve">General tasks, image generation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oppins" w:cs="Poppins" w:eastAsia="Poppins" w:hAnsi="Poppins"/>
                <w:color w:val="2A317F"/>
                <w:sz w:val="20"/>
                <w:szCs w:val="20"/>
              </w:rPr>
              <w:t xml:space="preserve">Perplexity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oppins" w:cs="Poppins" w:eastAsia="Poppins" w:hAnsi="Poppins"/>
                <w:color w:val="2A317F"/>
                <w:sz w:val="20"/>
                <w:szCs w:val="20"/>
              </w:rPr>
              <w:t xml:space="preserve">Sonar models</w:t>
            </w:r>
          </w:p>
        </w:tc>
        <w:tc>
          <w:tcPr>
            <w:tcW w:type="dxa" w:w="3449"/>
            <w:tcBorders>
              <w:top w:val="single" w:color="CCCCCC" w:sz="1"/>
              <w:left w:val="single" w:color="CCCCCC" w:sz="1"/>
              <w:bottom w:val="single" w:color="CCCCCC" w:sz="1"/>
              <w:right w:val="single" w:color="CCCCCC" w:sz="1"/>
            </w:tcBorders>
            <w:shd w:fill="E4F3FA" w:val="clear"/>
            <w:tcMar>
              <w:top w:type="dxa" w:w="80"/>
              <w:left w:type="dxa" w:w="120"/>
              <w:bottom w:type="dxa" w:w="80"/>
              <w:right w:type="dxa" w:w="120"/>
            </w:tcMar>
          </w:tcPr>
          <w:p>
            <w:r>
              <w:rPr>
                <w:rFonts w:ascii="Poppins" w:cs="Poppins" w:eastAsia="Poppins" w:hAnsi="Poppins"/>
                <w:color w:val="2A317F"/>
                <w:sz w:val="20"/>
                <w:szCs w:val="20"/>
              </w:rPr>
              <w:t xml:space="preserve">Research, web search, fact-checking</w:t>
            </w:r>
          </w:p>
        </w:tc>
      </w:tr>
    </w:tbl>
    <w:p>
      <w:pPr>
        <w:spacing w:after="60"/>
      </w:pPr>
    </w:p>
    <w:p>
      <w:pPr>
        <w:spacing w:after="160" w:line="276"/>
      </w:pPr>
      <w:r>
        <w:rPr>
          <w:rFonts w:ascii="Poppins" w:cs="Poppins" w:eastAsia="Poppins" w:hAnsi="Poppins"/>
          <w:color w:val="2A317F"/>
          <w:sz w:val="22"/>
          <w:szCs w:val="22"/>
        </w:rPr>
        <w:t xml:space="preserve">Model selection will be available per conversation via a dropdown in the chat interface. The default model can be configured globally or per-user.</w:t>
      </w:r>
    </w:p>
    <w:p>
      <w:pPr>
        <w:spacing w:after="120" w:before="280"/>
      </w:pPr>
      <w:r>
        <w:rPr>
          <w:rFonts w:ascii="Poppins" w:cs="Poppins" w:eastAsia="Poppins" w:hAnsi="Poppins"/>
          <w:b/>
          <w:bCs/>
          <w:color w:val="2A317F"/>
          <w:sz w:val="28"/>
          <w:szCs w:val="28"/>
        </w:rPr>
        <w:t xml:space="preserve">Database Purpose</w:t>
      </w:r>
    </w:p>
    <w:p>
      <w:pPr>
        <w:spacing w:after="160" w:line="276"/>
      </w:pPr>
      <w:r>
        <w:rPr>
          <w:rFonts w:ascii="Poppins" w:cs="Poppins" w:eastAsia="Poppins" w:hAnsi="Poppins"/>
          <w:color w:val="2A317F"/>
          <w:sz w:val="22"/>
          <w:szCs w:val="22"/>
        </w:rPr>
        <w:t xml:space="preserve">The Postgres database serves several functions: storing user accounts and session tokens from Microsoft SSO, persisting full conversation history so users can resume chats, saving message metadata and model usage, and managing file upload references. This is a lightweight operational database, completely separate from the TIF survey data infrastructure.</w:t>
      </w:r>
    </w:p>
    <w:p>
      <w:pPr>
        <w:sectPr>
          <w:pgSz w:w="11906" w:h="16838" w:orient="portrait"/>
          <w:pgMar w:top="600" w:right="750" w:bottom="860" w:left="907" w:header="708" w:footer="708" w:gutter="0"/>
          <w:pgNumType/>
          <w:docGrid w:linePitch="360"/>
        </w:sectPr>
      </w:pPr>
    </w:p>
    <w:p>
      <w:pPr>
        <w:spacing w:after="200" w:before="0"/>
      </w:pPr>
      <w:r>
        <w:rPr>
          <w:rFonts w:ascii="Poppins" w:cs="Poppins" w:eastAsia="Poppins" w:hAnsi="Poppins"/>
          <w:b/>
          <w:bCs/>
          <w:caps/>
          <w:color w:val="DFF3FC"/>
          <w:sz w:val="22"/>
          <w:szCs w:val="22"/>
        </w:rPr>
        <w:t xml:space="preserve">THE INSIGHTS FAMILY</w:t>
      </w:r>
    </w:p>
    <w:p>
      <w:pPr>
        <w:spacing w:after="300" w:before="0"/>
      </w:pPr>
      <w:r>
        <w:rPr>
          <w:rFonts w:ascii="Poppins" w:cs="Poppins" w:eastAsia="Poppins" w:hAnsi="Poppins"/>
          <w:b/>
          <w:bCs/>
          <w:color w:val="2A317F"/>
          <w:sz w:val="72"/>
          <w:szCs w:val="72"/>
        </w:rPr>
        <w:t xml:space="preserve">Implementation</w:t>
      </w:r>
    </w:p>
    <w:p>
      <w:pPr>
        <w:spacing w:after="120" w:before="280"/>
      </w:pPr>
      <w:r>
        <w:rPr>
          <w:rFonts w:ascii="Poppins" w:cs="Poppins" w:eastAsia="Poppins" w:hAnsi="Poppins"/>
          <w:b/>
          <w:bCs/>
          <w:color w:val="2A317F"/>
          <w:sz w:val="28"/>
          <w:szCs w:val="28"/>
        </w:rPr>
        <w:t xml:space="preserve">Delivery Timeline</w:t>
      </w:r>
    </w:p>
    <w:tbl>
      <w:tblPr>
        <w:tblW w:type="dxa" w:w="10249"/>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3749"/>
      </w:tblGrid>
      <w:tr>
        <w:tc>
          <w:tcPr>
            <w:tcW w:type="dxa" w:w="2500"/>
            <w:tcBorders>
              <w:top w:val="single" w:color="CCCCCC" w:sz="1"/>
              <w:left w:val="single" w:color="CCCCCC" w:sz="1"/>
              <w:bottom w:val="single" w:color="CCCCCC" w:sz="1"/>
              <w:right w:val="single" w:color="CCCCCC" w:sz="1"/>
            </w:tcBorders>
            <w:shd w:fill="2A317F" w:val="clear"/>
            <w:tcMar>
              <w:top w:type="dxa" w:w="80"/>
              <w:left w:type="dxa" w:w="120"/>
              <w:bottom w:type="dxa" w:w="80"/>
              <w:right w:type="dxa" w:w="120"/>
            </w:tcMar>
          </w:tcPr>
          <w:p>
            <w:r>
              <w:rPr>
                <w:rFonts w:ascii="Poppins" w:cs="Poppins" w:eastAsia="Poppins" w:hAnsi="Poppins"/>
                <w:b/>
                <w:bCs/>
                <w:color w:val="FFFFFF"/>
                <w:sz w:val="20"/>
                <w:szCs w:val="20"/>
              </w:rPr>
              <w:t xml:space="preserve">Phase</w:t>
            </w:r>
          </w:p>
        </w:tc>
        <w:tc>
          <w:tcPr>
            <w:tcW w:type="dxa" w:w="4000"/>
            <w:tcBorders>
              <w:top w:val="single" w:color="CCCCCC" w:sz="1"/>
              <w:left w:val="single" w:color="CCCCCC" w:sz="1"/>
              <w:bottom w:val="single" w:color="CCCCCC" w:sz="1"/>
              <w:right w:val="single" w:color="CCCCCC" w:sz="1"/>
            </w:tcBorders>
            <w:shd w:fill="2A317F" w:val="clear"/>
            <w:tcMar>
              <w:top w:type="dxa" w:w="80"/>
              <w:left w:type="dxa" w:w="120"/>
              <w:bottom w:type="dxa" w:w="80"/>
              <w:right w:type="dxa" w:w="120"/>
            </w:tcMar>
          </w:tcPr>
          <w:p>
            <w:r>
              <w:rPr>
                <w:rFonts w:ascii="Poppins" w:cs="Poppins" w:eastAsia="Poppins" w:hAnsi="Poppins"/>
                <w:b/>
                <w:bCs/>
                <w:color w:val="FFFFFF"/>
                <w:sz w:val="20"/>
                <w:szCs w:val="20"/>
              </w:rPr>
              <w:t xml:space="preserve">Tasks</w:t>
            </w:r>
          </w:p>
        </w:tc>
        <w:tc>
          <w:tcPr>
            <w:tcW w:type="dxa" w:w="3749"/>
            <w:tcBorders>
              <w:top w:val="single" w:color="CCCCCC" w:sz="1"/>
              <w:left w:val="single" w:color="CCCCCC" w:sz="1"/>
              <w:bottom w:val="single" w:color="CCCCCC" w:sz="1"/>
              <w:right w:val="single" w:color="CCCCCC" w:sz="1"/>
            </w:tcBorders>
            <w:shd w:fill="2A317F" w:val="clear"/>
            <w:tcMar>
              <w:top w:type="dxa" w:w="80"/>
              <w:left w:type="dxa" w:w="120"/>
              <w:bottom w:type="dxa" w:w="80"/>
              <w:right w:type="dxa" w:w="120"/>
            </w:tcMar>
          </w:tcPr>
          <w:p>
            <w:r>
              <w:rPr>
                <w:rFonts w:ascii="Poppins" w:cs="Poppins" w:eastAsia="Poppins" w:hAnsi="Poppins"/>
                <w:b/>
                <w:bCs/>
                <w:color w:val="FFFFFF"/>
                <w:sz w:val="20"/>
                <w:szCs w:val="20"/>
              </w:rPr>
              <w:t xml:space="preserve">Duration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oppins" w:cs="Poppins" w:eastAsia="Poppins" w:hAnsi="Poppins"/>
                <w:b/>
                <w:bCs/>
                <w:color w:val="2A317F"/>
                <w:sz w:val="20"/>
                <w:szCs w:val="20"/>
              </w:rPr>
              <w:t xml:space="preserve">Phase 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oppins" w:cs="Poppins" w:eastAsia="Poppins" w:hAnsi="Poppins"/>
                <w:color w:val="2A317F"/>
                <w:sz w:val="20"/>
                <w:szCs w:val="20"/>
              </w:rPr>
              <w:t xml:space="preserve">Fork repo, deploy to Vercel, configure Microsoft SSO</w:t>
            </w:r>
          </w:p>
        </w:tc>
        <w:tc>
          <w:tcPr>
            <w:tcW w:type="dxa" w:w="3749"/>
            <w:tcBorders>
              <w:top w:val="single" w:color="CCCCCC" w:sz="1"/>
              <w:left w:val="single" w:color="CCCCCC" w:sz="1"/>
              <w:bottom w:val="single" w:color="CCCCCC" w:sz="1"/>
              <w:right w:val="single" w:color="CCCCCC" w:sz="1"/>
            </w:tcBorders>
            <w:shd w:fill="E4F3FA" w:val="clear"/>
            <w:tcMar>
              <w:top w:type="dxa" w:w="80"/>
              <w:left w:type="dxa" w:w="120"/>
              <w:bottom w:type="dxa" w:w="80"/>
              <w:right w:type="dxa" w:w="120"/>
            </w:tcMar>
          </w:tcPr>
          <w:p>
            <w:r>
              <w:rPr>
                <w:rFonts w:ascii="Poppins" w:cs="Poppins" w:eastAsia="Poppins" w:hAnsi="Poppins"/>
                <w:color w:val="2A317F"/>
                <w:sz w:val="20"/>
                <w:szCs w:val="20"/>
              </w:rPr>
              <w:t xml:space="preserve">1–2 days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oppins" w:cs="Poppins" w:eastAsia="Poppins" w:hAnsi="Poppins"/>
                <w:b/>
                <w:bCs/>
                <w:color w:val="2A317F"/>
                <w:sz w:val="20"/>
                <w:szCs w:val="20"/>
              </w:rPr>
              <w:t xml:space="preserve">Phase 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oppins" w:cs="Poppins" w:eastAsia="Poppins" w:hAnsi="Poppins"/>
                <w:color w:val="2A317F"/>
                <w:sz w:val="20"/>
                <w:szCs w:val="20"/>
              </w:rPr>
              <w:t xml:space="preserve">Add Anthropic, OpenAI, Perplexity providers + model selector UI</w:t>
            </w:r>
          </w:p>
        </w:tc>
        <w:tc>
          <w:tcPr>
            <w:tcW w:type="dxa" w:w="3749"/>
            <w:tcBorders>
              <w:top w:val="single" w:color="CCCCCC" w:sz="1"/>
              <w:left w:val="single" w:color="CCCCCC" w:sz="1"/>
              <w:bottom w:val="single" w:color="CCCCCC" w:sz="1"/>
              <w:right w:val="single" w:color="CCCCCC" w:sz="1"/>
            </w:tcBorders>
            <w:shd w:fill="E4F3FA" w:val="clear"/>
            <w:tcMar>
              <w:top w:type="dxa" w:w="80"/>
              <w:left w:type="dxa" w:w="120"/>
              <w:bottom w:type="dxa" w:w="80"/>
              <w:right w:type="dxa" w:w="120"/>
            </w:tcMar>
          </w:tcPr>
          <w:p>
            <w:r>
              <w:rPr>
                <w:rFonts w:ascii="Poppins" w:cs="Poppins" w:eastAsia="Poppins" w:hAnsi="Poppins"/>
                <w:color w:val="2A317F"/>
                <w:sz w:val="20"/>
                <w:szCs w:val="20"/>
              </w:rPr>
              <w:t xml:space="preserve">1 day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oppins" w:cs="Poppins" w:eastAsia="Poppins" w:hAnsi="Poppins"/>
                <w:b/>
                <w:bCs/>
                <w:color w:val="2A317F"/>
                <w:sz w:val="20"/>
                <w:szCs w:val="20"/>
              </w:rPr>
              <w:t xml:space="preserve">Phase 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oppins" w:cs="Poppins" w:eastAsia="Poppins" w:hAnsi="Poppins"/>
                <w:color w:val="2A317F"/>
                <w:sz w:val="20"/>
                <w:szCs w:val="20"/>
              </w:rPr>
              <w:t xml:space="preserve">Integrate Company Use and TIF Survey Tools MCP servers</w:t>
            </w:r>
          </w:p>
        </w:tc>
        <w:tc>
          <w:tcPr>
            <w:tcW w:type="dxa" w:w="3749"/>
            <w:tcBorders>
              <w:top w:val="single" w:color="CCCCCC" w:sz="1"/>
              <w:left w:val="single" w:color="CCCCCC" w:sz="1"/>
              <w:bottom w:val="single" w:color="CCCCCC" w:sz="1"/>
              <w:right w:val="single" w:color="CCCCCC" w:sz="1"/>
            </w:tcBorders>
            <w:shd w:fill="E4F3FA" w:val="clear"/>
            <w:tcMar>
              <w:top w:type="dxa" w:w="80"/>
              <w:left w:type="dxa" w:w="120"/>
              <w:bottom w:type="dxa" w:w="80"/>
              <w:right w:type="dxa" w:w="120"/>
            </w:tcMar>
          </w:tcPr>
          <w:p>
            <w:r>
              <w:rPr>
                <w:rFonts w:ascii="Poppins" w:cs="Poppins" w:eastAsia="Poppins" w:hAnsi="Poppins"/>
                <w:color w:val="2A317F"/>
                <w:sz w:val="20"/>
                <w:szCs w:val="20"/>
              </w:rPr>
              <w:t xml:space="preserve">1–2 days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oppins" w:cs="Poppins" w:eastAsia="Poppins" w:hAnsi="Poppins"/>
                <w:b/>
                <w:bCs/>
                <w:color w:val="2A317F"/>
                <w:sz w:val="20"/>
                <w:szCs w:val="20"/>
              </w:rPr>
              <w:t xml:space="preserve">Phase 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oppins" w:cs="Poppins" w:eastAsia="Poppins" w:hAnsi="Poppins"/>
                <w:color w:val="2A317F"/>
                <w:sz w:val="20"/>
                <w:szCs w:val="20"/>
              </w:rPr>
              <w:t xml:space="preserve">Apply TIF branding (colours, logo, Poppins font)</w:t>
            </w:r>
          </w:p>
        </w:tc>
        <w:tc>
          <w:tcPr>
            <w:tcW w:type="dxa" w:w="3749"/>
            <w:tcBorders>
              <w:top w:val="single" w:color="CCCCCC" w:sz="1"/>
              <w:left w:val="single" w:color="CCCCCC" w:sz="1"/>
              <w:bottom w:val="single" w:color="CCCCCC" w:sz="1"/>
              <w:right w:val="single" w:color="CCCCCC" w:sz="1"/>
            </w:tcBorders>
            <w:shd w:fill="E4F3FA" w:val="clear"/>
            <w:tcMar>
              <w:top w:type="dxa" w:w="80"/>
              <w:left w:type="dxa" w:w="120"/>
              <w:bottom w:type="dxa" w:w="80"/>
              <w:right w:type="dxa" w:w="120"/>
            </w:tcMar>
          </w:tcPr>
          <w:p>
            <w:r>
              <w:rPr>
                <w:rFonts w:ascii="Poppins" w:cs="Poppins" w:eastAsia="Poppins" w:hAnsi="Poppins"/>
                <w:color w:val="2A317F"/>
                <w:sz w:val="20"/>
                <w:szCs w:val="20"/>
              </w:rPr>
              <w:t xml:space="preserve">0.5 days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oppins" w:cs="Poppins" w:eastAsia="Poppins" w:hAnsi="Poppins"/>
                <w:b/>
                <w:bCs/>
                <w:color w:val="2A317F"/>
                <w:sz w:val="20"/>
                <w:szCs w:val="20"/>
              </w:rPr>
              <w:t xml:space="preserve">Phase 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Poppins" w:cs="Poppins" w:eastAsia="Poppins" w:hAnsi="Poppins"/>
                <w:color w:val="2A317F"/>
                <w:sz w:val="20"/>
                <w:szCs w:val="20"/>
              </w:rPr>
              <w:t xml:space="preserve">Testing, user onboarding, documentation</w:t>
            </w:r>
          </w:p>
        </w:tc>
        <w:tc>
          <w:tcPr>
            <w:tcW w:type="dxa" w:w="3749"/>
            <w:tcBorders>
              <w:top w:val="single" w:color="CCCCCC" w:sz="1"/>
              <w:left w:val="single" w:color="CCCCCC" w:sz="1"/>
              <w:bottom w:val="single" w:color="CCCCCC" w:sz="1"/>
              <w:right w:val="single" w:color="CCCCCC" w:sz="1"/>
            </w:tcBorders>
            <w:shd w:fill="E4F3FA" w:val="clear"/>
            <w:tcMar>
              <w:top w:type="dxa" w:w="80"/>
              <w:left w:type="dxa" w:w="120"/>
              <w:bottom w:type="dxa" w:w="80"/>
              <w:right w:type="dxa" w:w="120"/>
            </w:tcMar>
          </w:tcPr>
          <w:p>
            <w:r>
              <w:rPr>
                <w:rFonts w:ascii="Poppins" w:cs="Poppins" w:eastAsia="Poppins" w:hAnsi="Poppins"/>
                <w:color w:val="2A317F"/>
                <w:sz w:val="20"/>
                <w:szCs w:val="20"/>
              </w:rPr>
              <w:t xml:space="preserve">1–2 days</w:t>
            </w:r>
          </w:p>
        </w:tc>
      </w:tr>
    </w:tbl>
    <w:p>
      <w:pPr>
        <w:spacing w:after="60"/>
      </w:pPr>
    </w:p>
    <w:p>
      <w:pPr>
        <w:spacing w:after="160" w:line="276"/>
      </w:pPr>
      <w:r>
        <w:rPr>
          <w:rFonts w:ascii="Poppins" w:cs="Poppins" w:eastAsia="Poppins" w:hAnsi="Poppins"/>
          <w:color w:val="2A317F"/>
          <w:sz w:val="22"/>
          <w:szCs w:val="22"/>
        </w:rPr>
        <w:t xml:space="preserve">Total estimated time: 5–8 working days from kickoff to internal launch. The majority of the work involves configuration rather than custom development, thanks to the mature template and existing MCP server infrastructure.</w:t>
      </w:r>
    </w:p>
    <w:p>
      <w:pPr>
        <w:spacing w:after="120" w:before="280"/>
      </w:pPr>
      <w:r>
        <w:rPr>
          <w:rFonts w:ascii="Poppins" w:cs="Poppins" w:eastAsia="Poppins" w:hAnsi="Poppins"/>
          <w:b/>
          <w:bCs/>
          <w:color w:val="2A317F"/>
          <w:sz w:val="28"/>
          <w:szCs w:val="28"/>
        </w:rPr>
        <w:t xml:space="preserve">Environment Variables Required</w:t>
      </w:r>
    </w:p>
    <w:p>
      <w:pPr>
        <w:spacing w:after="160" w:line="276"/>
      </w:pPr>
      <w:r>
        <w:rPr>
          <w:rFonts w:ascii="Poppins" w:cs="Poppins" w:eastAsia="Poppins" w:hAnsi="Poppins"/>
          <w:color w:val="2A317F"/>
          <w:sz w:val="22"/>
          <w:szCs w:val="22"/>
        </w:rPr>
        <w:t xml:space="preserve">The following secrets and configuration values will be needed:</w:t>
      </w:r>
    </w:p>
    <w:p>
      <w:pPr>
        <w:spacing w:after="160" w:line="276"/>
      </w:pPr>
      <w:r>
        <w:rPr>
          <w:rFonts w:ascii="Poppins" w:cs="Poppins" w:eastAsia="Poppins" w:hAnsi="Poppins"/>
          <w:color w:val="2A317F"/>
          <w:sz w:val="22"/>
          <w:szCs w:val="22"/>
        </w:rPr>
        <w:t xml:space="preserve">•  AUTH_SECRET — Random string for session encryption</w:t>
      </w:r>
    </w:p>
    <w:p>
      <w:pPr>
        <w:spacing w:after="160" w:line="276"/>
      </w:pPr>
      <w:r>
        <w:rPr>
          <w:rFonts w:ascii="Poppins" w:cs="Poppins" w:eastAsia="Poppins" w:hAnsi="Poppins"/>
          <w:color w:val="2A317F"/>
          <w:sz w:val="22"/>
          <w:szCs w:val="22"/>
        </w:rPr>
        <w:t xml:space="preserve">•  AUTH_MICROSOFT_ENTRA_ID_ID — Azure app registration client ID</w:t>
      </w:r>
    </w:p>
    <w:p>
      <w:pPr>
        <w:spacing w:after="160" w:line="276"/>
      </w:pPr>
      <w:r>
        <w:rPr>
          <w:rFonts w:ascii="Poppins" w:cs="Poppins" w:eastAsia="Poppins" w:hAnsi="Poppins"/>
          <w:color w:val="2A317F"/>
          <w:sz w:val="22"/>
          <w:szCs w:val="22"/>
        </w:rPr>
        <w:t xml:space="preserve">•  AUTH_MICROSOFT_ENTRA_ID_SECRET — Azure app registration client secret</w:t>
      </w:r>
    </w:p>
    <w:p>
      <w:pPr>
        <w:spacing w:after="160" w:line="276"/>
      </w:pPr>
      <w:r>
        <w:rPr>
          <w:rFonts w:ascii="Poppins" w:cs="Poppins" w:eastAsia="Poppins" w:hAnsi="Poppins"/>
          <w:color w:val="2A317F"/>
          <w:sz w:val="22"/>
          <w:szCs w:val="22"/>
        </w:rPr>
        <w:t xml:space="preserve">•  AUTH_MICROSOFT_ENTRA_ID_TENANT_ID — TIF Microsoft tenant ID</w:t>
      </w:r>
    </w:p>
    <w:p>
      <w:pPr>
        <w:spacing w:after="160" w:line="276"/>
      </w:pPr>
      <w:r>
        <w:rPr>
          <w:rFonts w:ascii="Poppins" w:cs="Poppins" w:eastAsia="Poppins" w:hAnsi="Poppins"/>
          <w:color w:val="2A317F"/>
          <w:sz w:val="22"/>
          <w:szCs w:val="22"/>
        </w:rPr>
        <w:t xml:space="preserve">•  ANTHROPIC_API_KEY — Anthropic API key</w:t>
      </w:r>
    </w:p>
    <w:p>
      <w:pPr>
        <w:spacing w:after="160" w:line="276"/>
      </w:pPr>
      <w:r>
        <w:rPr>
          <w:rFonts w:ascii="Poppins" w:cs="Poppins" w:eastAsia="Poppins" w:hAnsi="Poppins"/>
          <w:color w:val="2A317F"/>
          <w:sz w:val="22"/>
          <w:szCs w:val="22"/>
        </w:rPr>
        <w:t xml:space="preserve">•  OPENAI_API_KEY — OpenAI API key</w:t>
      </w:r>
    </w:p>
    <w:p>
      <w:pPr>
        <w:spacing w:after="160" w:line="276"/>
      </w:pPr>
      <w:r>
        <w:rPr>
          <w:rFonts w:ascii="Poppins" w:cs="Poppins" w:eastAsia="Poppins" w:hAnsi="Poppins"/>
          <w:color w:val="2A317F"/>
          <w:sz w:val="22"/>
          <w:szCs w:val="22"/>
        </w:rPr>
        <w:t xml:space="preserve">•  PERPLEXITY_API_KEY — Perplexity API key</w:t>
      </w:r>
    </w:p>
    <w:p>
      <w:pPr>
        <w:spacing w:after="160" w:line="276"/>
      </w:pPr>
      <w:r>
        <w:rPr>
          <w:rFonts w:ascii="Poppins" w:cs="Poppins" w:eastAsia="Poppins" w:hAnsi="Poppins"/>
          <w:color w:val="2A317F"/>
          <w:sz w:val="22"/>
          <w:szCs w:val="22"/>
        </w:rPr>
        <w:t xml:space="preserve">•  POSTGRES_URL — Neon Postgres connection string</w:t>
      </w:r>
    </w:p>
    <w:p>
      <w:pPr>
        <w:spacing w:after="160" w:line="276"/>
      </w:pPr>
      <w:r>
        <w:rPr>
          <w:rFonts w:ascii="Poppins" w:cs="Poppins" w:eastAsia="Poppins" w:hAnsi="Poppins"/>
          <w:color w:val="2A317F"/>
          <w:sz w:val="22"/>
          <w:szCs w:val="22"/>
        </w:rPr>
        <w:t xml:space="preserve">•  BLOB_READ_WRITE_TOKEN — Vercel Blob storage token</w:t>
      </w:r>
    </w:p>
    <w:p>
      <w:pPr>
        <w:spacing w:after="160" w:line="276"/>
      </w:pPr>
      <w:r>
        <w:rPr>
          <w:rFonts w:ascii="Poppins" w:cs="Poppins" w:eastAsia="Poppins" w:hAnsi="Poppins"/>
          <w:color w:val="2A317F"/>
          <w:sz w:val="22"/>
          <w:szCs w:val="22"/>
        </w:rPr>
        <w:t xml:space="preserve">•  MCP_COMPANY_SERVER_URL — Company MCP server SSE endpoint</w:t>
      </w:r>
    </w:p>
    <w:p>
      <w:pPr>
        <w:spacing w:after="160" w:line="276"/>
      </w:pPr>
      <w:r>
        <w:rPr>
          <w:rFonts w:ascii="Poppins" w:cs="Poppins" w:eastAsia="Poppins" w:hAnsi="Poppins"/>
          <w:color w:val="2A317F"/>
          <w:sz w:val="22"/>
          <w:szCs w:val="22"/>
        </w:rPr>
        <w:t xml:space="preserve">•  MCP_SURVEY_SERVER_URL — TIF Survey Tools MCP server SSE endpoint</w:t>
      </w:r>
    </w:p>
    <w:p>
      <w:pPr>
        <w:spacing w:after="120" w:before="280"/>
      </w:pPr>
      <w:r>
        <w:rPr>
          <w:rFonts w:ascii="Poppins" w:cs="Poppins" w:eastAsia="Poppins" w:hAnsi="Poppins"/>
          <w:b/>
          <w:bCs/>
          <w:color w:val="2A317F"/>
          <w:sz w:val="28"/>
          <w:szCs w:val="28"/>
        </w:rPr>
        <w:t xml:space="preserve">Next Steps</w:t>
      </w:r>
    </w:p>
    <w:p>
      <w:pPr>
        <w:spacing w:after="160" w:line="276"/>
      </w:pPr>
      <w:r>
        <w:rPr>
          <w:rFonts w:ascii="Poppins" w:cs="Poppins" w:eastAsia="Poppins" w:hAnsi="Poppins"/>
          <w:color w:val="2A317F"/>
          <w:sz w:val="22"/>
          <w:szCs w:val="22"/>
        </w:rPr>
        <w:t xml:space="preserve">1. Register an Azure app in the TIF Microsoft Entra ID tenant for SSO</w:t>
      </w:r>
    </w:p>
    <w:p>
      <w:pPr>
        <w:spacing w:after="160" w:line="276"/>
      </w:pPr>
      <w:r>
        <w:rPr>
          <w:rFonts w:ascii="Poppins" w:cs="Poppins" w:eastAsia="Poppins" w:hAnsi="Poppins"/>
          <w:color w:val="2A317F"/>
          <w:sz w:val="22"/>
          <w:szCs w:val="22"/>
        </w:rPr>
        <w:t xml:space="preserve">2. Provision a Neon Postgres database (free tier is sufficient initially)</w:t>
      </w:r>
    </w:p>
    <w:p>
      <w:pPr>
        <w:spacing w:after="160" w:line="276"/>
      </w:pPr>
      <w:r>
        <w:rPr>
          <w:rFonts w:ascii="Poppins" w:cs="Poppins" w:eastAsia="Poppins" w:hAnsi="Poppins"/>
          <w:color w:val="2A317F"/>
          <w:sz w:val="22"/>
          <w:szCs w:val="22"/>
        </w:rPr>
        <w:t xml:space="preserve">3. Confirm API keys are available for all three AI providers</w:t>
      </w:r>
    </w:p>
    <w:p>
      <w:pPr>
        <w:spacing w:after="160" w:line="276"/>
      </w:pPr>
      <w:r>
        <w:rPr>
          <w:rFonts w:ascii="Poppins" w:cs="Poppins" w:eastAsia="Poppins" w:hAnsi="Poppins"/>
          <w:color w:val="2A317F"/>
          <w:sz w:val="22"/>
          <w:szCs w:val="22"/>
        </w:rPr>
        <w:t xml:space="preserve">4. Confirm MCP server endpoints are accessible from Vercel’s network</w:t>
      </w:r>
    </w:p>
    <w:p>
      <w:pPr>
        <w:spacing w:after="160" w:line="276"/>
      </w:pPr>
      <w:r>
        <w:rPr>
          <w:rFonts w:ascii="Poppins" w:cs="Poppins" w:eastAsia="Poppins" w:hAnsi="Poppins"/>
          <w:color w:val="2A317F"/>
          <w:sz w:val="22"/>
          <w:szCs w:val="22"/>
        </w:rPr>
        <w:t xml:space="preserve">5. Begin implementation using Claude Code with the accompanying implementation plan</w:t>
      </w:r>
    </w:p>
    <w:sectPr>
      <w:pgSz w:w="11906" w:h="16838" w:orient="portrait"/>
      <w:pgMar w:top="600" w:right="750" w:bottom="860"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color w:val="2A317F"/>
        <w:sz w:val="22"/>
        <w:szCs w:val="22"/>
      </w:rPr>
    </w:rPrDefault>
    <w:pPrDefault>
      <w:pPr>
        <w:spacing w:after="2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fac4fad3b1c14893ffcec64b09f03df86bbfdfb.png"/><Relationship Id="rId8" Type="http://schemas.openxmlformats.org/officeDocument/2006/relationships/image" Target="media/ae10213a225ed859b4210d00b78d9596f750283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2026-03-02T21:45:49.836Z</dcterms:created>
  <dcterms:modified xsi:type="dcterms:W3CDTF">2026-03-02T21:45:49.837Z</dcterms:modified>
</cp:coreProperties>
</file>

<file path=docProps/custom.xml><?xml version="1.0" encoding="utf-8"?>
<Properties xmlns="http://schemas.openxmlformats.org/officeDocument/2006/custom-properties" xmlns:vt="http://schemas.openxmlformats.org/officeDocument/2006/docPropsVTypes"/>
</file>