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3 718 questions · 18 domaines · 3 manches partout · Parcours certifiants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2.41 — août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plus de 3 600 questions documentées en jeu interactif chronométré — et en parcours certifiants —,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3 718 questions documentées sur 18 domaines — dont « IA, LLM et Agents intelligents » et « Topographie, génie civil et architecture » (au moins 200 questions par domaine, chaque domaine couvrant les 3 manches)</w:t>
      </w:r>
    </w:p>
    <w:p>
      <w:pPr>
        <w:pStyle w:val="ListParagraph"/>
        <w:numPr>
          <w:ilvl w:val="0"/>
          <w:numId w:val="2"/>
        </w:numPr>
        <w:spacing w:after="80"/>
      </w:pPr>
      <w:r>
        <w:rPr>
          <w:rFonts w:ascii="Arial" w:cs="Arial" w:eastAsia="Arial" w:hAnsi="Arial"/>
          <w:sz w:val="22"/>
          <w:szCs w:val="22"/>
        </w:rPr>
        <w:t xml:space="preserve">Parcours certifiants en 4 niveaux (Débutant, Intermédiaire, Avancé, Expert) avec certificats PDF/JPG signés, nom complet imprimable et limite hebdomadaire configurable</w:t>
      </w:r>
    </w:p>
    <w:p>
      <w:pPr>
        <w:pStyle w:val="ListParagraph"/>
        <w:numPr>
          <w:ilvl w:val="0"/>
          <w:numId w:val="2"/>
        </w:numPr>
        <w:spacing w:after="80"/>
      </w:pPr>
      <w:r>
        <w:rPr>
          <w:rFonts w:ascii="Arial" w:cs="Arial" w:eastAsia="Arial" w:hAnsi="Arial"/>
          <w:sz w:val="22"/>
          <w:szCs w:val="22"/>
        </w:rPr>
        <w:t xml:space="preserve">Comptes auto-inscrits, administrateurs nommés et codes visiteur partagés multi-sessions</w:t>
      </w:r>
    </w:p>
    <w:p>
      <w:pPr>
        <w:pStyle w:val="ListParagraph"/>
        <w:numPr>
          <w:ilvl w:val="0"/>
          <w:numId w:val="2"/>
        </w:numPr>
        <w:spacing w:after="80"/>
      </w:pPr>
      <w:r>
        <w:rPr>
          <w:rFonts w:ascii="Arial" w:cs="Arial" w:eastAsia="Arial" w:hAnsi="Arial"/>
          <w:sz w:val="22"/>
          <w:szCs w:val="22"/>
        </w:rPr>
        <w:t xml:space="preserve">Import de spécialités : .txt/.json, langage naturel avec distracteurs générés, ou upload Word/PDF/TXT — modèles téléchargeables</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a6tcjelyfuasx8ufgb739">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secuwc28qdiqnlfm7eoaa">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3 658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18 domaines couverts</w:t>
      </w:r>
    </w:p>
    <w:p>
      <w:pPr>
        <w:spacing w:after="100"/>
      </w:pPr>
      <w:r>
        <w:rPr>
          <w:rFonts w:ascii="Arial" w:cs="Arial" w:eastAsia="Arial" w:hAnsi="Arial"/>
          <w:sz w:val="22"/>
          <w:szCs w:val="22"/>
        </w:rPr>
        <w:t xml:space="preserve">La base intégrée totalise 3 718 questions documentées (18 domaines, au moins 200 questions chacun, tous jouables dans les 3 manches ; ce total évolue avec les spécialités personnalisées ajoutées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and67brwr7pxdvyq9kecz">
        <w:r>
          <w:rPr>
            <w:rStyle w:val="Hyperlink"/>
            <w:rFonts w:ascii="Arial" w:cs="Arial" w:eastAsia="Arial" w:hAnsi="Arial"/>
            <w:color w:val="1F3864"/>
            <w:sz w:val="22"/>
            <w:szCs w:val="22"/>
            <w:u w:val="single"/>
          </w:rPr>
          <w:t xml:space="preserve">github.com/Ricard228/qpc-app/issues</w:t>
        </w:r>
      </w:hyperlink>
    </w:p>
    <w:p>
      <w:r>
        <w:br w:type="page"/>
      </w:r>
    </w:p>
    <w:p>
      <w:pPr>
        <w:pStyle w:val="Heading1"/>
        <w:spacing w:after="200" w:before="360"/>
      </w:pPr>
      <w:r>
        <w:rPr>
          <w:rFonts w:ascii="Arial" w:cs="Arial" w:eastAsia="Arial" w:hAnsi="Arial"/>
          <w:b/>
          <w:bCs/>
          <w:color w:val="1F3864"/>
          <w:sz w:val="32"/>
          <w:szCs w:val="32"/>
        </w:rPr>
        <w:t xml:space="preserve">9. Nouveautés v2.20 → v2.41</w:t>
      </w:r>
    </w:p>
    <w:p>
      <w:pPr>
        <w:spacing w:after="100"/>
      </w:pPr>
      <w:r>
        <w:rPr>
          <w:rFonts w:ascii="Arial" w:cs="Arial" w:eastAsia="Arial" w:hAnsi="Arial"/>
          <w:sz w:val="22"/>
          <w:szCs w:val="22"/>
        </w:rPr>
        <w:t xml:space="preserve">Résumé des fonctionnalités ajoutées depuis la première édition de ce guide (v2.18/2.19).</w:t>
      </w:r>
    </w:p>
    <w:p>
      <w:pPr>
        <w:pStyle w:val="Heading2"/>
        <w:spacing w:after="140" w:before="280"/>
      </w:pPr>
      <w:r>
        <w:rPr>
          <w:rFonts w:ascii="Arial" w:cs="Arial" w:eastAsia="Arial" w:hAnsi="Arial"/>
          <w:b/>
          <w:bCs/>
          <w:color w:val="1F3864"/>
          <w:sz w:val="26"/>
          <w:szCs w:val="26"/>
        </w:rPr>
        <w:t xml:space="preserve">Comptes, rôles et connexion</w:t>
      </w:r>
    </w:p>
    <w:p>
      <w:pPr>
        <w:pStyle w:val="ListParagraph"/>
        <w:numPr>
          <w:ilvl w:val="0"/>
          <w:numId w:val="2"/>
        </w:numPr>
        <w:spacing w:after="80"/>
      </w:pPr>
      <w:r>
        <w:rPr>
          <w:rFonts w:ascii="Arial" w:cs="Arial" w:eastAsia="Arial" w:hAnsi="Arial"/>
          <w:sz w:val="22"/>
          <w:szCs w:val="22"/>
        </w:rPr>
        <w:t xml:space="preserve">Auto-inscription : compte e-mail + pseudo + mot de passe (désactivable par l’admin) ; le mot de passe est exigé à chaque ouverture de l’application.</w:t>
      </w:r>
    </w:p>
    <w:p>
      <w:pPr>
        <w:pStyle w:val="ListParagraph"/>
        <w:numPr>
          <w:ilvl w:val="0"/>
          <w:numId w:val="2"/>
        </w:numPr>
        <w:spacing w:after="80"/>
      </w:pPr>
      <w:r>
        <w:rPr>
          <w:rFonts w:ascii="Arial" w:cs="Arial" w:eastAsia="Arial" w:hAnsi="Arial"/>
          <w:sz w:val="22"/>
          <w:szCs w:val="22"/>
        </w:rPr>
        <w:t xml:space="preserve">Administrateurs nommés : comptes promus par le super-admin, avec bascule permanente espace joueur ↔ panneau admin.</w:t>
      </w:r>
    </w:p>
    <w:p>
      <w:pPr>
        <w:pStyle w:val="ListParagraph"/>
        <w:numPr>
          <w:ilvl w:val="0"/>
          <w:numId w:val="2"/>
        </w:numPr>
        <w:spacing w:after="80"/>
      </w:pPr>
      <w:r>
        <w:rPr>
          <w:rFonts w:ascii="Arial" w:cs="Arial" w:eastAsia="Arial" w:hAnsi="Arial"/>
          <w:sz w:val="22"/>
          <w:szCs w:val="22"/>
        </w:rPr>
        <w:t xml:space="preserve">Codes visiteur partagés : un même code utilisable simultanément par plusieurs personnes (chacune choisit un pseudo de session) — idéal démos, classes, événements.</w:t>
      </w:r>
    </w:p>
    <w:p>
      <w:pPr>
        <w:pStyle w:val="Heading2"/>
        <w:spacing w:after="140" w:before="280"/>
      </w:pPr>
      <w:r>
        <w:rPr>
          <w:rFonts w:ascii="Arial" w:cs="Arial" w:eastAsia="Arial" w:hAnsi="Arial"/>
          <w:b/>
          <w:bCs/>
          <w:color w:val="1F3864"/>
          <w:sz w:val="26"/>
          <w:szCs w:val="26"/>
        </w:rPr>
        <w:t xml:space="preserve">Parcours &amp; certificats</w:t>
      </w:r>
    </w:p>
    <w:p>
      <w:pPr>
        <w:pStyle w:val="ListParagraph"/>
        <w:numPr>
          <w:ilvl w:val="0"/>
          <w:numId w:val="2"/>
        </w:numPr>
        <w:spacing w:after="80"/>
      </w:pPr>
      <w:r>
        <w:rPr>
          <w:rFonts w:ascii="Arial" w:cs="Arial" w:eastAsia="Arial" w:hAnsi="Arial"/>
          <w:sz w:val="22"/>
          <w:szCs w:val="22"/>
        </w:rPr>
        <w:t xml:space="preserve">Chaque domaine se valide en 4 niveaux : Débutant (≥ 50 %), Intermédiaire (≥ 55 %), Avancé (≥ 60 %), Expert (≥ 70 %), à débloquer dans l’ordre.</w:t>
      </w:r>
    </w:p>
    <w:p>
      <w:pPr>
        <w:pStyle w:val="ListParagraph"/>
        <w:numPr>
          <w:ilvl w:val="0"/>
          <w:numId w:val="2"/>
        </w:numPr>
        <w:spacing w:after="80"/>
      </w:pPr>
      <w:r>
        <w:rPr>
          <w:rFonts w:ascii="Arial" w:cs="Arial" w:eastAsia="Arial" w:hAnsi="Arial"/>
          <w:sz w:val="22"/>
          <w:szCs w:val="22"/>
        </w:rPr>
        <w:t xml:space="preserve">Certificats téléchargeables en PDF ou JPG, avec distinction (Passable, Bien, Très Bien, Excellent), numéro unique et signature Nevame DataHouse.</w:t>
      </w:r>
    </w:p>
    <w:p>
      <w:pPr>
        <w:pStyle w:val="ListParagraph"/>
        <w:numPr>
          <w:ilvl w:val="0"/>
          <w:numId w:val="2"/>
        </w:numPr>
        <w:spacing w:after="80"/>
      </w:pPr>
      <w:r>
        <w:rPr>
          <w:rFonts w:ascii="Arial" w:cs="Arial" w:eastAsia="Arial" w:hAnsi="Arial"/>
          <w:sz w:val="22"/>
          <w:szCs w:val="22"/>
        </w:rPr>
        <w:t xml:space="preserve">Nom et prénoms complets imprimables sur les certificats (définis par l’admin ou le joueur), sans changer le pseudo ni le code d’accès — mise à jour rétroactive des certificats déjà obtenus.</w:t>
      </w:r>
    </w:p>
    <w:p>
      <w:pPr>
        <w:pStyle w:val="ListParagraph"/>
        <w:numPr>
          <w:ilvl w:val="0"/>
          <w:numId w:val="2"/>
        </w:numPr>
        <w:spacing w:after="80"/>
      </w:pPr>
      <w:r>
        <w:rPr>
          <w:rFonts w:ascii="Arial" w:cs="Arial" w:eastAsia="Arial" w:hAnsi="Arial"/>
          <w:sz w:val="22"/>
          <w:szCs w:val="22"/>
        </w:rPr>
        <w:t xml:space="preserve">Limite hebdomadaire de tentatives par certificat configurable par l’admin (ex. 3/semaine ; 0 = illimité) — les échecs comptent, remise à zéro chaque lundi.</w:t>
      </w:r>
    </w:p>
    <w:p>
      <w:pPr>
        <w:pStyle w:val="Heading2"/>
        <w:spacing w:after="140" w:before="280"/>
      </w:pPr>
      <w:r>
        <w:rPr>
          <w:rFonts w:ascii="Arial" w:cs="Arial" w:eastAsia="Arial" w:hAnsi="Arial"/>
          <w:b/>
          <w:bCs/>
          <w:color w:val="1F3864"/>
          <w:sz w:val="26"/>
          <w:szCs w:val="26"/>
        </w:rPr>
        <w:t xml:space="preserve">Spécialités importées</w:t>
      </w:r>
    </w:p>
    <w:p>
      <w:pPr>
        <w:pStyle w:val="ListParagraph"/>
        <w:numPr>
          <w:ilvl w:val="0"/>
          <w:numId w:val="2"/>
        </w:numPr>
        <w:spacing w:after="80"/>
      </w:pPr>
      <w:r>
        <w:rPr>
          <w:rFonts w:ascii="Arial" w:cs="Arial" w:eastAsia="Arial" w:hAnsi="Arial"/>
          <w:sz w:val="22"/>
          <w:szCs w:val="22"/>
        </w:rPr>
        <w:t xml:space="preserve">Import en langage naturel : coller « Q1 : … / R1 : … » suffit — les QCM et distracteurs réalistes sont générés automatiquement, avec prévisualisation.</w:t>
      </w:r>
    </w:p>
    <w:p>
      <w:pPr>
        <w:pStyle w:val="ListParagraph"/>
        <w:numPr>
          <w:ilvl w:val="0"/>
          <w:numId w:val="2"/>
        </w:numPr>
        <w:spacing w:after="80"/>
      </w:pPr>
      <w:r>
        <w:rPr>
          <w:rFonts w:ascii="Arial" w:cs="Arial" w:eastAsia="Arial" w:hAnsi="Arial"/>
          <w:sz w:val="22"/>
          <w:szCs w:val="22"/>
        </w:rPr>
        <w:t xml:space="preserve">Upload direct de fichiers Word (.docx), PDF, TXT, RTF ou HTML : le texte est extrait puis structuré automatiquement.</w:t>
      </w:r>
    </w:p>
    <w:p>
      <w:pPr>
        <w:pStyle w:val="ListParagraph"/>
        <w:numPr>
          <w:ilvl w:val="0"/>
          <w:numId w:val="2"/>
        </w:numPr>
        <w:spacing w:after="80"/>
      </w:pPr>
      <w:r>
        <w:rPr>
          <w:rFonts w:ascii="Arial" w:cs="Arial" w:eastAsia="Arial" w:hAnsi="Arial"/>
          <w:sz w:val="22"/>
          <w:szCs w:val="22"/>
        </w:rPr>
        <w:t xml:space="preserve">Multi-manches à l’import (M1/M2/M3), badges de couverture dans le setup, et deux modèles .txt prêts à l’emploi téléchargeables depuis le panneau admin.</w:t>
      </w:r>
    </w:p>
    <w:p>
      <w:pPr>
        <w:pStyle w:val="ListParagraph"/>
        <w:numPr>
          <w:ilvl w:val="0"/>
          <w:numId w:val="2"/>
        </w:numPr>
        <w:spacing w:after="80"/>
      </w:pPr>
      <w:r>
        <w:rPr>
          <w:rFonts w:ascii="Arial" w:cs="Arial" w:eastAsia="Arial" w:hAnsi="Arial"/>
          <w:sz w:val="22"/>
          <w:szCs w:val="22"/>
        </w:rPr>
        <w:t xml:space="preserve">Les spécialités importées fonctionnent en partie libre, en QCM, en révision libre et en parcours certifiant.</w:t>
      </w:r>
    </w:p>
    <w:p>
      <w:pPr>
        <w:pStyle w:val="Heading2"/>
        <w:spacing w:after="140" w:before="280"/>
      </w:pPr>
      <w:r>
        <w:rPr>
          <w:rFonts w:ascii="Arial" w:cs="Arial" w:eastAsia="Arial" w:hAnsi="Arial"/>
          <w:b/>
          <w:bCs/>
          <w:color w:val="1F3864"/>
          <w:sz w:val="26"/>
          <w:szCs w:val="26"/>
        </w:rPr>
        <w:t xml:space="preserve">Contenus et réglages</w:t>
      </w:r>
    </w:p>
    <w:p>
      <w:pPr>
        <w:pStyle w:val="ListParagraph"/>
        <w:numPr>
          <w:ilvl w:val="0"/>
          <w:numId w:val="2"/>
        </w:numPr>
        <w:spacing w:after="80"/>
      </w:pPr>
      <w:r>
        <w:rPr>
          <w:rFonts w:ascii="Arial" w:cs="Arial" w:eastAsia="Arial" w:hAnsi="Arial"/>
          <w:sz w:val="22"/>
          <w:szCs w:val="22"/>
        </w:rPr>
        <w:t xml:space="preserve">Éditeur intégré des questions/réponses/sources : super-admin sur tous les domaines (modifications persistantes), admins nommés sur les spécialités importées.</w:t>
      </w:r>
    </w:p>
    <w:p>
      <w:pPr>
        <w:pStyle w:val="ListParagraph"/>
        <w:numPr>
          <w:ilvl w:val="0"/>
          <w:numId w:val="2"/>
        </w:numPr>
        <w:spacing w:after="80"/>
      </w:pPr>
      <w:r>
        <w:rPr>
          <w:rFonts w:ascii="Arial" w:cs="Arial" w:eastAsia="Arial" w:hAnsi="Arial"/>
          <w:sz w:val="22"/>
          <w:szCs w:val="22"/>
        </w:rPr>
        <w:t xml:space="preserve">Base portée à 3 718 questions sur 18 domaines (au moins 200 questions et les 3 manches par domaine), avec renforts majeurs en évaluation d’impact (DID, PSM, IV, RDD, contrôle synthétique, CATE + commandes STATA 18/19) et en IA/LLM technique.</w:t>
      </w:r>
    </w:p>
    <w:p>
      <w:pPr>
        <w:pStyle w:val="ListParagraph"/>
        <w:numPr>
          <w:ilvl w:val="0"/>
          <w:numId w:val="2"/>
        </w:numPr>
        <w:spacing w:after="80"/>
      </w:pPr>
      <w:r>
        <w:rPr>
          <w:rFonts w:ascii="Arial" w:cs="Arial" w:eastAsia="Arial" w:hAnsi="Arial"/>
          <w:sz w:val="22"/>
          <w:szCs w:val="22"/>
        </w:rPr>
        <w:t xml:space="preserve">Durées des trois manches paramétrables (5 à 600 s) ; bouton Aide masquable côté joueur.</w:t>
      </w:r>
    </w:p>
    <w:p>
      <w:pPr>
        <w:pStyle w:val="ListParagraph"/>
        <w:numPr>
          <w:ilvl w:val="0"/>
          <w:numId w:val="2"/>
        </w:numPr>
        <w:spacing w:after="80"/>
      </w:pPr>
      <w:r>
        <w:rPr>
          <w:rFonts w:ascii="Arial" w:cs="Arial" w:eastAsia="Arial" w:hAnsi="Arial"/>
          <w:sz w:val="22"/>
          <w:szCs w:val="22"/>
        </w:rPr>
        <w:t xml:space="preserve">Plateau TV pour les duels (v2.36–v2.37) : activé par l’administrateur, il affiche pendant les duels et confrontations un plateau façon émission — chaque candidat a son pupitre-podium avec buzzeur, écran de score digital et jauge de progression ; chrono digital lumineux, candidat en tête couronné, scores en direct automatiques.</w:t>
      </w:r>
    </w:p>
    <w:p>
      <w:pPr>
        <w:pStyle w:val="ListParagraph"/>
        <w:numPr>
          <w:ilvl w:val="0"/>
          <w:numId w:val="2"/>
        </w:numPr>
        <w:spacing w:after="80"/>
      </w:pPr>
      <w:r>
        <w:rPr>
          <w:rFonts w:ascii="Arial" w:cs="Arial" w:eastAsia="Arial" w:hAnsi="Arial"/>
          <w:sz w:val="22"/>
          <w:szCs w:val="22"/>
        </w:rPr>
        <w:t xml:space="preserve">Mécaniques du jeu télévisé (v2.37) : Les 4 à la suite (pastilles de série, bannière si sans-faute), Neuf points gagnants (valeur de la question, on garde la main sur bonne réponse, on la perd sinon), Face à face (buzzer obligatoire pour prendre la main avant de répondre, course à 9 points). Le pupitre s’illumine quand on a la main et clignote en rouge quand on la perd.</w:t>
      </w:r>
    </w:p>
    <w:p>
      <w:pPr>
        <w:pStyle w:val="ListParagraph"/>
        <w:numPr>
          <w:ilvl w:val="0"/>
          <w:numId w:val="2"/>
        </w:numPr>
        <w:spacing w:after="80"/>
      </w:pPr>
      <w:r>
        <w:rPr>
          <w:rFonts w:ascii="Arial" w:cs="Arial" w:eastAsia="Arial" w:hAnsi="Arial"/>
          <w:sz w:val="22"/>
          <w:szCs w:val="22"/>
        </w:rPr>
        <w:t xml:space="preserve">Certificats authentifiables (v2.38) : chaque certificat porte un QR code d’authenticité qui ouvre la page publique de vérification (titulaire, parcours, niveau, score, distinction, date, institution — vérification aussi possible en saisissant le numéro sur /verifier.html). L’administrateur peut définir le nom de l’institution certifiante et charger son logo : ils s’impriment sur tous les certificats.</w:t>
      </w:r>
    </w:p>
    <w:p>
      <w:pPr>
        <w:pStyle w:val="ListParagraph"/>
        <w:numPr>
          <w:ilvl w:val="0"/>
          <w:numId w:val="2"/>
        </w:numPr>
        <w:spacing w:after="80"/>
      </w:pPr>
      <w:r>
        <w:rPr>
          <w:rFonts w:ascii="Arial" w:cs="Arial" w:eastAsia="Arial" w:hAnsi="Arial"/>
          <w:sz w:val="22"/>
          <w:szCs w:val="22"/>
        </w:rPr>
        <w:t xml:space="preserve">Certificats entièrement personnalisables (v2.39) : l’administrateur peut remplacer le titre d’en-tête et son sous-titre, charger une image de signature (fond blanc automatiquement rendu transparent) et changer le nom du signataire. Chaque champ laissé vide conserve la valeur d’origine (QPC — Questions pour un Champion / Édition Économie &amp; Sciences sociales / signature et nom Nevame DataHouse).</w:t>
      </w:r>
    </w:p>
    <w:p>
      <w:pPr>
        <w:pStyle w:val="ListParagraph"/>
        <w:numPr>
          <w:ilvl w:val="0"/>
          <w:numId w:val="2"/>
        </w:numPr>
        <w:spacing w:after="80"/>
      </w:pPr>
      <w:r>
        <w:rPr>
          <w:rFonts w:ascii="Arial" w:cs="Arial" w:eastAsia="Arial" w:hAnsi="Arial"/>
          <w:sz w:val="22"/>
          <w:szCs w:val="22"/>
        </w:rPr>
        <w:t xml:space="preserve">MOOC — cours en ligne par domaine (v2.40) : chaque domaine intégré dispose d’un cours progressif et animé (leçons avec concepts, méthodes, exemples appliqués Togo/UEMOA, pièges, formules, « À retenir » et références vérifiées), d’un quiz de validation par leçon sur de vraies questions du domaine, d’une synthèse PDF téléchargeable (couverture, leçons, encadrés, références) et d’une passerelle directe vers la certification. Accès par la carte « MOOC — Cours en ligne » de l’accueil ; la progression de chaque joueur est enregistrée sur son appareil.</w:t>
      </w:r>
    </w:p>
    <w:p>
      <w:pPr>
        <w:pStyle w:val="ListParagraph"/>
        <w:numPr>
          <w:ilvl w:val="0"/>
          <w:numId w:val="2"/>
        </w:numPr>
        <w:spacing w:after="80"/>
      </w:pPr>
      <w:r>
        <w:rPr>
          <w:rFonts w:ascii="Arial" w:cs="Arial" w:eastAsia="Arial" w:hAnsi="Arial"/>
          <w:sz w:val="22"/>
          <w:szCs w:val="22"/>
        </w:rPr>
        <w:t xml:space="preserve">Agribusiness approfondi (v2.41) : le domaine Économie agricole et agribusiness passe à 270 questions (+60) et son MOOC à 8 leçons (≈ 4 h 30) — compte d’exploitation et gestion de l’entreprise agricole (marges brutes, EBE, seuil de rentabilité, trésorerie), business models et montage de projets d’agrobusiness (canvas, faisabilité, VAN/TRI, financement), chaînes de valeur intégrées et agriculture contractuelle (financement de chaîne, typologie FAO, vente parallèle), et commerce international des produits agricoles (Incoterms, couverture à terme, normes SPS, certifications, préférences commerciales).</w:t>
      </w:r>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6tcjelyfuasx8ufgb739" Type="http://schemas.openxmlformats.org/officeDocument/2006/relationships/hyperlink" Target="https://qpc-champion-58rn.onrender.com" TargetMode="External"/><Relationship Id="rIdsecuwc28qdiqnlfm7eoaa" Type="http://schemas.openxmlformats.org/officeDocument/2006/relationships/hyperlink" Target="https://github.com/Ricard228/qpc-app" TargetMode="External"/><Relationship Id="rIdand67brwr7pxdvyq9kecz"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2026-08-03T03:46:57.095Z</dcterms:created>
  <dcterms:modified xsi:type="dcterms:W3CDTF">2026-08-03T03:46:57.096Z</dcterms:modified>
</cp:coreProperties>
</file>

<file path=docProps/custom.xml><?xml version="1.0" encoding="utf-8"?>
<Properties xmlns="http://schemas.openxmlformats.org/officeDocument/2006/custom-properties" xmlns:vt="http://schemas.openxmlformats.org/officeDocument/2006/docPropsVTypes"/>
</file>