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Planification, Suivi-évaluation et Apprentissage des projets et programmes de développement</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Planification, Suivi-évaluation et Apprentissage des projets et programmes de développement</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17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dix-neuf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 et carte de couverture à symboles proportionnels</w:t>
            </w:r>
          </w:p>
        </w:tc>
      </w:tr>
      <w:tr>
        <w:tc>
          <w:tcPr>
            <w:tcW w:type="dxa" w:w="1814"/>
          </w:tcPr>
          <w:p>
            <w:pPr>
              <w:spacing w:after="40"/>
            </w:pPr>
            <w:r/>
            <w:r>
              <w:rPr>
                <w:b/>
                <w:sz w:val="18"/>
              </w:rPr>
              <w:t>Planification</w:t>
            </w:r>
          </w:p>
        </w:tc>
        <w:tc>
          <w:tcPr>
            <w:tcW w:type="dxa" w:w="2438"/>
          </w:tcPr>
          <w:p>
            <w:pPr>
              <w:spacing w:after="40"/>
            </w:pPr>
            <w:r/>
            <w:r>
              <w:rPr>
                <w:b w:val="0"/>
                <w:sz w:val="18"/>
              </w:rPr>
              <w:t>Chronogramme et ordonnancement</w:t>
            </w:r>
          </w:p>
        </w:tc>
        <w:tc>
          <w:tcPr>
            <w:tcW w:type="dxa" w:w="5102"/>
          </w:tcPr>
          <w:p>
            <w:pPr>
              <w:spacing w:after="40"/>
            </w:pPr>
            <w:r/>
            <w:r>
              <w:rPr>
                <w:b w:val="0"/>
                <w:sz w:val="18"/>
              </w:rPr>
              <w:t>Gantt, chemin critique et durée du projet, réseau PERT, organigramme des tâches (WBS), matrice des responsabilités (RACI)</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vingt-quatre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réseau PERT, organigramme des tâches et carte de couverture — sont produits en SVG par un module interne.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 Le fond de carte OpenStreetMap constitue la seule ressource externe, facultative et désactivée automatiquement si elle est inaccessible.</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vingt-quatre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vingt-quatre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Stakeholder</w:t>
            </w:r>
          </w:p>
        </w:tc>
        <w:tc>
          <w:tcPr>
            <w:tcW w:type="dxa" w:w="2268"/>
          </w:tcPr>
          <w:p>
            <w:pPr>
              <w:spacing w:after="40"/>
            </w:pPr>
            <w:r/>
            <w:r>
              <w:rPr>
                <w:b w:val="0"/>
                <w:sz w:val="17"/>
              </w:rPr>
              <w:t>Partie prenante</w:t>
            </w:r>
          </w:p>
        </w:tc>
        <w:tc>
          <w:tcPr>
            <w:tcW w:type="dxa" w:w="5386"/>
          </w:tcPr>
          <w:p>
            <w:pPr>
              <w:spacing w:after="40"/>
            </w:pPr>
            <w:r/>
            <w:r>
              <w:rPr>
                <w:b w:val="0"/>
                <w:sz w:val="17"/>
              </w:rPr>
              <w:t>code, fonction ou structure, organisation, catégorie, contact — colonne de la matrice RACI</w:t>
            </w:r>
          </w:p>
        </w:tc>
      </w:tr>
      <w:tr>
        <w:tc>
          <w:tcPr>
            <w:tcW w:type="dxa" w:w="1701"/>
          </w:tcPr>
          <w:p>
            <w:pPr>
              <w:spacing w:after="40"/>
            </w:pPr>
            <w:r/>
            <w:r>
              <w:rPr>
                <w:b/>
                <w:sz w:val="17"/>
              </w:rPr>
              <w:t>RaciAssignment</w:t>
            </w:r>
          </w:p>
        </w:tc>
        <w:tc>
          <w:tcPr>
            <w:tcW w:type="dxa" w:w="2268"/>
          </w:tcPr>
          <w:p>
            <w:pPr>
              <w:spacing w:after="40"/>
            </w:pPr>
            <w:r/>
            <w:r>
              <w:rPr>
                <w:b w:val="0"/>
                <w:sz w:val="17"/>
              </w:rPr>
              <w:t>Affectation RACI</w:t>
            </w:r>
          </w:p>
        </w:tc>
        <w:tc>
          <w:tcPr>
            <w:tcW w:type="dxa" w:w="5386"/>
          </w:tcPr>
          <w:p>
            <w:pPr>
              <w:spacing w:after="40"/>
            </w:pPr>
            <w:r/>
            <w:r>
              <w:rPr>
                <w:b w:val="0"/>
                <w:sz w:val="17"/>
              </w:rPr>
              <w:t>activité, partie prenante, rôle (R, A, C ou I), commentaire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Beneficiary</w:t>
            </w:r>
          </w:p>
        </w:tc>
        <w:tc>
          <w:tcPr>
            <w:tcW w:type="dxa" w:w="2268"/>
          </w:tcPr>
          <w:p>
            <w:pPr>
              <w:spacing w:after="40"/>
            </w:pPr>
            <w:r/>
            <w:r>
              <w:rPr>
                <w:b w:val="0"/>
                <w:sz w:val="17"/>
              </w:rPr>
              <w:t>Groupe de bénéficiaires</w:t>
            </w:r>
          </w:p>
        </w:tc>
        <w:tc>
          <w:tcPr>
            <w:tcW w:type="dxa" w:w="5386"/>
          </w:tcPr>
          <w:p>
            <w:pPr>
              <w:spacing w:after="40"/>
            </w:pPr>
            <w:r/>
            <w:r>
              <w:rPr>
                <w:b w:val="0"/>
                <w:sz w:val="17"/>
              </w:rPr>
              <w:t>intitulé, typologie, zone, critères et méthode de sélection, cible et effectifs atteints ventilés, ménages, revenu et pauvreté de référence, besoins, contraintes, bénéfices attendus, mode de participation, vulnérabilité, mécanisme de plainte</w:t>
            </w:r>
          </w:p>
        </w:tc>
      </w:tr>
      <w:tr>
        <w:tc>
          <w:tcPr>
            <w:tcW w:type="dxa" w:w="1701"/>
          </w:tcPr>
          <w:p>
            <w:pPr>
              <w:spacing w:after="40"/>
            </w:pPr>
            <w:r/>
            <w:r>
              <w:rPr>
                <w:b/>
                <w:sz w:val="17"/>
              </w:rPr>
              <w:t>Partner</w:t>
            </w:r>
          </w:p>
        </w:tc>
        <w:tc>
          <w:tcPr>
            <w:tcW w:type="dxa" w:w="2268"/>
          </w:tcPr>
          <w:p>
            <w:pPr>
              <w:spacing w:after="40"/>
            </w:pPr>
            <w:r/>
            <w:r>
              <w:rPr>
                <w:b w:val="0"/>
                <w:sz w:val="17"/>
              </w:rPr>
              <w:t>Organisation partenaire</w:t>
            </w:r>
          </w:p>
        </w:tc>
        <w:tc>
          <w:tcPr>
            <w:tcW w:type="dxa" w:w="5386"/>
          </w:tcPr>
          <w:p>
            <w:pPr>
              <w:spacing w:after="40"/>
            </w:pPr>
            <w:r/>
            <w:r>
              <w:rPr>
                <w:b w:val="0"/>
                <w:sz w:val="17"/>
              </w:rPr>
              <w:t>intitulé, type, rôle, contribution financière conventionnée et décaissée, contribution technique, dates de convention, appréciation de la performance</w:t>
            </w:r>
          </w:p>
        </w:tc>
      </w:tr>
      <w:tr>
        <w:tc>
          <w:tcPr>
            <w:tcW w:type="dxa" w:w="1701"/>
          </w:tcPr>
          <w:p>
            <w:pPr>
              <w:spacing w:after="40"/>
            </w:pPr>
            <w:r/>
            <w:r>
              <w:rPr>
                <w:b/>
                <w:sz w:val="17"/>
              </w:rPr>
              <w:t>Evaluation</w:t>
            </w:r>
          </w:p>
        </w:tc>
        <w:tc>
          <w:tcPr>
            <w:tcW w:type="dxa" w:w="2268"/>
          </w:tcPr>
          <w:p>
            <w:pPr>
              <w:spacing w:after="40"/>
            </w:pPr>
            <w:r/>
            <w:r>
              <w:rPr>
                <w:b w:val="0"/>
                <w:sz w:val="17"/>
              </w:rPr>
              <w:t>Exercice évaluatif</w:t>
            </w:r>
          </w:p>
        </w:tc>
        <w:tc>
          <w:tcPr>
            <w:tcW w:type="dxa" w:w="5386"/>
          </w:tcPr>
          <w:p>
            <w:pPr>
              <w:spacing w:after="40"/>
            </w:pPr>
            <w:r/>
            <w:r>
              <w:rPr>
                <w:b w:val="0"/>
                <w:sz w:val="17"/>
              </w:rPr>
              <w:t>intitulé, type, période, équipe, statut, notes et justifications par critère du CAD, note globale calculée</w:t>
            </w:r>
          </w:p>
        </w:tc>
      </w:tr>
      <w:tr>
        <w:tc>
          <w:tcPr>
            <w:tcW w:type="dxa" w:w="1701"/>
          </w:tcPr>
          <w:p>
            <w:pPr>
              <w:spacing w:after="40"/>
            </w:pPr>
            <w:r/>
            <w:r>
              <w:rPr>
                <w:b/>
                <w:sz w:val="17"/>
              </w:rPr>
              <w:t>EvaluationRecommendation</w:t>
            </w:r>
          </w:p>
        </w:tc>
        <w:tc>
          <w:tcPr>
            <w:tcW w:type="dxa" w:w="2268"/>
          </w:tcPr>
          <w:p>
            <w:pPr>
              <w:spacing w:after="40"/>
            </w:pPr>
            <w:r/>
            <w:r>
              <w:rPr>
                <w:b w:val="0"/>
                <w:sz w:val="17"/>
              </w:rPr>
              <w:t>Recommandation d'évaluation</w:t>
            </w:r>
          </w:p>
        </w:tc>
        <w:tc>
          <w:tcPr>
            <w:tcW w:type="dxa" w:w="5386"/>
          </w:tcPr>
          <w:p>
            <w:pPr>
              <w:spacing w:after="40"/>
            </w:pPr>
            <w:r/>
            <w:r>
              <w:rPr>
                <w:b w:val="0"/>
                <w:sz w:val="17"/>
              </w:rPr>
              <w:t>énoncé, criticité, réponse du management, responsable, échéance, taux de mise en œuvre</w:t>
            </w:r>
          </w:p>
        </w:tc>
      </w:tr>
      <w:tr>
        <w:tc>
          <w:tcPr>
            <w:tcW w:type="dxa" w:w="1701"/>
          </w:tcPr>
          <w:p>
            <w:pPr>
              <w:spacing w:after="40"/>
            </w:pPr>
            <w:r/>
            <w:r>
              <w:rPr>
                <w:b/>
                <w:sz w:val="17"/>
              </w:rPr>
              <w:t>ImpactStudy</w:t>
            </w:r>
          </w:p>
        </w:tc>
        <w:tc>
          <w:tcPr>
            <w:tcW w:type="dxa" w:w="2268"/>
          </w:tcPr>
          <w:p>
            <w:pPr>
              <w:spacing w:after="40"/>
            </w:pPr>
            <w:r/>
            <w:r>
              <w:rPr>
                <w:b w:val="0"/>
                <w:sz w:val="17"/>
              </w:rPr>
              <w:t>Étude d'évaluation d'impact</w:t>
            </w:r>
          </w:p>
        </w:tc>
        <w:tc>
          <w:tcPr>
            <w:tcW w:type="dxa" w:w="5386"/>
          </w:tcPr>
          <w:p>
            <w:pPr>
              <w:spacing w:after="40"/>
            </w:pPr>
            <w:r/>
            <w:r>
              <w:rPr>
                <w:b w:val="0"/>
                <w:sz w:val="17"/>
              </w:rPr>
              <w:t>approche, méthode, hypothèse d'identification, règle d'affectation, indicateurs de résultat, tailles des groupes, grappes, corrélation intra-grappe, effet minimal détectable, écart-type, puissance, seuil, effet estimé, p-value</w:t>
            </w:r>
          </w:p>
        </w:tc>
      </w:tr>
      <w:tr>
        <w:tc>
          <w:tcPr>
            <w:tcW w:type="dxa" w:w="1701"/>
          </w:tcPr>
          <w:p>
            <w:pPr>
              <w:spacing w:after="40"/>
            </w:pPr>
            <w:r/>
            <w:r>
              <w:rPr>
                <w:b/>
                <w:sz w:val="17"/>
              </w:rPr>
              <w:t>ApiKey</w:t>
            </w:r>
          </w:p>
        </w:tc>
        <w:tc>
          <w:tcPr>
            <w:tcW w:type="dxa" w:w="2268"/>
          </w:tcPr>
          <w:p>
            <w:pPr>
              <w:spacing w:after="40"/>
            </w:pPr>
            <w:r/>
            <w:r>
              <w:rPr>
                <w:b w:val="0"/>
                <w:sz w:val="17"/>
              </w:rPr>
              <w:t>Clé d'accès en lecture seule</w:t>
            </w:r>
          </w:p>
        </w:tc>
        <w:tc>
          <w:tcPr>
            <w:tcW w:type="dxa" w:w="5386"/>
          </w:tcPr>
          <w:p>
            <w:pPr>
              <w:spacing w:after="40"/>
            </w:pPr>
            <w:r/>
            <w:r>
              <w:rPr>
                <w:b w:val="0"/>
                <w:sz w:val="17"/>
              </w:rPr>
              <w:t>intitulé, empreinte de la clé, projet, propriétaire, date d'expiration, dernière utilisation, révocation</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empreinte du mot de passe, rôle, organisation, état, confirmation d'adresse, tentatives infructueuses, verrouillage, date de changement du mot de passe, seuil de validité des jetons</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dix-neuf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ordonnancement</w:t>
      </w:r>
    </w:p>
    <w:p>
      <w:pPr>
        <w:jc w:val="both"/>
      </w:pPr>
      <w:r>
        <w:rPr>
          <w:i w:val="0"/>
          <w:sz w:val="21"/>
        </w:rPr>
        <w:t>Module organisé en cinq onglets : diagramme de Gantt, chemin critique et réseau PERT, organigramme des tâches, matrice RACI et liste des activités. Un bandeau permanent affiche la durée calculée du projet, le nombre d'activités critiques, la marge moyenne et l'avancement physique.</w:t>
      </w:r>
    </w:p>
    <w:p>
      <w:pPr>
        <w:pStyle w:val="ListBullet"/>
        <w:jc w:val="both"/>
      </w:pPr>
      <w:r>
        <w:rPr>
          <w:sz w:val="20"/>
        </w:rPr>
        <w:t>Diagramme de Gantt mensuel construit dynamiquement : bleu pour les activités planifiées ou en cours, vert pour les activités achevées, rouge pour celles dont l'échéance est dépassée ; les jalons sont matérialisés par un losange et la date du jour par une ligne verticale. La part remplie de chaque barre représente l'avancement déclaré.</w:t>
      </w:r>
    </w:p>
    <w:p>
      <w:pPr>
        <w:pStyle w:val="ListBullet"/>
        <w:jc w:val="both"/>
      </w:pPr>
      <w:r>
        <w:rPr>
          <w:sz w:val="20"/>
        </w:rPr>
        <w:t>Le chemin critique est matérialisé sur le diagramme de Gantt : les barres concernées sont cerclées de rouge et reliées par une courbe continue, tandis que les autres liens d'antécédence sont tracés en gris fin. La séquence déterminante se lit ainsi d'un coup d'œil, sans changer de vue.</w:t>
      </w:r>
    </w:p>
    <w:p>
      <w:pPr>
        <w:pStyle w:val="ListBullet"/>
        <w:jc w:val="both"/>
      </w:pPr>
      <w:r>
        <w:rPr>
          <w:sz w:val="20"/>
        </w:rPr>
        <w:t>Le chemin critique identifie la séquence d'activités sans marge : tout retard sur l'une d'elles décale d'autant la date d'achèvement du projet. Son coût et son avancement moyen sont calculés.</w:t>
      </w:r>
    </w:p>
    <w:p>
      <w:pPr>
        <w:pStyle w:val="ListBullet"/>
        <w:jc w:val="both"/>
      </w:pPr>
      <w:r>
        <w:rPr>
          <w:sz w:val="20"/>
        </w:rPr>
        <w:t>Une courbe en S complète l'analyse : elle confronte l'engagement de ressources programmé et l'engagement réalisé, mois par mois.</w:t>
      </w:r>
    </w:p>
    <w:p>
      <w:pPr>
        <w:pStyle w:val="ListBullet"/>
        <w:jc w:val="both"/>
      </w:pPr>
      <w:r>
        <w:rPr>
          <w:sz w:val="20"/>
        </w:rPr>
        <w:t>Le diagramme de Gantt, le réseau PERT, l'organigramme des tâches, la courbe d'avancement et la carte de couverture s'exportent en image PNG haute définition ou en SVG vectoriel, directement insérables dans un rapport.</w:t>
      </w:r>
    </w:p>
    <w:p>
      <w:pPr>
        <w:pStyle w:val="ListBullet"/>
        <w:jc w:val="both"/>
      </w:pPr>
      <w:r>
        <w:rPr>
          <w:sz w:val="20"/>
        </w:rPr>
        <w:t>Le réseau PERT présente chaque activité sous forme de nœud portant sa durée, ses dates au plus tôt et au plus tard et sa marge ; les activités d'un même rang peuvent être conduites en parallèle.</w:t>
      </w:r>
    </w:p>
    <w:p>
      <w:pPr>
        <w:pStyle w:val="ListBullet"/>
        <w:jc w:val="both"/>
      </w:pPr>
      <w:r>
        <w:rPr>
          <w:sz w:val="20"/>
        </w:rPr>
        <w:t>L'organigramme des tâches décompose le projet en composantes, sous-composantes et lots de travail, avec codification automatique et consolidation ascendante des coûts.</w:t>
      </w:r>
    </w:p>
    <w:p>
      <w:pPr>
        <w:pStyle w:val="ListBullet"/>
        <w:jc w:val="both"/>
      </w:pPr>
      <w:r>
        <w:rPr>
          <w:sz w:val="20"/>
        </w:rPr>
        <w:t>La matrice RACI, éditable cellule par cellule, attribue à chaque activité un rôle par partie prenante et contrôle la cohérence de l'ensemble.</w:t>
      </w:r>
    </w:p>
    <w:p>
      <w:pPr>
        <w:pStyle w:val="ListBullet"/>
        <w:jc w:val="both"/>
      </w:pPr>
      <w:r>
        <w:rPr>
          <w:sz w:val="20"/>
        </w:rPr>
        <w:t>Une section récapitule les activités en retard, avec le nombre de jours de dépassement et le responsable concerné.</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 et carte de couverture</w:t>
      </w:r>
    </w:p>
    <w:p>
      <w:pPr>
        <w:jc w:val="both"/>
      </w:pPr>
      <w:r>
        <w:rPr>
          <w:i w:val="0"/>
          <w:sz w:val="21"/>
        </w:rPr>
        <w:t>Gestion du découpage géographique et consolidation territoriale. Chaque zone porte son niveau administratif, sa zone parente, sa population, sa cible de bénéficiaires, ses coordonnées et son responsable. Une carte de couverture restitue visuellement l'implantation du projet.</w:t>
      </w:r>
    </w:p>
    <w:p>
      <w:pPr>
        <w:pStyle w:val="ListBullet"/>
        <w:jc w:val="both"/>
      </w:pPr>
      <w:r>
        <w:rPr>
          <w:sz w:val="20"/>
        </w:rPr>
        <w:t>La carte est à symboles proportionnels : la surface de chaque cercle — et non son rayon — représente les bénéficiaires atteints, sa couleur le taux de couverture de la cible de la zone, et un demi-disque la part des femmes. Des liens en pointillé relient chaque zone à sa zone mère.</w:t>
      </w:r>
    </w:p>
    <w:p>
      <w:pPr>
        <w:pStyle w:val="ListBullet"/>
        <w:jc w:val="both"/>
      </w:pPr>
      <w:r>
        <w:rPr>
          <w:sz w:val="20"/>
        </w:rPr>
        <w:t>La projection est celle de Mercator sphérique (EPSG:3857). Le rendu comprend un graticule gradué en degrés, une échelle métrique et une rose des vents ; il est produit en SVG, sans bibliothèque cartographique.</w:t>
      </w:r>
    </w:p>
    <w:p>
      <w:pPr>
        <w:pStyle w:val="ListBullet"/>
        <w:jc w:val="both"/>
      </w:pPr>
      <w:r>
        <w:rPr>
          <w:sz w:val="20"/>
        </w:rPr>
        <w:t>Un fond de carte OpenStreetMap peut être superposé par une simple case à cocher. C'est le seul appel réseau externe de la plateforme ; s'il échoue, il est automatiquement désactivé et la carte demeure exploitable.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Bénéficiaires</w:t>
      </w:r>
    </w:p>
    <w:p>
      <w:pPr>
        <w:jc w:val="both"/>
      </w:pPr>
      <w:r>
        <w:rPr>
          <w:i w:val="0"/>
          <w:sz w:val="21"/>
        </w:rPr>
        <w:t>Caractérisation des groupes visés par l'intervention, sur deux registres. Le registre quantitatif porte la cible et les effectifs atteints — ventilés femmes, jeunes et personnes handicapées —, le nombre de ménages et leur taille moyenne, le revenu annuel et le taux de pauvreté de référence. Le registre qualitatif porte les critères et la méthode de sélection, les besoins exprimés, les contraintes, les bénéfices attendus, le mode de participation, le degré de vulnérabilité et le mécanisme de gestion des plaintes ouvert au groupe.</w:t>
      </w:r>
    </w:p>
    <w:p>
      <w:pPr>
        <w:pStyle w:val="ListBullet"/>
        <w:jc w:val="both"/>
      </w:pPr>
      <w:r>
        <w:rPr>
          <w:sz w:val="20"/>
        </w:rPr>
        <w:t>Le taux d'atteinte et la part des femmes atteintes sont calculés à partir des effectifs saisis : ils ne peuvent être renseignés à la main, donc ni arrondis ni arrangés.</w:t>
      </w:r>
    </w:p>
    <w:p>
      <w:pPr>
        <w:pStyle w:val="ListBullet"/>
        <w:jc w:val="both"/>
      </w:pPr>
      <w:r>
        <w:rPr>
          <w:sz w:val="20"/>
        </w:rPr>
        <w:t>Un indicateur peut être rattaché à un groupe de bénéficiaires. Le rattachement relie la population visée à la mesure du changement : la fiche du groupe affiche alors les indicateurs qui le documentent, leur taux d'atteinte et leur part de femmes.</w:t>
      </w:r>
    </w:p>
    <w:p>
      <w:pPr>
        <w:pStyle w:val="ListBullet"/>
        <w:jc w:val="both"/>
      </w:pPr>
      <w:r>
        <w:rPr>
          <w:sz w:val="20"/>
        </w:rPr>
        <w:t>La synthèse signale les groupes ciblés qu'aucun indicateur ne mesure — angle mort fréquent d'un dispositif de suivi, où une population figure au document de projet sans qu'aucune donnée n'en rende compte.</w:t>
      </w:r>
    </w:p>
    <w:p>
      <w:pPr>
        <w:pStyle w:val="Heading2"/>
      </w:pPr>
      <w:r>
        <w:rPr>
          <w:color w:val="2E75B6"/>
          <w:sz w:val="26"/>
        </w:rPr>
        <w:t>5.16 Partenaires</w:t>
      </w:r>
    </w:p>
    <w:p>
      <w:pPr>
        <w:jc w:val="both"/>
      </w:pPr>
      <w:r>
        <w:rPr>
          <w:i w:val="0"/>
          <w:sz w:val="21"/>
        </w:rPr>
        <w:t>Registre des organisations parties au montage : type, rôle dans le dispositif, contribution financière conventionnée et effectivement décaissée, contribution technique, échéances de convention et appréciation de la performance.</w:t>
      </w:r>
    </w:p>
    <w:p>
      <w:pPr>
        <w:pStyle w:val="ListBullet"/>
        <w:jc w:val="both"/>
      </w:pPr>
      <w:r>
        <w:rPr>
          <w:sz w:val="20"/>
        </w:rPr>
        <w:t>Le taux de décaissement est calculé par partenaire et pour l'ensemble du montage : il révèle les engagements annoncés mais non honorés, première cause de décalage entre le budget planifié et le budget disponible.</w:t>
      </w:r>
    </w:p>
    <w:p>
      <w:pPr>
        <w:pStyle w:val="ListBullet"/>
        <w:jc w:val="both"/>
      </w:pPr>
      <w:r>
        <w:rPr>
          <w:sz w:val="20"/>
        </w:rPr>
        <w:t>Les conventions arrivant à échéance sont signalées, afin que leur renouvellement soit engagé avant l'interruption des financements.</w:t>
      </w:r>
    </w:p>
    <w:p>
      <w:pPr>
        <w:pStyle w:val="Heading2"/>
      </w:pPr>
      <w:r>
        <w:rPr>
          <w:color w:val="2E75B6"/>
          <w:sz w:val="26"/>
        </w:rPr>
        <w:t>5.17 Évaluation selon les critères du CAD de l'OCDE</w:t>
      </w:r>
    </w:p>
    <w:p>
      <w:pPr>
        <w:jc w:val="both"/>
      </w:pPr>
      <w:r>
        <w:rPr>
          <w:i w:val="0"/>
          <w:sz w:val="21"/>
        </w:rPr>
        <w:t>Conduite des exercices évaluatifs — évaluation de référence, à mi-parcours, finale, ex-post — notés sur les six critères du Comité d'aide au développement : pertinence, cohérence, efficacité, efficience, impact et durabilité.</w:t>
      </w:r>
    </w:p>
    <w:p>
      <w:pPr>
        <w:pStyle w:val="ListBullet"/>
        <w:jc w:val="both"/>
      </w:pPr>
      <w:r>
        <w:rPr>
          <w:sz w:val="20"/>
        </w:rPr>
        <w:t>La notation suit une échelle à six niveaux qui écarte délibérément la note médiane neutre : l'évaluateur doit se prononcer du côté satisfaisant ou insatisfaisant.</w:t>
      </w:r>
    </w:p>
    <w:p>
      <w:pPr>
        <w:pStyle w:val="ListBullet"/>
        <w:jc w:val="both"/>
      </w:pPr>
      <w:r>
        <w:rPr>
          <w:sz w:val="20"/>
        </w:rPr>
        <w:t>Chaque critère s'accompagne de ses points d'examen — les questions auxquelles la note doit répondre — et d'une justification écrite obligatoire : une note sans justification est refusée.</w:t>
      </w:r>
    </w:p>
    <w:p>
      <w:pPr>
        <w:pStyle w:val="ListBullet"/>
        <w:jc w:val="both"/>
      </w:pPr>
      <w:r>
        <w:rPr>
          <w:sz w:val="20"/>
        </w:rPr>
        <w:t>La synthèse produit la moyenne par critère sur l'ensemble des évaluations achevées, ce qui met en évidence la dimension sur laquelle le projet est systématiquement le plus faible.</w:t>
      </w:r>
    </w:p>
    <w:p>
      <w:pPr>
        <w:pStyle w:val="ListBullet"/>
        <w:jc w:val="both"/>
      </w:pPr>
      <w:r>
        <w:rPr>
          <w:sz w:val="20"/>
        </w:rPr>
        <w:t>Les recommandations portent leur criticité, la réponse du management — acceptée, partiellement acceptée, rejetée —, le responsable, l'échéance et le taux de mise en œuvre ; celles qui sont échues et non soldées sont signalées.</w:t>
      </w:r>
    </w:p>
    <w:p>
      <w:pPr>
        <w:pStyle w:val="Heading2"/>
      </w:pPr>
      <w:r>
        <w:rPr>
          <w:color w:val="2E75B6"/>
          <w:sz w:val="26"/>
        </w:rPr>
        <w:t>5.18 Évaluation d'impact</w:t>
      </w:r>
    </w:p>
    <w:p>
      <w:pPr>
        <w:jc w:val="both"/>
      </w:pPr>
      <w:r>
        <w:rPr>
          <w:i w:val="0"/>
          <w:sz w:val="21"/>
        </w:rPr>
        <w:t>Conception et suivi des études visant à établir l'effet propre du projet, c'est-à-dire la part du changement qui lui est imputable et non aux évolutions du contexte. Neuf méthodes sont documentées, chacune avec son hypothèse d'identification, ses conditions d'application, ses forces et ses limites.</w:t>
      </w:r>
    </w:p>
    <w:p>
      <w:pPr>
        <w:pStyle w:val="ListBullet"/>
        <w:jc w:val="both"/>
      </w:pPr>
      <w:r>
        <w:rPr>
          <w:sz w:val="20"/>
        </w:rPr>
        <w:t>Les méthodes expérimentales — essai randomisé contrôlé, randomisation par grappes — reposent sur l'affectation aléatoire, qui rend les groupes comparables en espérance sur toutes les caractéristiques, observées comme non observées.</w:t>
      </w:r>
    </w:p>
    <w:p>
      <w:pPr>
        <w:pStyle w:val="ListBullet"/>
        <w:jc w:val="both"/>
      </w:pPr>
      <w:r>
        <w:rPr>
          <w:sz w:val="20"/>
        </w:rPr>
        <w:t>Les méthodes quasi-expérimentales — doubles différences, appariement par score de propension, combinaison des deux, régression sur discontinuité, variables instrumentales, contrôle synthétique — s'appliquent lorsque la randomisation est impossible, au prix d'une hypothèse d'identification explicite qui doit être discutée.</w:t>
      </w:r>
    </w:p>
    <w:p>
      <w:pPr>
        <w:pStyle w:val="ListBullet"/>
        <w:jc w:val="both"/>
      </w:pPr>
      <w:r>
        <w:rPr>
          <w:sz w:val="20"/>
        </w:rPr>
        <w:t>La comparaison avant-après est proposée mais présentée pour ce qu'elle est : une description, non une mesure d'impact, puisqu'elle confond l'effet du projet avec tout ce qui a changé par ailleurs.</w:t>
      </w:r>
    </w:p>
    <w:p>
      <w:pPr>
        <w:pStyle w:val="ListBullet"/>
        <w:jc w:val="both"/>
      </w:pPr>
      <w:r>
        <w:rPr>
          <w:sz w:val="20"/>
        </w:rPr>
        <w:t>Un calculateur de taille d'échantillon donne l'effectif requis par bras à partir de l'effet minimal détectable, de l'écart-type de l'indicateur, de la puissance et du seuil de signification. Lorsque la randomisation porte sur des grappes, il applique l'effet de plan 1 + (m − 1) × ρ : avec des grappes de 30 unités et une corrélation intra-grappe de 0,08, l'échantillon requis est multiplié par 3,3.</w:t>
      </w:r>
    </w:p>
    <w:p>
      <w:pPr>
        <w:pStyle w:val="ListBullet"/>
        <w:jc w:val="both"/>
      </w:pPr>
      <w:r>
        <w:rPr>
          <w:sz w:val="20"/>
        </w:rPr>
        <w:t>Le contrôle de puissance compare l'échantillon prévu à l'échantillon requis et signale une étude sous-dimensionnée, c'est-à-dire une étude qui risque de conclure à l'absence d'effet alors qu'un effet réel existe.</w:t>
      </w:r>
    </w:p>
    <w:p>
      <w:pPr>
        <w:pStyle w:val="Heading2"/>
      </w:pPr>
      <w:r>
        <w:rPr>
          <w:color w:val="2E75B6"/>
          <w:sz w:val="26"/>
        </w:rPr>
        <w:t>5.19 Administration</w:t>
      </w:r>
    </w:p>
    <w:p>
      <w:pPr>
        <w:jc w:val="both"/>
      </w:pPr>
      <w:r>
        <w:rPr>
          <w:i w:val="0"/>
          <w:sz w:val="21"/>
        </w:rPr>
        <w:t>Gestion des comptes, des rôles, des accès par projet, des clés d'API et consultation du journal d'audit.</w:t>
      </w:r>
    </w:p>
    <w:p>
      <w:pPr>
        <w:pStyle w:val="ListBullet"/>
        <w:jc w:val="both"/>
      </w:pPr>
      <w:r>
        <w:rPr>
          <w:sz w:val="20"/>
        </w:rPr>
        <w:t>Cinq rôles hiérarchisés déterminent les droits : lecteur, opérateur de saisie, responsable de suivi-évaluation, coordonnateur, administrateur. Le rôle est doublé d'un rattachement projet par projet : un utilisateur ne voit que les projets dont il est membre.</w:t>
      </w:r>
    </w:p>
    <w:p>
      <w:pPr>
        <w:pStyle w:val="ListBullet"/>
        <w:jc w:val="both"/>
      </w:pPr>
      <w:r>
        <w:rPr>
          <w:sz w:val="20"/>
        </w:rPr>
        <w:t>L'ouverture d'un compte engendre un mot de passe provisoire et un lien de confirmation d'adresse, montrés une seule fois à l'administrateur qui le crée. La connexion reste refusée tant que le lien n'a pas été ouvert.</w:t>
      </w:r>
    </w:p>
    <w:p>
      <w:pPr>
        <w:pStyle w:val="ListBullet"/>
        <w:jc w:val="both"/>
      </w:pPr>
      <w:r>
        <w:rPr>
          <w:sz w:val="20"/>
        </w:rPr>
        <w:t>Les clés d'API sont nominatives, limitées à un projet, en lecture seule, datées et révocables ; seule leur empreinte est conservée.</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Indicateurs de résultat et indicateurs de processus</w:t>
      </w:r>
    </w:p>
    <w:p>
      <w:pPr>
        <w:jc w:val="both"/>
      </w:pPr>
      <w:r>
        <w:rPr>
          <w:i w:val="0"/>
          <w:sz w:val="21"/>
        </w:rPr>
        <w:t>Un indicateur porte une nature : il mesure soit un changement produit chez les bénéficiaires — c'est un indicateur de résultat —, soit la conduite de l'action elle-même — c'est un indicateur de processus. Les seconds documentent le taux d'exécution du plan de travail, les délais de production des rapports ou de passation des marchés, le taux de participation aux activités programmées ou la complétude des données transmises.</w:t>
      </w:r>
    </w:p>
    <w:p>
      <w:pPr>
        <w:jc w:val="both"/>
      </w:pPr>
      <w:r>
        <w:rPr>
          <w:i w:val="0"/>
          <w:sz w:val="21"/>
        </w:rPr>
        <w:t>Cette distinction est méthodologiquement importante : mêler indicateurs de résultat et de processus dans un même tableau de bord conduit à surestimer la performance, car les indicateurs de processus sont structurellement plus faciles à atteindre. Leur affichage est donc commandé par une option activable projet par projet. Lorsqu'elle est désactivée, les indicateurs de processus restent enregistrés — avec leurs cibles et leurs mesures — mais sont exclus des tableaux de bord, des analyses et des livrables. Le nombre d'indicateurs masqués demeure affiché, afin que l'option ne dissimule jamais l'existence des données.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Nature</w:t>
            </w:r>
          </w:p>
        </w:tc>
        <w:tc>
          <w:tcPr>
            <w:tcW w:type="dxa" w:w="3118"/>
            <w:shd w:val="clear" w:fill="1F4E79"/>
          </w:tcPr>
          <w:p>
            <w:pPr>
              <w:spacing w:after="40"/>
              <w:jc w:val="center"/>
            </w:pPr>
            <w:r/>
            <w:r>
              <w:rPr>
                <w:b/>
                <w:color w:val="FFFFFF"/>
                <w:sz w:val="19"/>
              </w:rPr>
              <w:t>Ce qu'elle mesure</w:t>
            </w:r>
          </w:p>
        </w:tc>
        <w:tc>
          <w:tcPr>
            <w:tcW w:type="dxa" w:w="4535"/>
            <w:shd w:val="clear" w:fill="1F4E79"/>
          </w:tcPr>
          <w:p>
            <w:pPr>
              <w:spacing w:after="40"/>
              <w:jc w:val="center"/>
            </w:pPr>
            <w:r/>
            <w:r>
              <w:rPr>
                <w:b/>
                <w:color w:val="FFFFFF"/>
                <w:sz w:val="19"/>
              </w:rPr>
              <w:t>Exemples</w:t>
            </w:r>
          </w:p>
        </w:tc>
      </w:tr>
      <w:tr>
        <w:tc>
          <w:tcPr>
            <w:tcW w:type="dxa" w:w="1701"/>
          </w:tcPr>
          <w:p>
            <w:pPr>
              <w:spacing w:after="40"/>
            </w:pPr>
            <w:r/>
            <w:r>
              <w:rPr>
                <w:b/>
                <w:sz w:val="19"/>
              </w:rPr>
              <w:t>Résultat</w:t>
            </w:r>
          </w:p>
        </w:tc>
        <w:tc>
          <w:tcPr>
            <w:tcW w:type="dxa" w:w="3118"/>
          </w:tcPr>
          <w:p>
            <w:pPr>
              <w:spacing w:after="40"/>
            </w:pPr>
            <w:r/>
            <w:r>
              <w:rPr>
                <w:b w:val="0"/>
                <w:sz w:val="19"/>
              </w:rPr>
              <w:t>Le changement produit chez les bénéficiaires</w:t>
            </w:r>
          </w:p>
        </w:tc>
        <w:tc>
          <w:tcPr>
            <w:tcW w:type="dxa" w:w="4535"/>
          </w:tcPr>
          <w:p>
            <w:pPr>
              <w:spacing w:after="40"/>
            </w:pPr>
            <w:r/>
            <w:r>
              <w:rPr>
                <w:b w:val="0"/>
                <w:sz w:val="19"/>
              </w:rPr>
              <w:t>Rendement moyen du maïs, revenu agricole par exploitation, incidence de la pauvreté, nombre de producteurs formés</w:t>
            </w:r>
          </w:p>
        </w:tc>
      </w:tr>
      <w:tr>
        <w:tc>
          <w:tcPr>
            <w:tcW w:type="dxa" w:w="1701"/>
          </w:tcPr>
          <w:p>
            <w:pPr>
              <w:spacing w:after="40"/>
            </w:pPr>
            <w:r/>
            <w:r>
              <w:rPr>
                <w:b/>
                <w:sz w:val="19"/>
              </w:rPr>
              <w:t>Processus</w:t>
            </w:r>
          </w:p>
        </w:tc>
        <w:tc>
          <w:tcPr>
            <w:tcW w:type="dxa" w:w="3118"/>
          </w:tcPr>
          <w:p>
            <w:pPr>
              <w:spacing w:after="40"/>
            </w:pPr>
            <w:r/>
            <w:r>
              <w:rPr>
                <w:b w:val="0"/>
                <w:sz w:val="19"/>
              </w:rPr>
              <w:t>La conduite de l'action et la qualité de la gestion</w:t>
            </w:r>
          </w:p>
        </w:tc>
        <w:tc>
          <w:tcPr>
            <w:tcW w:type="dxa" w:w="4535"/>
          </w:tcPr>
          <w:p>
            <w:pPr>
              <w:spacing w:after="40"/>
            </w:pPr>
            <w:r/>
            <w:r>
              <w:rPr>
                <w:b w:val="0"/>
                <w:sz w:val="19"/>
              </w:rPr>
              <w:t>Taux d'exécution du PTBA, délai de production des rapports trimestriels, taux de participation aux formations, délai de passation des marchés, complétude des données de suivi</w:t>
            </w:r>
          </w:p>
        </w:tc>
      </w:tr>
    </w:tbl>
    <w:p/>
    <w:p>
      <w:pPr>
        <w:pStyle w:val="Heading2"/>
      </w:pPr>
      <w:r>
        <w:rPr>
          <w:color w:val="2E75B6"/>
          <w:sz w:val="26"/>
        </w:rPr>
        <w:t>6.10 Ordonnancement : chemin critique et réseau PERT</w:t>
      </w:r>
    </w:p>
    <w:p>
      <w:pPr>
        <w:jc w:val="both"/>
      </w:pPr>
      <w:r>
        <w:rPr>
          <w:i w:val="0"/>
          <w:sz w:val="21"/>
        </w:rPr>
        <w:t>Les activités du chronogramme portent des antécédents, exprimés en relations fin-début : une activité ne peut démarrer qu'une fois ses antécédents achevés. Leur durée est soit imposée, soit déduite des dates de début et de fin.</w:t>
      </w:r>
    </w:p>
    <w:p>
      <w:pPr>
        <w:jc w:val="both"/>
      </w:pPr>
      <w:r>
        <w:rPr>
          <w:i w:val="0"/>
          <w:sz w:val="21"/>
        </w:rPr>
        <w:t>Le calcul procède en trois temps. Un tri topologique ordonne les activités et détecte les circuits de dépendances. Une passe avant établit, pour chaque activité, la date de début et de fin au plus tôt. Une passe arrière établit les dates au plus tard compatibles avec l'achèvement du projet à la date calculée.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Notion</w:t>
            </w:r>
          </w:p>
        </w:tc>
        <w:tc>
          <w:tcPr>
            <w:tcW w:type="dxa" w:w="3402"/>
            <w:shd w:val="clear" w:fill="1F4E79"/>
          </w:tcPr>
          <w:p>
            <w:pPr>
              <w:spacing w:after="40"/>
              <w:jc w:val="center"/>
            </w:pPr>
            <w:r/>
            <w:r>
              <w:rPr>
                <w:b/>
                <w:color w:val="FFFFFF"/>
                <w:sz w:val="19"/>
              </w:rPr>
              <w:t>Définition</w:t>
            </w:r>
          </w:p>
        </w:tc>
        <w:tc>
          <w:tcPr>
            <w:tcW w:type="dxa" w:w="3969"/>
            <w:shd w:val="clear" w:fill="1F4E79"/>
          </w:tcPr>
          <w:p>
            <w:pPr>
              <w:spacing w:after="40"/>
              <w:jc w:val="center"/>
            </w:pPr>
            <w:r/>
            <w:r>
              <w:rPr>
                <w:b/>
                <w:color w:val="FFFFFF"/>
                <w:sz w:val="19"/>
              </w:rPr>
              <w:t>Usage en gestion de projet</w:t>
            </w:r>
          </w:p>
        </w:tc>
      </w:tr>
      <w:tr>
        <w:tc>
          <w:tcPr>
            <w:tcW w:type="dxa" w:w="1984"/>
          </w:tcPr>
          <w:p>
            <w:pPr>
              <w:spacing w:after="40"/>
            </w:pPr>
            <w:r/>
            <w:r>
              <w:rPr>
                <w:b/>
                <w:sz w:val="19"/>
              </w:rPr>
              <w:t>Durée totale du projet</w:t>
            </w:r>
          </w:p>
        </w:tc>
        <w:tc>
          <w:tcPr>
            <w:tcW w:type="dxa" w:w="3402"/>
          </w:tcPr>
          <w:p>
            <w:pPr>
              <w:spacing w:after="40"/>
            </w:pPr>
            <w:r/>
            <w:r>
              <w:rPr>
                <w:b w:val="0"/>
                <w:sz w:val="19"/>
              </w:rPr>
              <w:t>Date de fin au plus tôt la plus tardive du réseau</w:t>
            </w:r>
          </w:p>
        </w:tc>
        <w:tc>
          <w:tcPr>
            <w:tcW w:type="dxa" w:w="3969"/>
          </w:tcPr>
          <w:p>
            <w:pPr>
              <w:spacing w:after="40"/>
            </w:pPr>
            <w:r/>
            <w:r>
              <w:rPr>
                <w:b w:val="0"/>
                <w:sz w:val="19"/>
              </w:rPr>
              <w:t>Comparée à la date de clôture planifiée ; l'écart est signalé</w:t>
            </w:r>
          </w:p>
        </w:tc>
      </w:tr>
      <w:tr>
        <w:tc>
          <w:tcPr>
            <w:tcW w:type="dxa" w:w="1984"/>
          </w:tcPr>
          <w:p>
            <w:pPr>
              <w:spacing w:after="40"/>
            </w:pPr>
            <w:r/>
            <w:r>
              <w:rPr>
                <w:b/>
                <w:sz w:val="19"/>
              </w:rPr>
              <w:t>Marge totale</w:t>
            </w:r>
          </w:p>
        </w:tc>
        <w:tc>
          <w:tcPr>
            <w:tcW w:type="dxa" w:w="3402"/>
          </w:tcPr>
          <w:p>
            <w:pPr>
              <w:spacing w:after="40"/>
            </w:pPr>
            <w:r/>
            <w:r>
              <w:rPr>
                <w:b w:val="0"/>
                <w:sz w:val="19"/>
              </w:rPr>
              <w:t>Retard admissible sans décaler la fin du projet</w:t>
            </w:r>
          </w:p>
        </w:tc>
        <w:tc>
          <w:tcPr>
            <w:tcW w:type="dxa" w:w="3969"/>
          </w:tcPr>
          <w:p>
            <w:pPr>
              <w:spacing w:after="40"/>
            </w:pPr>
            <w:r/>
            <w:r>
              <w:rPr>
                <w:b w:val="0"/>
                <w:sz w:val="19"/>
              </w:rPr>
              <w:t>Une marge nulle rend l'activité critique</w:t>
            </w:r>
          </w:p>
        </w:tc>
      </w:tr>
      <w:tr>
        <w:tc>
          <w:tcPr>
            <w:tcW w:type="dxa" w:w="1984"/>
          </w:tcPr>
          <w:p>
            <w:pPr>
              <w:spacing w:after="40"/>
            </w:pPr>
            <w:r/>
            <w:r>
              <w:rPr>
                <w:b/>
                <w:sz w:val="19"/>
              </w:rPr>
              <w:t>Marge libre</w:t>
            </w:r>
          </w:p>
        </w:tc>
        <w:tc>
          <w:tcPr>
            <w:tcW w:type="dxa" w:w="3402"/>
          </w:tcPr>
          <w:p>
            <w:pPr>
              <w:spacing w:after="40"/>
            </w:pPr>
            <w:r/>
            <w:r>
              <w:rPr>
                <w:b w:val="0"/>
                <w:sz w:val="19"/>
              </w:rPr>
              <w:t>Retard admissible sans décaler l'activité suivante</w:t>
            </w:r>
          </w:p>
        </w:tc>
        <w:tc>
          <w:tcPr>
            <w:tcW w:type="dxa" w:w="3969"/>
          </w:tcPr>
          <w:p>
            <w:pPr>
              <w:spacing w:after="40"/>
            </w:pPr>
            <w:r/>
            <w:r>
              <w:rPr>
                <w:b w:val="0"/>
                <w:sz w:val="19"/>
              </w:rPr>
              <w:t>Indique la souplesse réelle dont dispose le responsable de l'activité</w:t>
            </w:r>
          </w:p>
        </w:tc>
      </w:tr>
      <w:tr>
        <w:tc>
          <w:tcPr>
            <w:tcW w:type="dxa" w:w="1984"/>
          </w:tcPr>
          <w:p>
            <w:pPr>
              <w:spacing w:after="40"/>
            </w:pPr>
            <w:r/>
            <w:r>
              <w:rPr>
                <w:b/>
                <w:sz w:val="19"/>
              </w:rPr>
              <w:t>Chemin critique</w:t>
            </w:r>
          </w:p>
        </w:tc>
        <w:tc>
          <w:tcPr>
            <w:tcW w:type="dxa" w:w="3402"/>
          </w:tcPr>
          <w:p>
            <w:pPr>
              <w:spacing w:after="40"/>
            </w:pPr>
            <w:r/>
            <w:r>
              <w:rPr>
                <w:b w:val="0"/>
                <w:sz w:val="19"/>
              </w:rPr>
              <w:t>Séquence continue d'activités à marge nulle</w:t>
            </w:r>
          </w:p>
        </w:tc>
        <w:tc>
          <w:tcPr>
            <w:tcW w:type="dxa" w:w="3969"/>
          </w:tcPr>
          <w:p>
            <w:pPr>
              <w:spacing w:after="40"/>
            </w:pPr>
            <w:r/>
            <w:r>
              <w:rPr>
                <w:b w:val="0"/>
                <w:sz w:val="19"/>
              </w:rPr>
              <w:t>Concentre l'attention de la supervision : tout retard s'y répercute intégralement</w:t>
            </w:r>
          </w:p>
        </w:tc>
      </w:tr>
      <w:tr>
        <w:tc>
          <w:tcPr>
            <w:tcW w:type="dxa" w:w="1984"/>
          </w:tcPr>
          <w:p>
            <w:pPr>
              <w:spacing w:after="40"/>
            </w:pPr>
            <w:r/>
            <w:r>
              <w:rPr>
                <w:b/>
                <w:sz w:val="19"/>
              </w:rPr>
              <w:t>Rang PERT</w:t>
            </w:r>
          </w:p>
        </w:tc>
        <w:tc>
          <w:tcPr>
            <w:tcW w:type="dxa" w:w="3402"/>
          </w:tcPr>
          <w:p>
            <w:pPr>
              <w:spacing w:after="40"/>
            </w:pPr>
            <w:r/>
            <w:r>
              <w:rPr>
                <w:b w:val="0"/>
                <w:sz w:val="19"/>
              </w:rPr>
              <w:t>Position de l'activité dans le réseau</w:t>
            </w:r>
          </w:p>
        </w:tc>
        <w:tc>
          <w:tcPr>
            <w:tcW w:type="dxa" w:w="3969"/>
          </w:tcPr>
          <w:p>
            <w:pPr>
              <w:spacing w:after="40"/>
            </w:pPr>
            <w:r/>
            <w:r>
              <w:rPr>
                <w:b w:val="0"/>
                <w:sz w:val="19"/>
              </w:rPr>
              <w:t>Les activités d'un même rang sont indépendantes et parallélisables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Contrôle de cohérence — </w:t>
            </w:r>
            <w:r>
              <w:rPr>
                <w:sz w:val="19"/>
              </w:rPr>
              <w:t>La plateforme signale les antécédents qui s'achèvent après le début planifié de leur successeur : le calendrier saisi et le lien d'antécédence sont alors contradictoires. C'est l'incohérence la plus fréquente des chronogrammes construits sous tableur, où les dates sont saisies indépendamment des liens logiques entre activités.</w:t>
            </w:r>
          </w:p>
        </w:tc>
      </w:tr>
    </w:tbl>
    <w:p/>
    <w:p>
      <w:pPr>
        <w:pStyle w:val="Heading2"/>
      </w:pPr>
      <w:r>
        <w:rPr>
          <w:color w:val="2E75B6"/>
          <w:sz w:val="26"/>
        </w:rPr>
        <w:t>6.11 Organigramme des tâches (WBS)</w:t>
      </w:r>
    </w:p>
    <w:p>
      <w:pPr>
        <w:jc w:val="both"/>
      </w:pPr>
      <w:r>
        <w:rPr>
          <w:i w:val="0"/>
          <w:sz w:val="21"/>
        </w:rPr>
        <w:t>L'organigramme des tâches décompose le projet en éléments de plus en plus fins, jusqu'aux lots de travail élémentaires. La plateforme le déduit de la chaîne de résultats déjà saisie : les effets constituent les composantes, les produits les sous-composantes, les activités les lots de travail. Cette dérivation garantit la cohérence entre le cadre logique et l'organisation opérationnelle — deux instruments trop souvent construits séparément et divergents.</w:t>
      </w:r>
    </w:p>
    <w:p>
      <w:pPr>
        <w:pStyle w:val="ListBullet"/>
        <w:jc w:val="both"/>
      </w:pPr>
      <w:r>
        <w:rPr>
          <w:sz w:val="20"/>
        </w:rPr>
        <w:t>La codification est automatique et hiérarchique : 1, 1.1, 1.1.1, 1.1.1.1. Elle peut être inscrite sur les activités pour être reprise dans les autres livrables.</w:t>
      </w:r>
    </w:p>
    <w:p>
      <w:pPr>
        <w:pStyle w:val="ListBullet"/>
        <w:jc w:val="both"/>
      </w:pPr>
      <w:r>
        <w:rPr>
          <w:sz w:val="20"/>
        </w:rPr>
        <w:t>Les coûts, durées et avancements sont consolidés de bas en haut : chaque niveau totalise ses descendants, ce qui permet de vérifier la cohérence du budget par composante.</w:t>
      </w:r>
    </w:p>
    <w:p>
      <w:pPr>
        <w:pStyle w:val="ListBullet"/>
        <w:jc w:val="both"/>
      </w:pPr>
      <w:r>
        <w:rPr>
          <w:sz w:val="20"/>
        </w:rPr>
        <w:t>Les activités non rattachées à un produit sont regroupées dans un lot « Gestion, coordination et suivi-évaluation », conformément à la pratique courante.</w:t>
      </w:r>
    </w:p>
    <w:p>
      <w:pPr>
        <w:pStyle w:val="ListBullet"/>
        <w:jc w:val="both"/>
      </w:pPr>
      <w:r>
        <w:rPr>
          <w:sz w:val="20"/>
        </w:rPr>
        <w:t>Un dictionnaire des lots de travail accompagne l'organigramme : il précise pour chaque lot son livrable attendu, son responsable, sa durée, son coût et son échéance.</w:t>
      </w:r>
    </w:p>
    <w:p>
      <w:pPr>
        <w:pStyle w:val="Heading2"/>
      </w:pPr>
      <w:r>
        <w:rPr>
          <w:color w:val="2E75B6"/>
          <w:sz w:val="26"/>
        </w:rPr>
        <w:t>6.12 Matrice des responsabilités (RACI)</w:t>
      </w:r>
    </w:p>
    <w:p>
      <w:pPr>
        <w:jc w:val="both"/>
      </w:pPr>
      <w:r>
        <w:rPr>
          <w:i w:val="0"/>
          <w:sz w:val="21"/>
        </w:rPr>
        <w:t>La matrice RACI croise les activités et les parties prenantes et attribue à chaque intersection un rôle. Elle répond à la question qui, en gestion de projet, produit le plus de blocages : qui décide, qui exécute, qui doit être consulté et qui doit être informé.</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Rôle</w:t>
            </w:r>
          </w:p>
        </w:tc>
        <w:tc>
          <w:tcPr>
            <w:tcW w:type="dxa" w:w="2551"/>
            <w:shd w:val="clear" w:fill="1F4E79"/>
          </w:tcPr>
          <w:p>
            <w:pPr>
              <w:spacing w:after="40"/>
              <w:jc w:val="center"/>
            </w:pPr>
            <w:r/>
            <w:r>
              <w:rPr>
                <w:b/>
                <w:color w:val="FFFFFF"/>
                <w:sz w:val="19"/>
              </w:rPr>
              <w:t>Signification</w:t>
            </w:r>
          </w:p>
        </w:tc>
        <w:tc>
          <w:tcPr>
            <w:tcW w:type="dxa" w:w="4819"/>
            <w:shd w:val="clear" w:fill="1F4E79"/>
          </w:tcPr>
          <w:p>
            <w:pPr>
              <w:spacing w:after="40"/>
              <w:jc w:val="center"/>
            </w:pPr>
            <w:r/>
            <w:r>
              <w:rPr>
                <w:b/>
                <w:color w:val="FFFFFF"/>
                <w:sz w:val="19"/>
              </w:rPr>
              <w:t>Règle appliquée par la plateforme</w:t>
            </w:r>
          </w:p>
        </w:tc>
      </w:tr>
      <w:tr>
        <w:tc>
          <w:tcPr>
            <w:tcW w:type="dxa" w:w="1984"/>
          </w:tcPr>
          <w:p>
            <w:pPr>
              <w:spacing w:after="40"/>
            </w:pPr>
            <w:r/>
            <w:r>
              <w:rPr>
                <w:b/>
                <w:sz w:val="19"/>
              </w:rPr>
              <w:t>R — Responsible</w:t>
            </w:r>
          </w:p>
        </w:tc>
        <w:tc>
          <w:tcPr>
            <w:tcW w:type="dxa" w:w="2551"/>
          </w:tcPr>
          <w:p>
            <w:pPr>
              <w:spacing w:after="40"/>
            </w:pPr>
            <w:r/>
            <w:r>
              <w:rPr>
                <w:b w:val="0"/>
                <w:sz w:val="19"/>
              </w:rPr>
              <w:t>Réalise le travail</w:t>
            </w:r>
          </w:p>
        </w:tc>
        <w:tc>
          <w:tcPr>
            <w:tcW w:type="dxa" w:w="4819"/>
          </w:tcPr>
          <w:p>
            <w:pPr>
              <w:spacing w:after="40"/>
            </w:pPr>
            <w:r/>
            <w:r>
              <w:rPr>
                <w:b w:val="0"/>
                <w:sz w:val="19"/>
              </w:rPr>
              <w:t>Plusieurs réalisateurs sont possibles ; au moins un est exigé par activité</w:t>
            </w:r>
          </w:p>
        </w:tc>
      </w:tr>
      <w:tr>
        <w:tc>
          <w:tcPr>
            <w:tcW w:type="dxa" w:w="1984"/>
          </w:tcPr>
          <w:p>
            <w:pPr>
              <w:spacing w:after="40"/>
            </w:pPr>
            <w:r/>
            <w:r>
              <w:rPr>
                <w:b/>
                <w:sz w:val="19"/>
              </w:rPr>
              <w:t>A — Accountable</w:t>
            </w:r>
          </w:p>
        </w:tc>
        <w:tc>
          <w:tcPr>
            <w:tcW w:type="dxa" w:w="2551"/>
          </w:tcPr>
          <w:p>
            <w:pPr>
              <w:spacing w:after="40"/>
            </w:pPr>
            <w:r/>
            <w:r>
              <w:rPr>
                <w:b w:val="0"/>
                <w:sz w:val="19"/>
              </w:rPr>
              <w:t>Approuve et rend compte</w:t>
            </w:r>
          </w:p>
        </w:tc>
        <w:tc>
          <w:tcPr>
            <w:tcW w:type="dxa" w:w="4819"/>
          </w:tcPr>
          <w:p>
            <w:pPr>
              <w:spacing w:after="40"/>
            </w:pPr>
            <w:r/>
            <w:r>
              <w:rPr>
                <w:b w:val="0"/>
                <w:sz w:val="19"/>
              </w:rPr>
              <w:t>Un seul approbateur par activité : la responsabilité ne se partage pas</w:t>
            </w:r>
          </w:p>
        </w:tc>
      </w:tr>
      <w:tr>
        <w:tc>
          <w:tcPr>
            <w:tcW w:type="dxa" w:w="1984"/>
          </w:tcPr>
          <w:p>
            <w:pPr>
              <w:spacing w:after="40"/>
            </w:pPr>
            <w:r/>
            <w:r>
              <w:rPr>
                <w:b/>
                <w:sz w:val="19"/>
              </w:rPr>
              <w:t>C — Consulted</w:t>
            </w:r>
          </w:p>
        </w:tc>
        <w:tc>
          <w:tcPr>
            <w:tcW w:type="dxa" w:w="2551"/>
          </w:tcPr>
          <w:p>
            <w:pPr>
              <w:spacing w:after="40"/>
            </w:pPr>
            <w:r/>
            <w:r>
              <w:rPr>
                <w:b w:val="0"/>
                <w:sz w:val="19"/>
              </w:rPr>
              <w:t>Est consulté avant la décision</w:t>
            </w:r>
          </w:p>
        </w:tc>
        <w:tc>
          <w:tcPr>
            <w:tcW w:type="dxa" w:w="4819"/>
          </w:tcPr>
          <w:p>
            <w:pPr>
              <w:spacing w:after="40"/>
            </w:pPr>
            <w:r/>
            <w:r>
              <w:rPr>
                <w:b w:val="0"/>
                <w:sz w:val="19"/>
              </w:rPr>
              <w:t>La consultation est bilatérale et intervient en amont</w:t>
            </w:r>
          </w:p>
        </w:tc>
      </w:tr>
      <w:tr>
        <w:tc>
          <w:tcPr>
            <w:tcW w:type="dxa" w:w="1984"/>
          </w:tcPr>
          <w:p>
            <w:pPr>
              <w:spacing w:after="40"/>
            </w:pPr>
            <w:r/>
            <w:r>
              <w:rPr>
                <w:b/>
                <w:sz w:val="19"/>
              </w:rPr>
              <w:t>I — Informed</w:t>
            </w:r>
          </w:p>
        </w:tc>
        <w:tc>
          <w:tcPr>
            <w:tcW w:type="dxa" w:w="2551"/>
          </w:tcPr>
          <w:p>
            <w:pPr>
              <w:spacing w:after="40"/>
            </w:pPr>
            <w:r/>
            <w:r>
              <w:rPr>
                <w:b w:val="0"/>
                <w:sz w:val="19"/>
              </w:rPr>
              <w:t>Est informé après la décision</w:t>
            </w:r>
          </w:p>
        </w:tc>
        <w:tc>
          <w:tcPr>
            <w:tcW w:type="dxa" w:w="4819"/>
          </w:tcPr>
          <w:p>
            <w:pPr>
              <w:spacing w:after="40"/>
            </w:pPr>
            <w:r/>
            <w:r>
              <w:rPr>
                <w:b w:val="0"/>
                <w:sz w:val="19"/>
              </w:rPr>
              <w:t>L'information est unilatérale et intervient en aval</w:t>
            </w:r>
          </w:p>
        </w:tc>
      </w:tr>
    </w:tbl>
    <w:p/>
    <w:p>
      <w:pPr>
        <w:jc w:val="both"/>
      </w:pPr>
      <w:r>
        <w:rPr>
          <w:i w:val="0"/>
          <w:sz w:val="21"/>
        </w:rPr>
        <w:t>Deux contrôles automatiques sont appliqués : l'absence d'approbateur laisse une activité sans responsable identifié, la présence de plusieurs approbateurs dilue la responsabilité. La charge de chaque acteur est en outre calculée : une partie prenante qui approuve un nombre disproportionné d'activités constitue un goulot d'étranglement décisionnel, signalé comme tel.</w:t>
      </w:r>
    </w:p>
    <w:p>
      <w:pPr>
        <w:pStyle w:val="Heading2"/>
      </w:pPr>
      <w:r>
        <w:rPr>
          <w:color w:val="2E75B6"/>
          <w:sz w:val="26"/>
        </w:rPr>
        <w:t>6.13 Courbe d'avancement (courbe en S)</w:t>
      </w:r>
    </w:p>
    <w:p>
      <w:pPr>
        <w:jc w:val="both"/>
      </w:pPr>
      <w:r>
        <w:rPr>
          <w:i w:val="0"/>
          <w:sz w:val="21"/>
        </w:rPr>
        <w:t>La courbe en S représente l'engagement cumulé des ressources, mois par mois. Le coût de chaque activité est réparti linéairement sur sa durée puis cumulé : la courbe programmée court sur toute la durée du projet et atteint 100 %, tandis que la courbe réalisée s'arrête au mois en cours, l'avancement déclaré déterminant la part effectivement consommée.</w:t>
      </w:r>
    </w:p>
    <w:p>
      <w:pPr>
        <w:jc w:val="both"/>
      </w:pPr>
      <w:r>
        <w:rPr>
          <w:i w:val="0"/>
          <w:sz w:val="21"/>
        </w:rPr>
        <w:t>Sa forme en S est caractéristique de la conduite de projet : montée lente au démarrage, accélération en phase de croisière, ralentissement à l'approche de la clôture. L'écart vertical entre les deux courbes à la date du jour mesure l'avance ou le retard d'exécution, exprimé en points de pourcentage.</w:t>
      </w:r>
    </w:p>
    <w:p>
      <w:pPr>
        <w:pStyle w:val="Heading2"/>
      </w:pPr>
      <w:r>
        <w:rPr>
          <w:color w:val="2E75B6"/>
          <w:sz w:val="26"/>
        </w:rPr>
        <w:t>6.14 Portabilité et intégrité des données</w:t>
      </w:r>
    </w:p>
    <w:p>
      <w:pPr>
        <w:jc w:val="both"/>
      </w:pPr>
      <w:r>
        <w:rPr>
          <w:i w:val="0"/>
          <w:sz w:val="21"/>
        </w:rPr>
        <w:t>La sauvegarde JSON produit un fichier autonome contenant l'intégralité d'un projet ou d'un portefeuille. À l'import, les identifiants sont réattribués par la base d'accueil et toutes les références internes sont réécrites — parent d'un résultat, zone d'une mesure, activité d'une ligne budgétaire, acteur d'une affectation RACI. L'échange est donc indépendant des séquences de clés primaires et fonctionne entre instances distinctes.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Format</w:t>
            </w:r>
          </w:p>
        </w:tc>
        <w:tc>
          <w:tcPr>
            <w:tcW w:type="dxa" w:w="4819"/>
            <w:shd w:val="clear" w:fill="1F4E79"/>
          </w:tcPr>
          <w:p>
            <w:pPr>
              <w:spacing w:after="40"/>
              <w:jc w:val="center"/>
            </w:pPr>
            <w:r/>
            <w:r>
              <w:rPr>
                <w:b/>
                <w:color w:val="FFFFFF"/>
                <w:sz w:val="19"/>
              </w:rPr>
              <w:t>Contenu</w:t>
            </w:r>
          </w:p>
        </w:tc>
        <w:tc>
          <w:tcPr>
            <w:tcW w:type="dxa" w:w="2268"/>
            <w:shd w:val="clear" w:fill="1F4E79"/>
          </w:tcPr>
          <w:p>
            <w:pPr>
              <w:spacing w:after="40"/>
              <w:jc w:val="center"/>
            </w:pPr>
            <w:r/>
            <w:r>
              <w:rPr>
                <w:b/>
                <w:color w:val="FFFFFF"/>
                <w:sz w:val="19"/>
              </w:rPr>
              <w:t>Réversibilité</w:t>
            </w:r>
          </w:p>
        </w:tc>
      </w:tr>
      <w:tr>
        <w:tc>
          <w:tcPr>
            <w:tcW w:type="dxa" w:w="2268"/>
          </w:tcPr>
          <w:p>
            <w:pPr>
              <w:spacing w:after="40"/>
            </w:pPr>
            <w:r/>
            <w:r>
              <w:rPr>
                <w:b/>
                <w:sz w:val="19"/>
              </w:rPr>
              <w:t>JSON projet</w:t>
            </w:r>
          </w:p>
        </w:tc>
        <w:tc>
          <w:tcPr>
            <w:tcW w:type="dxa" w:w="4819"/>
          </w:tcPr>
          <w:p>
            <w:pPr>
              <w:spacing w:after="40"/>
            </w:pPr>
            <w:r/>
            <w:r>
              <w:rPr>
                <w:b w:val="0"/>
                <w:sz w:val="19"/>
              </w:rPr>
              <w:t>Intégralité d'un projet, questionnaires et questions compris</w:t>
            </w:r>
          </w:p>
        </w:tc>
        <w:tc>
          <w:tcPr>
            <w:tcW w:type="dxa" w:w="2268"/>
          </w:tcPr>
          <w:p>
            <w:pPr>
              <w:spacing w:after="40"/>
            </w:pPr>
            <w:r/>
            <w:r>
              <w:rPr>
                <w:b w:val="0"/>
                <w:sz w:val="19"/>
              </w:rPr>
              <w:t>Restitution à l'identique</w:t>
            </w:r>
          </w:p>
        </w:tc>
      </w:tr>
      <w:tr>
        <w:tc>
          <w:tcPr>
            <w:tcW w:type="dxa" w:w="2268"/>
          </w:tcPr>
          <w:p>
            <w:pPr>
              <w:spacing w:after="40"/>
            </w:pPr>
            <w:r/>
            <w:r>
              <w:rPr>
                <w:b/>
                <w:sz w:val="19"/>
              </w:rPr>
              <w:t>JSON portefeuille</w:t>
            </w:r>
          </w:p>
        </w:tc>
        <w:tc>
          <w:tcPr>
            <w:tcW w:type="dxa" w:w="4819"/>
          </w:tcPr>
          <w:p>
            <w:pPr>
              <w:spacing w:after="40"/>
            </w:pPr>
            <w:r/>
            <w:r>
              <w:rPr>
                <w:b w:val="0"/>
                <w:sz w:val="19"/>
              </w:rPr>
              <w:t>Tous les projets de l'instance dans un fichier unique</w:t>
            </w:r>
          </w:p>
        </w:tc>
        <w:tc>
          <w:tcPr>
            <w:tcW w:type="dxa" w:w="2268"/>
          </w:tcPr>
          <w:p>
            <w:pPr>
              <w:spacing w:after="40"/>
            </w:pPr>
            <w:r/>
            <w:r>
              <w:rPr>
                <w:b w:val="0"/>
                <w:sz w:val="19"/>
              </w:rPr>
              <w:t>Restitution à l'identique</w:t>
            </w:r>
          </w:p>
        </w:tc>
      </w:tr>
      <w:tr>
        <w:tc>
          <w:tcPr>
            <w:tcW w:type="dxa" w:w="2268"/>
          </w:tcPr>
          <w:p>
            <w:pPr>
              <w:spacing w:after="40"/>
            </w:pPr>
            <w:r/>
            <w:r>
              <w:rPr>
                <w:b/>
                <w:sz w:val="19"/>
              </w:rPr>
              <w:t>Excel de transfert</w:t>
            </w:r>
          </w:p>
        </w:tc>
        <w:tc>
          <w:tcPr>
            <w:tcW w:type="dxa" w:w="4819"/>
          </w:tcPr>
          <w:p>
            <w:pPr>
              <w:spacing w:after="40"/>
            </w:pPr>
            <w:r/>
            <w:r>
              <w:rPr>
                <w:b w:val="0"/>
                <w:sz w:val="19"/>
              </w:rPr>
              <w:t>Toutes les données dans la structure du modèle d'import</w:t>
            </w:r>
          </w:p>
        </w:tc>
        <w:tc>
          <w:tcPr>
            <w:tcW w:type="dxa" w:w="2268"/>
          </w:tcPr>
          <w:p>
            <w:pPr>
              <w:spacing w:after="40"/>
            </w:pPr>
            <w:r/>
            <w:r>
              <w:rPr>
                <w:b w:val="0"/>
                <w:sz w:val="19"/>
              </w:rPr>
              <w:t>Réversible, hors questionnaires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Gestion des collisions de code — </w:t>
            </w:r>
            <w:r>
              <w:rPr>
                <w:sz w:val="19"/>
              </w:rPr>
              <w:t>Si le code du projet importé est déjà utilisé, il est suffixé automatiquement et l'utilisateur en est averti dans le rapport d'import. L'option « remplacer un projet existant » produit l'effet inverse : le projet de même code est supprimé au préalable, ce qui permet de restaurer une sauvegarde par-dessus une version altérée.</w:t>
            </w:r>
          </w:p>
        </w:tc>
      </w:tr>
    </w:tbl>
    <w:p/>
    <w:p>
      <w:pPr>
        <w:pStyle w:val="Heading2"/>
      </w:pPr>
      <w:r>
        <w:rPr>
          <w:color w:val="2E75B6"/>
          <w:sz w:val="26"/>
        </w:rPr>
        <w:t>6.15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Sauvegarde et transfert de projets entiers</w:t>
      </w:r>
    </w:p>
    <w:p>
      <w:pPr>
        <w:jc w:val="both"/>
      </w:pPr>
      <w:r>
        <w:rPr>
          <w:i w:val="0"/>
          <w:sz w:val="21"/>
        </w:rPr>
        <w:t>Au-delà de l'import de données, la plateforme permet de sauvegarder et de transférer des projets complets. Trois usages sont couverts : la sauvegarde de sécurité avant une modification lourde, le transfert d'un projet d'une instance à une autre — d'un poste local vers le serveur, ou entre deux organisations —, et le travail hors ligne dans un tableur suivi d'un rechargement.</w:t>
      </w:r>
    </w:p>
    <w:p>
      <w:pPr>
        <w:pStyle w:val="ListBullet"/>
        <w:jc w:val="both"/>
      </w:pPr>
      <w:r>
        <w:rPr>
          <w:sz w:val="20"/>
        </w:rPr>
        <w:t>La sauvegarde JSON d'un projet contient l'ensemble de ses données, questionnaires compris, et se recharge à l'identique.</w:t>
      </w:r>
    </w:p>
    <w:p>
      <w:pPr>
        <w:pStyle w:val="ListBullet"/>
        <w:jc w:val="both"/>
      </w:pPr>
      <w:r>
        <w:rPr>
          <w:sz w:val="20"/>
        </w:rPr>
        <w:t>La sauvegarde JSON du portefeuille regroupe tous les projets de l'instance dans un fichier unique, ce qui constitue une copie de sécurité complète de la plateforme.</w:t>
      </w:r>
    </w:p>
    <w:p>
      <w:pPr>
        <w:pStyle w:val="ListBullet"/>
        <w:jc w:val="both"/>
      </w:pPr>
      <w:r>
        <w:rPr>
          <w:sz w:val="20"/>
        </w:rPr>
        <w:t>Le classeur Excel de transfert reprend la structure du modèle d'import : il se retravaille dans un tableur, se transmet par courriel et se recharge tel quel.</w:t>
      </w:r>
    </w:p>
    <w:p>
      <w:pPr>
        <w:pStyle w:val="ListBullet"/>
        <w:jc w:val="both"/>
      </w:pPr>
      <w:r>
        <w:rPr>
          <w:sz w:val="20"/>
        </w:rPr>
        <w:t>Le rapport d'import détaille, projet par projet, le nombre d'enregistrements recréés dans chaque catégorie et les éventuels avertissements.</w:t>
      </w:r>
    </w:p>
    <w:p>
      <w:pPr>
        <w:pStyle w:val="Heading2"/>
      </w:pPr>
      <w:r>
        <w:rPr>
          <w:color w:val="2E75B6"/>
          <w:sz w:val="26"/>
        </w:rPr>
        <w:t>7.5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Vingt-huit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Chemin critique et réseau PERT</w:t>
            </w:r>
          </w:p>
        </w:tc>
        <w:tc>
          <w:tcPr>
            <w:tcW w:type="dxa" w:w="1474"/>
          </w:tcPr>
          <w:p>
            <w:pPr>
              <w:spacing w:after="40"/>
            </w:pPr>
            <w:r/>
            <w:r>
              <w:rPr>
                <w:b w:val="0"/>
                <w:sz w:val="17"/>
              </w:rPr>
              <w:t>Excel</w:t>
            </w:r>
          </w:p>
        </w:tc>
        <w:tc>
          <w:tcPr>
            <w:tcW w:type="dxa" w:w="5046"/>
          </w:tcPr>
          <w:p>
            <w:pPr>
              <w:spacing w:after="40"/>
            </w:pPr>
            <w:r/>
            <w:r>
              <w:rPr>
                <w:b w:val="0"/>
                <w:sz w:val="17"/>
              </w:rPr>
              <w:t>Ordonnancement CPM : dates au plus tôt et au plus tard, marges, durée du projet, activités par rang PERT</w:t>
            </w:r>
          </w:p>
        </w:tc>
      </w:tr>
      <w:tr>
        <w:tc>
          <w:tcPr>
            <w:tcW w:type="dxa" w:w="2835"/>
          </w:tcPr>
          <w:p>
            <w:pPr>
              <w:spacing w:after="40"/>
            </w:pPr>
            <w:r/>
            <w:r>
              <w:rPr>
                <w:b/>
                <w:sz w:val="17"/>
              </w:rPr>
              <w:t>Organigramme des tâches (WBS)</w:t>
            </w:r>
          </w:p>
        </w:tc>
        <w:tc>
          <w:tcPr>
            <w:tcW w:type="dxa" w:w="1474"/>
          </w:tcPr>
          <w:p>
            <w:pPr>
              <w:spacing w:after="40"/>
            </w:pPr>
            <w:r/>
            <w:r>
              <w:rPr>
                <w:b w:val="0"/>
                <w:sz w:val="17"/>
              </w:rPr>
              <w:t>Excel</w:t>
            </w:r>
          </w:p>
        </w:tc>
        <w:tc>
          <w:tcPr>
            <w:tcW w:type="dxa" w:w="5046"/>
          </w:tcPr>
          <w:p>
            <w:pPr>
              <w:spacing w:after="40"/>
            </w:pPr>
            <w:r/>
            <w:r>
              <w:rPr>
                <w:b w:val="0"/>
                <w:sz w:val="17"/>
              </w:rPr>
              <w:t>Décomposition codifiée, coûts consolidés, dictionnaire des lots de travail</w:t>
            </w:r>
          </w:p>
        </w:tc>
      </w:tr>
      <w:tr>
        <w:tc>
          <w:tcPr>
            <w:tcW w:type="dxa" w:w="2835"/>
          </w:tcPr>
          <w:p>
            <w:pPr>
              <w:spacing w:after="40"/>
            </w:pPr>
            <w:r/>
            <w:r>
              <w:rPr>
                <w:b/>
                <w:sz w:val="17"/>
              </w:rPr>
              <w:t>Matrice des responsabilités (RACI)</w:t>
            </w:r>
          </w:p>
        </w:tc>
        <w:tc>
          <w:tcPr>
            <w:tcW w:type="dxa" w:w="1474"/>
          </w:tcPr>
          <w:p>
            <w:pPr>
              <w:spacing w:after="40"/>
            </w:pPr>
            <w:r/>
            <w:r>
              <w:rPr>
                <w:b w:val="0"/>
                <w:sz w:val="17"/>
              </w:rPr>
              <w:t>Excel</w:t>
            </w:r>
          </w:p>
        </w:tc>
        <w:tc>
          <w:tcPr>
            <w:tcW w:type="dxa" w:w="5046"/>
          </w:tcPr>
          <w:p>
            <w:pPr>
              <w:spacing w:after="40"/>
            </w:pPr>
            <w:r/>
            <w:r>
              <w:rPr>
                <w:b w:val="0"/>
                <w:sz w:val="17"/>
              </w:rPr>
              <w:t>Matrice activités × acteurs, charge par partie prenante, contrôle de cohérence</w:t>
            </w:r>
          </w:p>
        </w:tc>
      </w:tr>
      <w:tr>
        <w:tc>
          <w:tcPr>
            <w:tcW w:type="dxa" w:w="2835"/>
          </w:tcPr>
          <w:p>
            <w:pPr>
              <w:spacing w:after="40"/>
            </w:pPr>
            <w:r/>
            <w:r>
              <w:rPr>
                <w:b/>
                <w:sz w:val="17"/>
              </w:rPr>
              <w:t>Organisation et ordonnancement</w:t>
            </w:r>
          </w:p>
        </w:tc>
        <w:tc>
          <w:tcPr>
            <w:tcW w:type="dxa" w:w="1474"/>
          </w:tcPr>
          <w:p>
            <w:pPr>
              <w:spacing w:after="40"/>
            </w:pPr>
            <w:r/>
            <w:r>
              <w:rPr>
                <w:b w:val="0"/>
                <w:sz w:val="17"/>
              </w:rPr>
              <w:t>Word</w:t>
            </w:r>
          </w:p>
        </w:tc>
        <w:tc>
          <w:tcPr>
            <w:tcW w:type="dxa" w:w="5046"/>
          </w:tcPr>
          <w:p>
            <w:pPr>
              <w:spacing w:after="40"/>
            </w:pPr>
            <w:r/>
            <w:r>
              <w:rPr>
                <w:b w:val="0"/>
                <w:sz w:val="17"/>
              </w:rPr>
              <w:t>Document réunissant l'organigramme des tâches, le chemin critique, le réseau PERT et la matrice RACI</w:t>
            </w:r>
          </w:p>
        </w:tc>
      </w:tr>
      <w:tr>
        <w:tc>
          <w:tcPr>
            <w:tcW w:type="dxa" w:w="2835"/>
          </w:tcPr>
          <w:p>
            <w:pPr>
              <w:spacing w:after="40"/>
            </w:pPr>
            <w:r/>
            <w:r>
              <w:rPr>
                <w:b/>
                <w:sz w:val="17"/>
              </w:rPr>
              <w:t>Projet complet (sauvegarde SEPIA)</w:t>
            </w:r>
          </w:p>
        </w:tc>
        <w:tc>
          <w:tcPr>
            <w:tcW w:type="dxa" w:w="1474"/>
          </w:tcPr>
          <w:p>
            <w:pPr>
              <w:spacing w:after="40"/>
            </w:pPr>
            <w:r/>
            <w:r>
              <w:rPr>
                <w:b w:val="0"/>
                <w:sz w:val="17"/>
              </w:rPr>
              <w:t>JSON</w:t>
            </w:r>
          </w:p>
        </w:tc>
        <w:tc>
          <w:tcPr>
            <w:tcW w:type="dxa" w:w="5046"/>
          </w:tcPr>
          <w:p>
            <w:pPr>
              <w:spacing w:after="40"/>
            </w:pPr>
            <w:r/>
            <w:r>
              <w:rPr>
                <w:b w:val="0"/>
                <w:sz w:val="17"/>
              </w:rPr>
              <w:t>Sauvegarde intégrale et réversible du projet, questionnaires compris, rechargeable sur une autre instance</w:t>
            </w:r>
          </w:p>
        </w:tc>
      </w:tr>
      <w:tr>
        <w:tc>
          <w:tcPr>
            <w:tcW w:type="dxa" w:w="2835"/>
          </w:tcPr>
          <w:p>
            <w:pPr>
              <w:spacing w:after="40"/>
            </w:pPr>
            <w:r/>
            <w:r>
              <w:rPr>
                <w:b/>
                <w:sz w:val="17"/>
              </w:rPr>
              <w:t>Portefeuille complet</w:t>
            </w:r>
          </w:p>
        </w:tc>
        <w:tc>
          <w:tcPr>
            <w:tcW w:type="dxa" w:w="1474"/>
          </w:tcPr>
          <w:p>
            <w:pPr>
              <w:spacing w:after="40"/>
            </w:pPr>
            <w:r/>
            <w:r>
              <w:rPr>
                <w:b w:val="0"/>
                <w:sz w:val="17"/>
              </w:rPr>
              <w:t>JSON</w:t>
            </w:r>
          </w:p>
        </w:tc>
        <w:tc>
          <w:tcPr>
            <w:tcW w:type="dxa" w:w="5046"/>
          </w:tcPr>
          <w:p>
            <w:pPr>
              <w:spacing w:after="40"/>
            </w:pPr>
            <w:r/>
            <w:r>
              <w:rPr>
                <w:b w:val="0"/>
                <w:sz w:val="17"/>
              </w:rPr>
              <w:t>Sauvegarde de tous les projets de l'instance dans un fichier unique</w:t>
            </w:r>
          </w:p>
        </w:tc>
      </w:tr>
      <w:tr>
        <w:tc>
          <w:tcPr>
            <w:tcW w:type="dxa" w:w="2835"/>
          </w:tcPr>
          <w:p>
            <w:pPr>
              <w:spacing w:after="40"/>
            </w:pPr>
            <w:r/>
            <w:r>
              <w:rPr>
                <w:b/>
                <w:sz w:val="17"/>
              </w:rPr>
              <w:t>Projet au format d'import</w:t>
            </w:r>
          </w:p>
        </w:tc>
        <w:tc>
          <w:tcPr>
            <w:tcW w:type="dxa" w:w="1474"/>
          </w:tcPr>
          <w:p>
            <w:pPr>
              <w:spacing w:after="40"/>
            </w:pPr>
            <w:r/>
            <w:r>
              <w:rPr>
                <w:b w:val="0"/>
                <w:sz w:val="17"/>
              </w:rPr>
              <w:t>Excel</w:t>
            </w:r>
          </w:p>
        </w:tc>
        <w:tc>
          <w:tcPr>
            <w:tcW w:type="dxa" w:w="5046"/>
          </w:tcPr>
          <w:p>
            <w:pPr>
              <w:spacing w:after="40"/>
            </w:pPr>
            <w:r/>
            <w:r>
              <w:rPr>
                <w:b w:val="0"/>
                <w:sz w:val="17"/>
              </w:rPr>
              <w:t>Toutes les données du projet dans la structure du modèle d'import, retravaillable dans un tableur puis rechargeable</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coordonnées cartographiables dans Power BI ou un SIG, collecte par activité</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Bénéficiaires : ciblage et caractérisation</w:t>
            </w:r>
          </w:p>
        </w:tc>
        <w:tc>
          <w:tcPr>
            <w:tcW w:type="dxa" w:w="1474"/>
          </w:tcPr>
          <w:p>
            <w:pPr>
              <w:spacing w:after="40"/>
            </w:pPr>
            <w:r/>
            <w:r>
              <w:rPr>
                <w:b w:val="0"/>
                <w:sz w:val="17"/>
              </w:rPr>
              <w:t>Excel</w:t>
            </w:r>
          </w:p>
        </w:tc>
        <w:tc>
          <w:tcPr>
            <w:tcW w:type="dxa" w:w="5046"/>
          </w:tcPr>
          <w:p>
            <w:pPr>
              <w:spacing w:after="40"/>
            </w:pPr>
            <w:r/>
            <w:r>
              <w:rPr>
                <w:b w:val="0"/>
                <w:sz w:val="17"/>
              </w:rPr>
              <w:t>Quantification et atteinte par groupe, caractérisation qualitative, indicateurs rattachés à chaque groupe</w:t>
            </w:r>
          </w:p>
        </w:tc>
      </w:tr>
      <w:tr>
        <w:tc>
          <w:tcPr>
            <w:tcW w:type="dxa" w:w="2835"/>
          </w:tcPr>
          <w:p>
            <w:pPr>
              <w:spacing w:after="40"/>
            </w:pPr>
            <w:r/>
            <w:r>
              <w:rPr>
                <w:b/>
                <w:sz w:val="17"/>
              </w:rPr>
              <w:t>Partenaires : engagements et performance</w:t>
            </w:r>
          </w:p>
        </w:tc>
        <w:tc>
          <w:tcPr>
            <w:tcW w:type="dxa" w:w="1474"/>
          </w:tcPr>
          <w:p>
            <w:pPr>
              <w:spacing w:after="40"/>
            </w:pPr>
            <w:r/>
            <w:r>
              <w:rPr>
                <w:b w:val="0"/>
                <w:sz w:val="17"/>
              </w:rPr>
              <w:t>Excel</w:t>
            </w:r>
          </w:p>
        </w:tc>
        <w:tc>
          <w:tcPr>
            <w:tcW w:type="dxa" w:w="5046"/>
          </w:tcPr>
          <w:p>
            <w:pPr>
              <w:spacing w:after="40"/>
            </w:pPr>
            <w:r/>
            <w:r>
              <w:rPr>
                <w:b w:val="0"/>
                <w:sz w:val="17"/>
              </w:rPr>
              <w:t>Contributions conventionnées et décaissées, taux de décaissement, échéances de convention</w:t>
            </w:r>
          </w:p>
        </w:tc>
      </w:tr>
      <w:tr>
        <w:tc>
          <w:tcPr>
            <w:tcW w:type="dxa" w:w="2835"/>
          </w:tcPr>
          <w:p>
            <w:pPr>
              <w:spacing w:after="40"/>
            </w:pPr>
            <w:r/>
            <w:r>
              <w:rPr>
                <w:b/>
                <w:sz w:val="17"/>
              </w:rPr>
              <w:t>Évaluation CAD-OCDE</w:t>
            </w:r>
          </w:p>
        </w:tc>
        <w:tc>
          <w:tcPr>
            <w:tcW w:type="dxa" w:w="1474"/>
          </w:tcPr>
          <w:p>
            <w:pPr>
              <w:spacing w:after="40"/>
            </w:pPr>
            <w:r/>
            <w:r>
              <w:rPr>
                <w:b w:val="0"/>
                <w:sz w:val="17"/>
              </w:rPr>
              <w:t>Excel</w:t>
            </w:r>
          </w:p>
        </w:tc>
        <w:tc>
          <w:tcPr>
            <w:tcW w:type="dxa" w:w="5046"/>
          </w:tcPr>
          <w:p>
            <w:pPr>
              <w:spacing w:after="40"/>
            </w:pPr>
            <w:r/>
            <w:r>
              <w:rPr>
                <w:b w:val="0"/>
                <w:sz w:val="17"/>
              </w:rPr>
              <w:t>Notes et justifications par critère, moyennes consolidées, registre des recommandations et de leur mise en œuvre</w:t>
            </w:r>
          </w:p>
        </w:tc>
      </w:tr>
      <w:tr>
        <w:tc>
          <w:tcPr>
            <w:tcW w:type="dxa" w:w="2835"/>
          </w:tcPr>
          <w:p>
            <w:pPr>
              <w:spacing w:after="40"/>
            </w:pPr>
            <w:r/>
            <w:r>
              <w:rPr>
                <w:b/>
                <w:sz w:val="17"/>
              </w:rPr>
              <w:t>Rapport d'évaluation CAD-OCDE</w:t>
            </w:r>
          </w:p>
        </w:tc>
        <w:tc>
          <w:tcPr>
            <w:tcW w:type="dxa" w:w="1474"/>
          </w:tcPr>
          <w:p>
            <w:pPr>
              <w:spacing w:after="40"/>
            </w:pPr>
            <w:r/>
            <w:r>
              <w:rPr>
                <w:b w:val="0"/>
                <w:sz w:val="17"/>
              </w:rPr>
              <w:t>Word</w:t>
            </w:r>
          </w:p>
        </w:tc>
        <w:tc>
          <w:tcPr>
            <w:tcW w:type="dxa" w:w="5046"/>
          </w:tcPr>
          <w:p>
            <w:pPr>
              <w:spacing w:after="40"/>
            </w:pPr>
            <w:r/>
            <w:r>
              <w:rPr>
                <w:b w:val="0"/>
                <w:sz w:val="17"/>
              </w:rPr>
              <w:t>Rapport structuré critère par critère, échelle de notation, justifications et suivi des recommandations</w:t>
            </w:r>
          </w:p>
        </w:tc>
      </w:tr>
      <w:tr>
        <w:tc>
          <w:tcPr>
            <w:tcW w:type="dxa" w:w="2835"/>
          </w:tcPr>
          <w:p>
            <w:pPr>
              <w:spacing w:after="40"/>
            </w:pPr>
            <w:r/>
            <w:r>
              <w:rPr>
                <w:b/>
                <w:sz w:val="17"/>
              </w:rPr>
              <w:t>Protocole d'évaluation d'impact</w:t>
            </w:r>
          </w:p>
        </w:tc>
        <w:tc>
          <w:tcPr>
            <w:tcW w:type="dxa" w:w="1474"/>
          </w:tcPr>
          <w:p>
            <w:pPr>
              <w:spacing w:after="40"/>
            </w:pPr>
            <w:r/>
            <w:r>
              <w:rPr>
                <w:b w:val="0"/>
                <w:sz w:val="17"/>
              </w:rPr>
              <w:t>Word</w:t>
            </w:r>
          </w:p>
        </w:tc>
        <w:tc>
          <w:tcPr>
            <w:tcW w:type="dxa" w:w="5046"/>
          </w:tcPr>
          <w:p>
            <w:pPr>
              <w:spacing w:after="40"/>
            </w:pPr>
            <w:r/>
            <w:r>
              <w:rPr>
                <w:b w:val="0"/>
                <w:sz w:val="17"/>
              </w:rPr>
              <w:t>Méthode et hypothèse d'identification, groupes de traitement et de comparaison, contrôle de puissance, résultats et signification statistique</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Cartographie</w:t>
      </w:r>
    </w:p>
    <w:p>
      <w:pPr>
        <w:jc w:val="both"/>
      </w:pPr>
      <w:r>
        <w:rPr>
          <w:i w:val="0"/>
          <w:sz w:val="21"/>
        </w:rPr>
        <w:t>La plateforme intègre une carte de couverture des zones d'intervention, décrite au chapitre 5.12. Pour une analyse cartographique plus poussée, les coordonnées de chaque zone sont exportées dans le classeur « Consolidation par zone » et exposées dans la table Dim_Zone du flux Power BI : le visuel Carte de Power BI, comme un système d'information géographique tel que QGIS, peut les exploiter directement, en les croisant avec les bénéficiaires atteints ou le taux de couverture.</w:t>
      </w:r>
    </w:p>
    <w:p>
      <w:pPr>
        <w:pStyle w:val="Heading2"/>
      </w:pPr>
      <w:r>
        <w:rPr>
          <w:color w:val="2E75B6"/>
          <w:sz w:val="26"/>
        </w:rPr>
        <w:t>10.5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10.6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et téléchargement des livrables, sur les seuls projets dont il est membre</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des rôles, des accès par projet et des clés d'API</w:t>
            </w:r>
          </w:p>
        </w:tc>
      </w:tr>
    </w:tbl>
    <w:p/>
    <w:p>
      <w:pPr>
        <w:jc w:val="both"/>
      </w:pPr>
      <w:r>
        <w:rPr>
          <w:i w:val="0"/>
          <w:sz w:val="21"/>
        </w:rPr>
        <w:t>Le rôle détermine ce qu'un utilisateur peut faire ; le rattachement au projet détermine sur quoi il peut le faire. Les deux contrôles sont indépendants et cumulatifs, et tous deux sont appliqués par le serveur : l'interface masque des écrans selon le rôle, mais cette décision est cosmétique et ne conditionne aucun accès.</w:t>
      </w:r>
    </w:p>
    <w:p>
      <w:pPr>
        <w:pStyle w:val="Heading2"/>
      </w:pPr>
      <w:r>
        <w:rPr>
          <w:color w:val="2E75B6"/>
          <w:sz w:val="26"/>
        </w:rPr>
        <w:t>11.2 Principes de conception retenus</w:t>
      </w:r>
    </w:p>
    <w:p>
      <w:pPr>
        <w:pStyle w:val="ListBullet"/>
        <w:jc w:val="both"/>
      </w:pPr>
      <w:r>
        <w:rPr>
          <w:sz w:val="20"/>
        </w:rPr>
        <w:t>Aucun secret dans le dépôt — Il n'existe ni clé, ni jeton, ni mot de passe inscrit dans le code ou dans les fichiers de configuration versionnés. En production, l'absence de clé de signature empêche le démarrage plutôt que de retomber silencieusement sur une valeur connue de tous. Si aucun mot de passe administrateur n'est fourni, la plateforme en engendre un aléatoirement et l'inscrit une seule fois dans les journaux de démarrage.</w:t>
      </w:r>
    </w:p>
    <w:p>
      <w:pPr>
        <w:pStyle w:val="ListBullet"/>
        <w:jc w:val="both"/>
      </w:pPr>
      <w:r>
        <w:rPr>
          <w:sz w:val="20"/>
        </w:rPr>
        <w:t>Le navigateur ne décide de rien — Chaque appel revérifie côté serveur l'authentification, le rôle et l'appartenance de l'objet manipulé à un projet autorisé. Un identifiant deviné dans une URL ne donne rien. Les projets étant énumérables par construction, un accès refusé répond 404 et non 403 : la réponse ne confirme pas l'existence de la ressource.</w:t>
      </w:r>
    </w:p>
    <w:p>
      <w:pPr>
        <w:pStyle w:val="ListBullet"/>
        <w:jc w:val="both"/>
      </w:pPr>
      <w:r>
        <w:rPr>
          <w:sz w:val="20"/>
        </w:rPr>
        <w:t>Le serveur ne fait confiance à rien de ce qu'il reçoit — Les champs modifiables sont définis par liste blanche : un client qui ajoute un rôle, un état de compte ou une empreinte de mot de passe à sa requête voit ces champs ignorés. Aucune requête n'est construite par concaténation de texte, et les jokers des recherches sont échappés.</w:t>
      </w:r>
    </w:p>
    <w:p>
      <w:pPr>
        <w:pStyle w:val="ListBullet"/>
        <w:jc w:val="both"/>
      </w:pPr>
      <w:r>
        <w:rPr>
          <w:sz w:val="20"/>
        </w:rPr>
        <w:t>Tout texte affiché est échappé — Les libellés, énoncés, commentaires et recommandations issus des données sont échappés avant insertion dans le HTML ou le SVG. Un énoncé d'indicateur contenant du balisage s'affiche comme du texte. La politique de sécurité du contenu interdit par ailleurs tout script en ligne et tout script d'origine externe.</w:t>
      </w:r>
    </w:p>
    <w:p>
      <w:pPr>
        <w:pStyle w:val="Heading2"/>
      </w:pPr>
      <w:r>
        <w:rPr>
          <w:color w:val="2E75B6"/>
          <w:sz w:val="26"/>
        </w:rPr>
        <w:t>11.3 Mesures appliquées</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Domaine</w:t>
            </w:r>
          </w:p>
        </w:tc>
        <w:tc>
          <w:tcPr>
            <w:tcW w:type="dxa" w:w="7370"/>
            <w:shd w:val="clear" w:fill="1F4E79"/>
          </w:tcPr>
          <w:p>
            <w:pPr>
              <w:spacing w:after="40"/>
              <w:jc w:val="center"/>
            </w:pPr>
            <w:r/>
            <w:r>
              <w:rPr>
                <w:b/>
                <w:color w:val="FFFFFF"/>
                <w:sz w:val="18"/>
              </w:rPr>
              <w:t>Mesure</w:t>
            </w:r>
          </w:p>
        </w:tc>
      </w:tr>
      <w:tr>
        <w:tc>
          <w:tcPr>
            <w:tcW w:type="dxa" w:w="1984"/>
          </w:tcPr>
          <w:p>
            <w:pPr>
              <w:spacing w:after="40"/>
            </w:pPr>
            <w:r/>
            <w:r>
              <w:rPr>
                <w:b w:val="0"/>
                <w:sz w:val="18"/>
              </w:rPr>
              <w:t>Mots de passe</w:t>
            </w:r>
          </w:p>
        </w:tc>
        <w:tc>
          <w:tcPr>
            <w:tcW w:type="dxa" w:w="7370"/>
          </w:tcPr>
          <w:p>
            <w:pPr>
              <w:spacing w:after="40"/>
            </w:pPr>
            <w:r/>
            <w:r>
              <w:rPr>
                <w:b w:val="0"/>
                <w:sz w:val="18"/>
              </w:rPr>
              <w:t>PBKDF2-SHA256, 240 000 itérations, sel aléatoire par compte. Politique imposée : 12 caractères au minimum, au moins trois classes de caractères, refus des mots de passe courants, des suites de caractères et de tout mot de passe contenant le nom ou l'adresse du compte.</w:t>
            </w:r>
          </w:p>
        </w:tc>
      </w:tr>
      <w:tr>
        <w:tc>
          <w:tcPr>
            <w:tcW w:type="dxa" w:w="1984"/>
          </w:tcPr>
          <w:p>
            <w:pPr>
              <w:spacing w:after="40"/>
            </w:pPr>
            <w:r/>
            <w:r>
              <w:rPr>
                <w:b w:val="0"/>
                <w:sz w:val="18"/>
              </w:rPr>
              <w:t>Sessions</w:t>
            </w:r>
          </w:p>
        </w:tc>
        <w:tc>
          <w:tcPr>
            <w:tcW w:type="dxa" w:w="7370"/>
          </w:tcPr>
          <w:p>
            <w:pPr>
              <w:spacing w:after="40"/>
            </w:pPr>
            <w:r/>
            <w:r>
              <w:rPr>
                <w:b w:val="0"/>
                <w:sz w:val="18"/>
              </w:rPr>
              <w:t>Jeton signé HMAC-SHA256 déposé dans un cookie HttpOnly, SameSite=Strict et Secure en production : le JavaScript ne peut pas le lire. Aucun jeton en stockage local. Chaque compte peut fermer toutes ses sessions d'un appel.</w:t>
            </w:r>
          </w:p>
        </w:tc>
      </w:tr>
      <w:tr>
        <w:tc>
          <w:tcPr>
            <w:tcW w:type="dxa" w:w="1984"/>
          </w:tcPr>
          <w:p>
            <w:pPr>
              <w:spacing w:after="40"/>
            </w:pPr>
            <w:r/>
            <w:r>
              <w:rPr>
                <w:b w:val="0"/>
                <w:sz w:val="18"/>
              </w:rPr>
              <w:t>Force brute</w:t>
            </w:r>
          </w:p>
        </w:tc>
        <w:tc>
          <w:tcPr>
            <w:tcW w:type="dxa" w:w="7370"/>
          </w:tcPr>
          <w:p>
            <w:pPr>
              <w:spacing w:after="40"/>
            </w:pPr>
            <w:r/>
            <w:r>
              <w:rPr>
                <w:b w:val="0"/>
                <w:sz w:val="18"/>
              </w:rPr>
              <w:t>Verrouillage progressif du compte après échecs répétés. Message d'échec unique et comparaison à durée constante même lorsque le compte n'existe pas : l'API ne permet pas d'énumérer les comptes.</w:t>
            </w:r>
          </w:p>
        </w:tc>
      </w:tr>
      <w:tr>
        <w:tc>
          <w:tcPr>
            <w:tcW w:type="dxa" w:w="1984"/>
          </w:tcPr>
          <w:p>
            <w:pPr>
              <w:spacing w:after="40"/>
            </w:pPr>
            <w:r/>
            <w:r>
              <w:rPr>
                <w:b w:val="0"/>
                <w:sz w:val="18"/>
              </w:rPr>
              <w:t>Limitation de débit</w:t>
            </w:r>
          </w:p>
        </w:tc>
        <w:tc>
          <w:tcPr>
            <w:tcW w:type="dxa" w:w="7370"/>
          </w:tcPr>
          <w:p>
            <w:pPr>
              <w:spacing w:after="40"/>
            </w:pPr>
            <w:r/>
            <w:r>
              <w:rPr>
                <w:b w:val="0"/>
                <w:sz w:val="18"/>
              </w:rPr>
              <w:t>Fenêtre glissante par adresse et par catégorie d'appel, avec des quotas distincts pour l'authentification, les écritures, les exports et la lecture. Plafond de taille sur le corps des requêtes.</w:t>
            </w:r>
          </w:p>
        </w:tc>
      </w:tr>
      <w:tr>
        <w:tc>
          <w:tcPr>
            <w:tcW w:type="dxa" w:w="1984"/>
          </w:tcPr>
          <w:p>
            <w:pPr>
              <w:spacing w:after="40"/>
            </w:pPr>
            <w:r/>
            <w:r>
              <w:rPr>
                <w:b w:val="0"/>
                <w:sz w:val="18"/>
              </w:rPr>
              <w:t>En-têtes</w:t>
            </w:r>
          </w:p>
        </w:tc>
        <w:tc>
          <w:tcPr>
            <w:tcW w:type="dxa" w:w="7370"/>
          </w:tcPr>
          <w:p>
            <w:pPr>
              <w:spacing w:after="40"/>
            </w:pPr>
            <w:r/>
            <w:r>
              <w:rPr>
                <w:b w:val="0"/>
                <w:sz w:val="18"/>
              </w:rPr>
              <w:t>Politique de sécurité du contenu, interdiction d'inclusion dans un cadre, politique de référent, HSTS en production, absence de mise en cache des réponses d'API.</w:t>
            </w:r>
          </w:p>
        </w:tc>
      </w:tr>
      <w:tr>
        <w:tc>
          <w:tcPr>
            <w:tcW w:type="dxa" w:w="1984"/>
          </w:tcPr>
          <w:p>
            <w:pPr>
              <w:spacing w:after="40"/>
            </w:pPr>
            <w:r/>
            <w:r>
              <w:rPr>
                <w:b w:val="0"/>
                <w:sz w:val="18"/>
              </w:rPr>
              <w:t>Origines</w:t>
            </w:r>
          </w:p>
        </w:tc>
        <w:tc>
          <w:tcPr>
            <w:tcW w:type="dxa" w:w="7370"/>
          </w:tcPr>
          <w:p>
            <w:pPr>
              <w:spacing w:after="40"/>
            </w:pPr>
            <w:r/>
            <w:r>
              <w:rPr>
                <w:b w:val="0"/>
                <w:sz w:val="18"/>
              </w:rPr>
              <w:t>Partage entre origines fermé par défaut : sans configuration explicite, aucune origine tierce n'est acceptée.</w:t>
            </w:r>
          </w:p>
        </w:tc>
      </w:tr>
      <w:tr>
        <w:tc>
          <w:tcPr>
            <w:tcW w:type="dxa" w:w="1984"/>
          </w:tcPr>
          <w:p>
            <w:pPr>
              <w:spacing w:after="40"/>
            </w:pPr>
            <w:r/>
            <w:r>
              <w:rPr>
                <w:b w:val="0"/>
                <w:sz w:val="18"/>
              </w:rPr>
              <w:t>Comptes</w:t>
            </w:r>
          </w:p>
        </w:tc>
        <w:tc>
          <w:tcPr>
            <w:tcW w:type="dxa" w:w="7370"/>
          </w:tcPr>
          <w:p>
            <w:pPr>
              <w:spacing w:after="40"/>
            </w:pPr>
            <w:r/>
            <w:r>
              <w:rPr>
                <w:b w:val="0"/>
                <w:sz w:val="18"/>
              </w:rPr>
              <w:t>Aucune inscription libre : les comptes sont ouverts par un administrateur. L'adresse doit être confirmée par un lien à jeton — à usage unique, avec une réponse indistincte en cas de jeton faux — avant toute connexion. Changement du mot de passe imposé au premier accès.</w:t>
            </w:r>
          </w:p>
        </w:tc>
      </w:tr>
      <w:tr>
        <w:tc>
          <w:tcPr>
            <w:tcW w:type="dxa" w:w="1984"/>
          </w:tcPr>
          <w:p>
            <w:pPr>
              <w:spacing w:after="40"/>
            </w:pPr>
            <w:r/>
            <w:r>
              <w:rPr>
                <w:b w:val="0"/>
                <w:sz w:val="18"/>
              </w:rPr>
              <w:t>Clés d'API</w:t>
            </w:r>
          </w:p>
        </w:tc>
        <w:tc>
          <w:tcPr>
            <w:tcW w:type="dxa" w:w="7370"/>
          </w:tcPr>
          <w:p>
            <w:pPr>
              <w:spacing w:after="40"/>
            </w:pPr>
            <w:r/>
            <w:r>
              <w:rPr>
                <w:b w:val="0"/>
                <w:sz w:val="18"/>
              </w:rPr>
              <w:t>Le flux Power BI n'utilise plus de jeton de session dans l'URL mais des clés nominatives, en lecture seule, limitées à un projet, datées, révocables et stockées hachées : leur valeur n'est affichée qu'à la création.</w:t>
            </w:r>
          </w:p>
        </w:tc>
      </w:tr>
      <w:tr>
        <w:tc>
          <w:tcPr>
            <w:tcW w:type="dxa" w:w="1984"/>
          </w:tcPr>
          <w:p>
            <w:pPr>
              <w:spacing w:after="40"/>
            </w:pPr>
            <w:r/>
            <w:r>
              <w:rPr>
                <w:b w:val="0"/>
                <w:sz w:val="18"/>
              </w:rPr>
              <w:t>Téléversements</w:t>
            </w:r>
          </w:p>
        </w:tc>
        <w:tc>
          <w:tcPr>
            <w:tcW w:type="dxa" w:w="7370"/>
          </w:tcPr>
          <w:p>
            <w:pPr>
              <w:spacing w:after="40"/>
            </w:pPr>
            <w:r/>
            <w:r>
              <w:rPr>
                <w:b w:val="0"/>
                <w:sz w:val="18"/>
              </w:rPr>
              <w:t>Plafond de taille, contrôle du nombre magique du fichier et non de son extension, refus des archives dont le ratio de décompression dépasse le seuil, analyse en mémoire sans écriture sur le disque.</w:t>
            </w:r>
          </w:p>
        </w:tc>
      </w:tr>
      <w:tr>
        <w:tc>
          <w:tcPr>
            <w:tcW w:type="dxa" w:w="1984"/>
          </w:tcPr>
          <w:p>
            <w:pPr>
              <w:spacing w:after="40"/>
            </w:pPr>
            <w:r/>
            <w:r>
              <w:rPr>
                <w:b w:val="0"/>
                <w:sz w:val="18"/>
              </w:rPr>
              <w:t>Erreurs</w:t>
            </w:r>
          </w:p>
        </w:tc>
        <w:tc>
          <w:tcPr>
            <w:tcW w:type="dxa" w:w="7370"/>
          </w:tcPr>
          <w:p>
            <w:pPr>
              <w:spacing w:after="40"/>
            </w:pPr>
            <w:r/>
            <w:r>
              <w:rPr>
                <w:b w:val="0"/>
                <w:sz w:val="18"/>
              </w:rPr>
              <w:t>Aucune trace d'exécution renvoyée au client : une erreur produit un identifiant de corrélation affiché à l'utilisateur et une entrée complète dans les journaux du serveur.</w:t>
            </w:r>
          </w:p>
        </w:tc>
      </w:tr>
      <w:tr>
        <w:tc>
          <w:tcPr>
            <w:tcW w:type="dxa" w:w="1984"/>
          </w:tcPr>
          <w:p>
            <w:pPr>
              <w:spacing w:after="40"/>
            </w:pPr>
            <w:r/>
            <w:r>
              <w:rPr>
                <w:b w:val="0"/>
                <w:sz w:val="18"/>
              </w:rPr>
              <w:t>Dépendances</w:t>
            </w:r>
          </w:p>
        </w:tc>
        <w:tc>
          <w:tcPr>
            <w:tcW w:type="dxa" w:w="7370"/>
          </w:tcPr>
          <w:p>
            <w:pPr>
              <w:spacing w:after="40"/>
            </w:pPr>
            <w:r/>
            <w:r>
              <w:rPr>
                <w:b w:val="0"/>
                <w:sz w:val="18"/>
              </w:rPr>
              <w:t>Dix dépendances directes, toutes épinglées à une version précise et vérifiées, aucune dépendance JavaScript. Revue trimestrielle recommandée.</w:t>
            </w:r>
          </w:p>
        </w:tc>
      </w:tr>
    </w:tbl>
    <w:p/>
    <w:p>
      <w:pPr>
        <w:pStyle w:val="Heading2"/>
      </w:pPr>
      <w:r>
        <w:rPr>
          <w:color w:val="2E75B6"/>
          <w:sz w:val="26"/>
        </w:rPr>
        <w:t>11.4 Jeu de vérification</w:t>
      </w:r>
    </w:p>
    <w:p>
      <w:pPr>
        <w:jc w:val="both"/>
      </w:pPr>
      <w:r>
        <w:rPr>
          <w:i w:val="0"/>
          <w:sz w:val="21"/>
        </w:rPr>
        <w:t>Les mesures ci-dessus sont éprouvées par un jeu de cinquante-et-un contrôles automatisés exécutés contre l'application réelle, sur une base temporaire, par la commande « python scripts/verifier_securite.py » : refus des identifiants erronés avec message indistinct, attributs du cookie de session, présence et contenu des en-têtes, refus systématique des appels anonymes, tentative d'élévation de privilège par le corps de la requête, cycle complet de confirmation d'adresse avec rejeu d'un jeton déjà consommé, cloisonnement d'un lecteur non membre, politique de mot de passe, téléversements piégés, jokers dans la recherche et fermeture effective de la session. La commande sort en erreur dès qu'un contrôle échoue : elle peut être intégrée à une chaîne d'intégration continue.</w:t>
      </w:r>
    </w:p>
    <w:p>
      <w:pPr>
        <w:pStyle w:val="Heading2"/>
      </w:pPr>
      <w:r>
        <w:rPr>
          <w:color w:val="2E75B6"/>
          <w:sz w:val="26"/>
        </w:rPr>
        <w:t>11.5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11.6 Reprendre la main sur le compte d'administration</w:t>
      </w:r>
    </w:p>
    <w:p>
      <w:pPr>
        <w:jc w:val="both"/>
      </w:pPr>
      <w:r>
        <w:rPr>
          <w:i w:val="0"/>
          <w:sz w:val="21"/>
        </w:rPr>
        <w:t>Mot de passe perdu, compte verrouillé par des tentatives infructueuses, désactivé ou rétrogradé par erreur : la plateforme n'offre aucun point d'entrée réseau de réinitialisation. Un tel point d'entrée serait une porte dérobée permanente, exposée à quiconque connaît l'adresse du service. La reprise de main passe donc par une preuve d'autorité réelle : l'accès au tableau de bord d'hébergement, ou au serveur lui-même.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Situation</w:t>
            </w:r>
          </w:p>
        </w:tc>
        <w:tc>
          <w:tcPr>
            <w:tcW w:type="dxa" w:w="6803"/>
            <w:shd w:val="clear" w:fill="1F4E79"/>
          </w:tcPr>
          <w:p>
            <w:pPr>
              <w:spacing w:after="40"/>
              <w:jc w:val="center"/>
            </w:pPr>
            <w:r/>
            <w:r>
              <w:rPr>
                <w:b/>
                <w:color w:val="FFFFFF"/>
                <w:sz w:val="18"/>
              </w:rPr>
              <w:t>Marche à suivre</w:t>
            </w:r>
          </w:p>
        </w:tc>
      </w:tr>
      <w:tr>
        <w:tc>
          <w:tcPr>
            <w:tcW w:type="dxa" w:w="2551"/>
          </w:tcPr>
          <w:p>
            <w:pPr>
              <w:spacing w:after="40"/>
            </w:pPr>
            <w:r/>
            <w:r>
              <w:rPr>
                <w:b w:val="0"/>
                <w:sz w:val="18"/>
              </w:rPr>
              <w:t>Hébergement sans accès shell (Render, plan gratuit compris)</w:t>
            </w:r>
          </w:p>
        </w:tc>
        <w:tc>
          <w:tcPr>
            <w:tcW w:type="dxa" w:w="6803"/>
          </w:tcPr>
          <w:p>
            <w:pPr>
              <w:spacing w:after="40"/>
            </w:pPr>
            <w:r/>
            <w:r>
              <w:rPr>
                <w:b w:val="0"/>
                <w:sz w:val="18"/>
              </w:rPr>
              <w:t>Définir la variable SEPIA_ADMIN_RESET à 1 — et facultativement SEPIA_ADMIN_PASSWORD pour choisir le mot de passe —, redéployer, relever le mot de passe dans les journaux de démarrage à la mention « COMPTE ADMINISTRATEUR RÉINITIALISÉ », puis retirer la variable : tant qu'elle est présente, chaque redémarrage réinitialise le compte.</w:t>
            </w:r>
          </w:p>
        </w:tc>
      </w:tr>
      <w:tr>
        <w:tc>
          <w:tcPr>
            <w:tcW w:type="dxa" w:w="2551"/>
          </w:tcPr>
          <w:p>
            <w:pPr>
              <w:spacing w:after="40"/>
            </w:pPr>
            <w:r/>
            <w:r>
              <w:rPr>
                <w:b w:val="0"/>
                <w:sz w:val="18"/>
              </w:rPr>
              <w:t>Accès au serveur ou à la base</w:t>
            </w:r>
          </w:p>
        </w:tc>
        <w:tc>
          <w:tcPr>
            <w:tcW w:type="dxa" w:w="6803"/>
          </w:tcPr>
          <w:p>
            <w:pPr>
              <w:spacing w:after="40"/>
            </w:pPr>
            <w:r/>
            <w:r>
              <w:rPr>
                <w:b w:val="0"/>
                <w:sz w:val="18"/>
              </w:rPr>
              <w:t>Exécuter « python scripts/reinitialiser_admin.py ». Le script demande confirmation, agit sur la base désignée par DATABASE_URL et affiche le mot de passe une seule fois.</w:t>
            </w:r>
          </w:p>
        </w:tc>
      </w:tr>
      <w:tr>
        <w:tc>
          <w:tcPr>
            <w:tcW w:type="dxa" w:w="2551"/>
          </w:tcPr>
          <w:p>
            <w:pPr>
              <w:spacing w:after="40"/>
            </w:pPr>
            <w:r/>
            <w:r>
              <w:rPr>
                <w:b w:val="0"/>
                <w:sz w:val="18"/>
              </w:rPr>
              <w:t>Créer un second administrateur plutôt que réinitialiser</w:t>
            </w:r>
          </w:p>
        </w:tc>
        <w:tc>
          <w:tcPr>
            <w:tcW w:type="dxa" w:w="6803"/>
          </w:tcPr>
          <w:p>
            <w:pPr>
              <w:spacing w:after="40"/>
            </w:pPr>
            <w:r/>
            <w:r>
              <w:rPr>
                <w:b w:val="0"/>
                <w:sz w:val="18"/>
              </w:rPr>
              <w:t>Donner une nouvelle valeur à SEPIA_ADMIN_EMAIL : l'amorçage ne trouve pas ce compte et le crée. L'ancien reste en place et pourra être supprimé depuis la vue Administration.</w:t>
            </w:r>
          </w:p>
        </w:tc>
      </w:tr>
    </w:tbl>
    <w:p/>
    <w:p>
      <w:pPr>
        <w:jc w:val="both"/>
      </w:pPr>
      <w:r>
        <w:rPr>
          <w:i w:val="0"/>
          <w:sz w:val="21"/>
        </w:rPr>
        <w:t>Dans tous les cas, le compte est recréé s'il a disparu et remis en état s'il existe : nouveau mot de passe, rôle d'administrateur rétabli, compte réactivé, verrouillage et tentatives infructueuses effacés, adresse considérée comme confirmée. Le changement du mot de passe est exigé à la connexion suivante et toutes les sessions ouvertes sont fermées — si le mot de passe a été perdu, rien ne permet d'exclure qu'il l'ait été au profit de quelqu'un d'autre.</w:t>
      </w:r>
    </w:p>
    <w:p>
      <w:pPr>
        <w:pStyle w:val="Heading2"/>
      </w:pPr>
      <w:r>
        <w:rPr>
          <w:color w:val="2E75B6"/>
          <w:sz w:val="26"/>
        </w:rPr>
        <w:t>11.7 Recommandations de mise en production</w:t>
      </w:r>
    </w:p>
    <w:p>
      <w:pPr>
        <w:pStyle w:val="ListBullet"/>
        <w:jc w:val="both"/>
      </w:pPr>
      <w:r>
        <w:rPr>
          <w:sz w:val="20"/>
        </w:rPr>
        <w:t>Renseigner la clé de signature des jetons et le mot de passe administrateur avant l'ouverture du service ; le blueprint de déploiement engendre la première automatiquement.</w:t>
      </w:r>
    </w:p>
    <w:p>
      <w:pPr>
        <w:pStyle w:val="ListBullet"/>
        <w:jc w:val="both"/>
      </w:pPr>
      <w:r>
        <w:rPr>
          <w:sz w:val="20"/>
        </w:rPr>
        <w:t>Restreindre les origines autorisées au seul domaine de l'application si des appels entre domaines sont nécessaires ; sans configuration, aucune origine tierce n'est acceptée.</w:t>
      </w:r>
    </w:p>
    <w:p>
      <w:pPr>
        <w:pStyle w:val="ListBullet"/>
        <w:jc w:val="both"/>
      </w:pPr>
      <w:r>
        <w:rPr>
          <w:sz w:val="20"/>
        </w:rPr>
        <w:t>Révoquer les clés d'API dès qu'un utilisateur quitte le projet : elles survivent à la fermeture de sa session.</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2"/>
      </w:pPr>
      <w:r>
        <w:rPr>
          <w:color w:val="2E75B6"/>
          <w:sz w:val="26"/>
        </w:rPr>
        <w:t>12.1 Les deux projets d'exemple</w:t>
      </w:r>
    </w:p>
    <w:p>
      <w:pPr>
        <w:jc w:val="both"/>
      </w:pPr>
      <w:r>
        <w:rPr>
          <w:i w:val="0"/>
          <w:sz w:val="21"/>
        </w:rPr>
        <w:t>Une instance neuve est livrée avec deux projets complets, destinés à servir de cas pratiques. Ils permettent de parcourir chaque écran avec des données cohérentes avant de saisir son propre projet, et de comparer ce que l'on a renseigné à ce qu'un dispositif complet contient.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8"/>
              </w:rPr>
              <w:t>Projet</w:t>
            </w:r>
          </w:p>
        </w:tc>
        <w:tc>
          <w:tcPr>
            <w:tcW w:type="dxa" w:w="1701"/>
            <w:shd w:val="clear" w:fill="1F4E79"/>
          </w:tcPr>
          <w:p>
            <w:pPr>
              <w:spacing w:after="40"/>
              <w:jc w:val="center"/>
            </w:pPr>
            <w:r/>
            <w:r>
              <w:rPr>
                <w:b/>
                <w:color w:val="FFFFFF"/>
                <w:sz w:val="18"/>
              </w:rPr>
              <w:t>Secteur</w:t>
            </w:r>
          </w:p>
        </w:tc>
        <w:tc>
          <w:tcPr>
            <w:tcW w:type="dxa" w:w="4819"/>
            <w:shd w:val="clear" w:fill="1F4E79"/>
          </w:tcPr>
          <w:p>
            <w:pPr>
              <w:spacing w:after="40"/>
              <w:jc w:val="center"/>
            </w:pPr>
            <w:r/>
            <w:r>
              <w:rPr>
                <w:b/>
                <w:color w:val="FFFFFF"/>
                <w:sz w:val="18"/>
              </w:rPr>
              <w:t>Contenu renseigné</w:t>
            </w:r>
          </w:p>
        </w:tc>
      </w:tr>
      <w:tr>
        <w:tc>
          <w:tcPr>
            <w:tcW w:type="dxa" w:w="2835"/>
          </w:tcPr>
          <w:p>
            <w:pPr>
              <w:spacing w:after="40"/>
            </w:pPr>
            <w:r/>
            <w:r>
              <w:rPr>
                <w:b/>
                <w:sz w:val="18"/>
              </w:rPr>
              <w:t>PADRA-2025 — Programme d'appui au développement rural et à l'agriculture</w:t>
            </w:r>
          </w:p>
        </w:tc>
        <w:tc>
          <w:tcPr>
            <w:tcW w:type="dxa" w:w="1701"/>
          </w:tcPr>
          <w:p>
            <w:pPr>
              <w:spacing w:after="40"/>
            </w:pPr>
            <w:r/>
            <w:r>
              <w:rPr>
                <w:b w:val="0"/>
                <w:sz w:val="18"/>
              </w:rPr>
              <w:t>Agriculture, sécurité alimentaire</w:t>
            </w:r>
          </w:p>
        </w:tc>
        <w:tc>
          <w:tcPr>
            <w:tcW w:type="dxa" w:w="4819"/>
          </w:tcPr>
          <w:p>
            <w:pPr>
              <w:spacing w:after="40"/>
            </w:pPr>
            <w:r/>
            <w:r>
              <w:rPr>
                <w:b w:val="0"/>
                <w:sz w:val="18"/>
              </w:rPr>
              <w:t>Cadre logique complet, zones d'intervention, indicateurs désagrégés, activités ordonnancées avec antécédences, budget, risques, hypothèses, parties prenantes et matrice RACI, instruments de collecte</w:t>
            </w:r>
          </w:p>
        </w:tc>
      </w:tr>
      <w:tr>
        <w:tc>
          <w:tcPr>
            <w:tcW w:type="dxa" w:w="2835"/>
          </w:tcPr>
          <w:p>
            <w:pPr>
              <w:spacing w:after="40"/>
            </w:pPr>
            <w:r/>
            <w:r>
              <w:rPr>
                <w:b/>
                <w:sz w:val="18"/>
              </w:rPr>
              <w:t>PASSE-2026 — Programme de santé scolaire et de scolarisation des filles</w:t>
            </w:r>
          </w:p>
        </w:tc>
        <w:tc>
          <w:tcPr>
            <w:tcW w:type="dxa" w:w="1701"/>
          </w:tcPr>
          <w:p>
            <w:pPr>
              <w:spacing w:after="40"/>
            </w:pPr>
            <w:r/>
            <w:r>
              <w:rPr>
                <w:b w:val="0"/>
                <w:sz w:val="18"/>
              </w:rPr>
              <w:t>Éducation, santé</w:t>
            </w:r>
          </w:p>
        </w:tc>
        <w:tc>
          <w:tcPr>
            <w:tcW w:type="dxa" w:w="4819"/>
          </w:tcPr>
          <w:p>
            <w:pPr>
              <w:spacing w:after="40"/>
            </w:pPr>
            <w:r/>
            <w:r>
              <w:rPr>
                <w:b w:val="0"/>
                <w:sz w:val="18"/>
              </w:rPr>
              <w:t>Huit zones, trois effets et cinq produits, cinq groupes de bénéficiaires, six partenaires, dix-sept indicateurs dont trois de processus, trente-sept cibles et cent une réalisations réparties par zone et par sexe, treize activités enchaînées, quatorze lignes budgétaires, sept risques, six hypothèses, treize parties prenantes et soixante-quinze affectations RACI, deux évaluations CAD assorties de quatre recommandations, deux études d'impact — un essai randomisé par grappes et une combinaison doubles différences et appariement —, deux questionnaires</w:t>
            </w:r>
          </w:p>
        </w:tc>
      </w:tr>
    </w:tbl>
    <w:p/>
    <w:p>
      <w:pPr>
        <w:jc w:val="both"/>
      </w:pPr>
      <w:r>
        <w:rPr>
          <w:i w:val="0"/>
          <w:sz w:val="21"/>
        </w:rPr>
        <w:t>Le second projet renseigne l'ensemble des rubriques de la plateforme, y compris celles que les dispositifs réels laissent le plus souvent vides. La variable SEPIA_SEED_DEMO fixée à 0 permet de démarrer sur une instance vierge.</w:t>
      </w:r>
    </w:p>
    <w:p>
      <w:pPr>
        <w:jc w:val="both"/>
      </w:pPr>
      <w:r>
        <w:rPr>
          <w:i w:val="0"/>
          <w:sz w:val="21"/>
        </w:rPr>
        <w:t>Les exemples sont repérés par leur code, et non par le fait que la base soit vide : un exemple absent est donc chargé au démarrage suivant, même sur une instance déjà en service. Sans cela, la première mise en route figerait à jamais la liste des exemples disponibles et un exemple ajouté par une version ultérieure n'atteindrait jamais les instances existantes. Un exemple déjà présent n'est ni recréé ni écrasé : une instance où PADRA-2025 a été repris et modifié le conserve intact.</w:t>
      </w:r>
    </w:p>
    <w:p>
      <w:pPr>
        <w:pStyle w:val="Heading2"/>
      </w:pPr>
      <w:r>
        <w:rPr>
          <w:color w:val="2E75B6"/>
          <w:sz w:val="26"/>
        </w:rPr>
        <w:t>12.2 Séquence de mise en œuvre</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son responsable et ses coordonnées géographiques — ces dernières conditionnent l'affichage de la carte de couverture. Cette étape commande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 et ordonnancer</w:t>
      </w:r>
    </w:p>
    <w:p>
      <w:pPr>
        <w:jc w:val="both"/>
      </w:pPr>
      <w:r>
        <w:rPr>
          <w:i w:val="0"/>
          <w:sz w:val="20"/>
        </w:rPr>
        <w:t>Créer les activités, en les rattachant aux produits du cadre logique, avec dates, responsables et coûts prévus. Marquer les jalons. Renseigner les antécédents de chaque activité : ils déclenchent le calcul du chemin critique, de la durée du projet et du réseau PERT. Vérifier ensuite l'organigramme des tâches et lancer la codification WBS.</w:t>
      </w:r>
    </w:p>
    <w:p>
      <w:pPr>
        <w:pStyle w:val="Heading3"/>
      </w:pPr>
      <w:r>
        <w:rPr>
          <w:color w:val="2E75B6"/>
          <w:sz w:val="22"/>
        </w:rPr>
        <w:t>Étape 7 — Établir la matrice des responsabilités</w:t>
      </w:r>
    </w:p>
    <w:p>
      <w:pPr>
        <w:jc w:val="both"/>
      </w:pPr>
      <w:r>
        <w:rPr>
          <w:i w:val="0"/>
          <w:sz w:val="20"/>
        </w:rPr>
        <w:t>Recenser les parties prenantes du projet dans l'onglet RACI, puis attribuer à chacune un rôle sur chaque activité : un seul approbateur, au moins un réalisateur. Traiter les anomalies signalées avant de soumettre la matrice au comité de pilotage.</w:t>
      </w:r>
    </w:p>
    <w:p>
      <w:pPr>
        <w:pStyle w:val="Heading3"/>
      </w:pPr>
      <w:r>
        <w:rPr>
          <w:color w:val="2E75B6"/>
          <w:sz w:val="22"/>
        </w:rPr>
        <w:t>Étape 8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9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10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11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12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13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14 — Évaluer</w:t>
      </w:r>
    </w:p>
    <w:p>
      <w:pPr>
        <w:jc w:val="both"/>
      </w:pPr>
      <w:r>
        <w:rPr>
          <w:i w:val="0"/>
          <w:sz w:val="20"/>
        </w:rPr>
        <w:t>Ouvrir un exercice évaluatif dans la vue Évaluation CAD-OCDE, noter chacun des six critères en justifiant la note au regard des points d'examen, puis enregistrer les recommandations avec leur criticité, la réponse du management, un responsable et une échéance. Le suivi de leur mise en œuvre se fait ensuite depuis la même vue : une recommandation échue et non soldée y est signalée.</w:t>
      </w:r>
    </w:p>
    <w:p>
      <w:pPr>
        <w:pStyle w:val="Heading3"/>
      </w:pPr>
      <w:r>
        <w:rPr>
          <w:color w:val="2E75B6"/>
          <w:sz w:val="22"/>
        </w:rPr>
        <w:t>Étape 15 — Mesurer l'impact</w:t>
      </w:r>
    </w:p>
    <w:p>
      <w:pPr>
        <w:jc w:val="both"/>
      </w:pPr>
      <w:r>
        <w:rPr>
          <w:i w:val="0"/>
          <w:sz w:val="20"/>
        </w:rPr>
        <w:t>Concevoir l'étude dans la vue Évaluation d'impact avant le démarrage des activités : choisir la méthode et expliciter son hypothèse d'identification, définir la règle d'affectation, puis dimensionner l'échantillon à l'aide du calculateur — en renseignant l'écart-type de l'indicateur de résultat et, en cas de randomisation par grappes, la taille des grappes et la corrélation intra-grappe. Une étude dimensionnée après coup ne peut plus l'être : l'affectation a déjà eu lieu.</w:t>
      </w:r>
    </w:p>
    <w:p>
      <w:pPr>
        <w:pStyle w:val="Heading3"/>
      </w:pPr>
      <w:r>
        <w:rPr>
          <w:color w:val="2E75B6"/>
          <w:sz w:val="22"/>
        </w:rPr>
        <w:t>Étape 16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SEPIA_ENV</w:t>
            </w:r>
          </w:p>
        </w:tc>
        <w:tc>
          <w:tcPr>
            <w:tcW w:type="dxa" w:w="4252"/>
          </w:tcPr>
          <w:p>
            <w:pPr>
              <w:spacing w:after="40"/>
            </w:pPr>
            <w:r/>
            <w:r>
              <w:rPr>
                <w:b w:val="0"/>
                <w:sz w:val="19"/>
              </w:rPr>
              <w:t>« production » active les garde-fous bloquants : cookie Secure, HSTS, erreurs non détaillées</w:t>
            </w:r>
          </w:p>
        </w:tc>
        <w:tc>
          <w:tcPr>
            <w:tcW w:type="dxa" w:w="2268"/>
          </w:tcPr>
          <w:p>
            <w:pPr>
              <w:spacing w:after="40"/>
            </w:pPr>
            <w:r/>
            <w:r>
              <w:rPr>
                <w:b w:val="0"/>
                <w:sz w:val="19"/>
              </w:rPr>
              <w:t>production si DATABASE_URL est définie</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obligatoire en production : le démarrage est refusé sans elle</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aucun : engendré aléatoirement et journalisé une seule fois</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des projets d'exemple</w:t>
            </w:r>
          </w:p>
        </w:tc>
        <w:tc>
          <w:tcPr>
            <w:tcW w:type="dxa" w:w="2268"/>
          </w:tcPr>
          <w:p>
            <w:pPr>
              <w:spacing w:after="40"/>
            </w:pPr>
            <w:r/>
            <w:r>
              <w:rPr>
                <w:b w:val="0"/>
                <w:sz w:val="19"/>
              </w:rPr>
              <w:t>1</w:t>
            </w:r>
          </w:p>
        </w:tc>
      </w:tr>
      <w:tr>
        <w:tc>
          <w:tcPr>
            <w:tcW w:type="dxa" w:w="2835"/>
          </w:tcPr>
          <w:p>
            <w:pPr>
              <w:spacing w:after="40"/>
            </w:pPr>
            <w:r/>
            <w:r>
              <w:rPr>
                <w:b/>
                <w:sz w:val="19"/>
              </w:rPr>
              <w:t>SEPIA_ADMIN_RESET</w:t>
            </w:r>
          </w:p>
        </w:tc>
        <w:tc>
          <w:tcPr>
            <w:tcW w:type="dxa" w:w="4252"/>
          </w:tcPr>
          <w:p>
            <w:pPr>
              <w:spacing w:after="40"/>
            </w:pPr>
            <w:r/>
            <w:r>
              <w:rPr>
                <w:b w:val="0"/>
                <w:sz w:val="19"/>
              </w:rPr>
              <w:t>Réinitialise le compte d'administration au démarrage</w:t>
            </w:r>
          </w:p>
        </w:tc>
        <w:tc>
          <w:tcPr>
            <w:tcW w:type="dxa" w:w="2268"/>
          </w:tcPr>
          <w:p>
            <w:pPr>
              <w:spacing w:after="40"/>
            </w:pPr>
            <w:r/>
            <w:r>
              <w:rPr>
                <w:b w:val="0"/>
                <w:sz w:val="19"/>
              </w:rPr>
              <w:t>vide : aucune réinitialisation</w:t>
            </w:r>
          </w:p>
        </w:tc>
      </w:tr>
      <w:tr>
        <w:tc>
          <w:tcPr>
            <w:tcW w:type="dxa" w:w="2835"/>
          </w:tcPr>
          <w:p>
            <w:pPr>
              <w:spacing w:after="40"/>
            </w:pPr>
            <w:r/>
            <w:r>
              <w:rPr>
                <w:b/>
                <w:sz w:val="19"/>
              </w:rPr>
              <w:t>SEPIA_CORS_ORIGINS</w:t>
            </w:r>
          </w:p>
        </w:tc>
        <w:tc>
          <w:tcPr>
            <w:tcW w:type="dxa" w:w="4252"/>
          </w:tcPr>
          <w:p>
            <w:pPr>
              <w:spacing w:after="40"/>
            </w:pPr>
            <w:r/>
            <w:r>
              <w:rPr>
                <w:b w:val="0"/>
                <w:sz w:val="19"/>
              </w:rPr>
              <w:t>Origines autorisées pour les appels entre domaines</w:t>
            </w:r>
          </w:p>
        </w:tc>
        <w:tc>
          <w:tcPr>
            <w:tcW w:type="dxa" w:w="2268"/>
          </w:tcPr>
          <w:p>
            <w:pPr>
              <w:spacing w:after="40"/>
            </w:pPr>
            <w:r/>
            <w:r>
              <w:rPr>
                <w:b w:val="0"/>
                <w:sz w:val="19"/>
              </w:rPr>
              <w:t>vide : aucune origine tierce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Carte à symboles proportionnels</w:t>
            </w:r>
          </w:p>
        </w:tc>
        <w:tc>
          <w:tcPr>
            <w:tcW w:type="dxa" w:w="7087"/>
          </w:tcPr>
          <w:p>
            <w:pPr>
              <w:spacing w:after="40"/>
            </w:pPr>
            <w:r/>
            <w:r>
              <w:rPr>
                <w:b w:val="0"/>
                <w:sz w:val="18"/>
              </w:rPr>
              <w:t>Carte où la surface du symbole représente une quantité et sa couleur une intensité relative</w:t>
            </w:r>
          </w:p>
        </w:tc>
      </w:tr>
      <w:tr>
        <w:tc>
          <w:tcPr>
            <w:tcW w:type="dxa" w:w="2268"/>
          </w:tcPr>
          <w:p>
            <w:pPr>
              <w:spacing w:after="40"/>
            </w:pPr>
            <w:r/>
            <w:r>
              <w:rPr>
                <w:b w:val="0"/>
                <w:sz w:val="18"/>
              </w:rPr>
              <w:t>Graticule</w:t>
            </w:r>
          </w:p>
        </w:tc>
        <w:tc>
          <w:tcPr>
            <w:tcW w:type="dxa" w:w="7087"/>
          </w:tcPr>
          <w:p>
            <w:pPr>
              <w:spacing w:after="40"/>
            </w:pPr>
            <w:r/>
            <w:r>
              <w:rPr>
                <w:b w:val="0"/>
                <w:sz w:val="18"/>
              </w:rPr>
              <w:t>Réseau des lignes de latitude et de longitude servant de repère géographique sur une carte</w:t>
            </w:r>
          </w:p>
        </w:tc>
      </w:tr>
      <w:tr>
        <w:tc>
          <w:tcPr>
            <w:tcW w:type="dxa" w:w="2268"/>
          </w:tcPr>
          <w:p>
            <w:pPr>
              <w:spacing w:after="40"/>
            </w:pPr>
            <w:r/>
            <w:r>
              <w:rPr>
                <w:b w:val="0"/>
                <w:sz w:val="18"/>
              </w:rPr>
              <w:t>Chemin critique</w:t>
            </w:r>
          </w:p>
        </w:tc>
        <w:tc>
          <w:tcPr>
            <w:tcW w:type="dxa" w:w="7087"/>
          </w:tcPr>
          <w:p>
            <w:pPr>
              <w:spacing w:after="40"/>
            </w:pPr>
            <w:r/>
            <w:r>
              <w:rPr>
                <w:b w:val="0"/>
                <w:sz w:val="18"/>
              </w:rPr>
              <w:t>Séquence continue d'activités sans marge : tout retard sur l'une d'elles décale la fin du projet</w:t>
            </w:r>
          </w:p>
        </w:tc>
      </w:tr>
      <w:tr>
        <w:tc>
          <w:tcPr>
            <w:tcW w:type="dxa" w:w="2268"/>
          </w:tcPr>
          <w:p>
            <w:pPr>
              <w:spacing w:after="40"/>
            </w:pPr>
            <w:r/>
            <w:r>
              <w:rPr>
                <w:b w:val="0"/>
                <w:sz w:val="18"/>
              </w:rPr>
              <w:t>Marge totale</w:t>
            </w:r>
          </w:p>
        </w:tc>
        <w:tc>
          <w:tcPr>
            <w:tcW w:type="dxa" w:w="7087"/>
          </w:tcPr>
          <w:p>
            <w:pPr>
              <w:spacing w:after="40"/>
            </w:pPr>
            <w:r/>
            <w:r>
              <w:rPr>
                <w:b w:val="0"/>
                <w:sz w:val="18"/>
              </w:rPr>
              <w:t>Retard admissible sur une activité sans décaler l'achèvement du projet</w:t>
            </w:r>
          </w:p>
        </w:tc>
      </w:tr>
      <w:tr>
        <w:tc>
          <w:tcPr>
            <w:tcW w:type="dxa" w:w="2268"/>
          </w:tcPr>
          <w:p>
            <w:pPr>
              <w:spacing w:after="40"/>
            </w:pPr>
            <w:r/>
            <w:r>
              <w:rPr>
                <w:b w:val="0"/>
                <w:sz w:val="18"/>
              </w:rPr>
              <w:t>Marge libre</w:t>
            </w:r>
          </w:p>
        </w:tc>
        <w:tc>
          <w:tcPr>
            <w:tcW w:type="dxa" w:w="7087"/>
          </w:tcPr>
          <w:p>
            <w:pPr>
              <w:spacing w:after="40"/>
            </w:pPr>
            <w:r/>
            <w:r>
              <w:rPr>
                <w:b w:val="0"/>
                <w:sz w:val="18"/>
              </w:rPr>
              <w:t>Retard admissible sans décaler l'activité suivante</w:t>
            </w:r>
          </w:p>
        </w:tc>
      </w:tr>
      <w:tr>
        <w:tc>
          <w:tcPr>
            <w:tcW w:type="dxa" w:w="2268"/>
          </w:tcPr>
          <w:p>
            <w:pPr>
              <w:spacing w:after="40"/>
            </w:pPr>
            <w:r/>
            <w:r>
              <w:rPr>
                <w:b w:val="0"/>
                <w:sz w:val="18"/>
              </w:rPr>
              <w:t>PERT</w:t>
            </w:r>
          </w:p>
        </w:tc>
        <w:tc>
          <w:tcPr>
            <w:tcW w:type="dxa" w:w="7087"/>
          </w:tcPr>
          <w:p>
            <w:pPr>
              <w:spacing w:after="40"/>
            </w:pPr>
            <w:r/>
            <w:r>
              <w:rPr>
                <w:b w:val="0"/>
                <w:sz w:val="18"/>
              </w:rPr>
              <w:t>Program Evaluation and Review Technique : représentation en réseau des activités et de leurs antécédences</w:t>
            </w:r>
          </w:p>
        </w:tc>
      </w:tr>
      <w:tr>
        <w:tc>
          <w:tcPr>
            <w:tcW w:type="dxa" w:w="2268"/>
          </w:tcPr>
          <w:p>
            <w:pPr>
              <w:spacing w:after="40"/>
            </w:pPr>
            <w:r/>
            <w:r>
              <w:rPr>
                <w:b w:val="0"/>
                <w:sz w:val="18"/>
              </w:rPr>
              <w:t>WBS</w:t>
            </w:r>
          </w:p>
        </w:tc>
        <w:tc>
          <w:tcPr>
            <w:tcW w:type="dxa" w:w="7087"/>
          </w:tcPr>
          <w:p>
            <w:pPr>
              <w:spacing w:after="40"/>
            </w:pPr>
            <w:r/>
            <w:r>
              <w:rPr>
                <w:b w:val="0"/>
                <w:sz w:val="18"/>
              </w:rPr>
              <w:t>Work Breakdown Structure, organigramme des tâches : décomposition hiérarchique du projet en lots de travail</w:t>
            </w:r>
          </w:p>
        </w:tc>
      </w:tr>
      <w:tr>
        <w:tc>
          <w:tcPr>
            <w:tcW w:type="dxa" w:w="2268"/>
          </w:tcPr>
          <w:p>
            <w:pPr>
              <w:spacing w:after="40"/>
            </w:pPr>
            <w:r/>
            <w:r>
              <w:rPr>
                <w:b w:val="0"/>
                <w:sz w:val="18"/>
              </w:rPr>
              <w:t>Lot de travail</w:t>
            </w:r>
          </w:p>
        </w:tc>
        <w:tc>
          <w:tcPr>
            <w:tcW w:type="dxa" w:w="7087"/>
          </w:tcPr>
          <w:p>
            <w:pPr>
              <w:spacing w:after="40"/>
            </w:pPr>
            <w:r/>
            <w:r>
              <w:rPr>
                <w:b w:val="0"/>
                <w:sz w:val="18"/>
              </w:rPr>
              <w:t>Élément élémentaire du WBS, doté d'un livrable, d'un responsable, d'une durée et d'un coût</w:t>
            </w:r>
          </w:p>
        </w:tc>
      </w:tr>
      <w:tr>
        <w:tc>
          <w:tcPr>
            <w:tcW w:type="dxa" w:w="2268"/>
          </w:tcPr>
          <w:p>
            <w:pPr>
              <w:spacing w:after="40"/>
            </w:pPr>
            <w:r/>
            <w:r>
              <w:rPr>
                <w:b w:val="0"/>
                <w:sz w:val="18"/>
              </w:rPr>
              <w:t>RACI</w:t>
            </w:r>
          </w:p>
        </w:tc>
        <w:tc>
          <w:tcPr>
            <w:tcW w:type="dxa" w:w="7087"/>
          </w:tcPr>
          <w:p>
            <w:pPr>
              <w:spacing w:after="40"/>
            </w:pPr>
            <w:r/>
            <w:r>
              <w:rPr>
                <w:b w:val="0"/>
                <w:sz w:val="18"/>
              </w:rPr>
              <w:t>Matrice des responsabilités : qui réalise (R), approuve (A), est consulté (C) et est informé (I)</w:t>
            </w:r>
          </w:p>
        </w:tc>
      </w:tr>
      <w:tr>
        <w:tc>
          <w:tcPr>
            <w:tcW w:type="dxa" w:w="2268"/>
          </w:tcPr>
          <w:p>
            <w:pPr>
              <w:spacing w:after="40"/>
            </w:pPr>
            <w:r/>
            <w:r>
              <w:rPr>
                <w:b w:val="0"/>
                <w:sz w:val="18"/>
              </w:rPr>
              <w:t>Indicateur de processus</w:t>
            </w:r>
          </w:p>
        </w:tc>
        <w:tc>
          <w:tcPr>
            <w:tcW w:type="dxa" w:w="7087"/>
          </w:tcPr>
          <w:p>
            <w:pPr>
              <w:spacing w:after="40"/>
            </w:pPr>
            <w:r/>
            <w:r>
              <w:rPr>
                <w:b w:val="0"/>
                <w:sz w:val="18"/>
              </w:rPr>
              <w:t>Indicateur mesurant la conduite de l'action (exécution, délais, participation) plutôt que le changement produit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CAD</w:t>
            </w:r>
          </w:p>
        </w:tc>
        <w:tc>
          <w:tcPr>
            <w:tcW w:type="dxa" w:w="7087"/>
          </w:tcPr>
          <w:p>
            <w:pPr>
              <w:spacing w:after="40"/>
            </w:pPr>
            <w:r/>
            <w:r>
              <w:rPr>
                <w:b w:val="0"/>
                <w:sz w:val="18"/>
              </w:rPr>
              <w:t>Comité d'aide au développement de l'OCDE, dont les six critères — pertinence, cohérence, efficacité, efficience, impact, durabilité — constituent le cadre de référence de l'évaluation</w:t>
            </w:r>
          </w:p>
        </w:tc>
      </w:tr>
      <w:tr>
        <w:tc>
          <w:tcPr>
            <w:tcW w:type="dxa" w:w="2268"/>
          </w:tcPr>
          <w:p>
            <w:pPr>
              <w:spacing w:after="40"/>
            </w:pPr>
            <w:r/>
            <w:r>
              <w:rPr>
                <w:b w:val="0"/>
                <w:sz w:val="18"/>
              </w:rPr>
              <w:t>Contrefactuel</w:t>
            </w:r>
          </w:p>
        </w:tc>
        <w:tc>
          <w:tcPr>
            <w:tcW w:type="dxa" w:w="7087"/>
          </w:tcPr>
          <w:p>
            <w:pPr>
              <w:spacing w:after="40"/>
            </w:pPr>
            <w:r/>
            <w:r>
              <w:rPr>
                <w:b w:val="0"/>
                <w:sz w:val="18"/>
              </w:rPr>
              <w:t>Ce qui serait advenu en l'absence du projet. Il n'est jamais observable : toute évaluation d'impact consiste à l'estimer</w:t>
            </w:r>
          </w:p>
        </w:tc>
      </w:tr>
      <w:tr>
        <w:tc>
          <w:tcPr>
            <w:tcW w:type="dxa" w:w="2268"/>
          </w:tcPr>
          <w:p>
            <w:pPr>
              <w:spacing w:after="40"/>
            </w:pPr>
            <w:r/>
            <w:r>
              <w:rPr>
                <w:b w:val="0"/>
                <w:sz w:val="18"/>
              </w:rPr>
              <w:t>Groupe de comparaison</w:t>
            </w:r>
          </w:p>
        </w:tc>
        <w:tc>
          <w:tcPr>
            <w:tcW w:type="dxa" w:w="7087"/>
          </w:tcPr>
          <w:p>
            <w:pPr>
              <w:spacing w:after="40"/>
            </w:pPr>
            <w:r/>
            <w:r>
              <w:rPr>
                <w:b w:val="0"/>
                <w:sz w:val="18"/>
              </w:rPr>
              <w:t>Population non exposée au projet, servant à estimer le contrefactuel</w:t>
            </w:r>
          </w:p>
        </w:tc>
      </w:tr>
      <w:tr>
        <w:tc>
          <w:tcPr>
            <w:tcW w:type="dxa" w:w="2268"/>
          </w:tcPr>
          <w:p>
            <w:pPr>
              <w:spacing w:after="40"/>
            </w:pPr>
            <w:r/>
            <w:r>
              <w:rPr>
                <w:b w:val="0"/>
                <w:sz w:val="18"/>
              </w:rPr>
              <w:t>Essai randomisé contrôlé</w:t>
            </w:r>
          </w:p>
        </w:tc>
        <w:tc>
          <w:tcPr>
            <w:tcW w:type="dxa" w:w="7087"/>
          </w:tcPr>
          <w:p>
            <w:pPr>
              <w:spacing w:after="40"/>
            </w:pPr>
            <w:r/>
            <w:r>
              <w:rPr>
                <w:b w:val="0"/>
                <w:sz w:val="18"/>
              </w:rPr>
              <w:t>Étude où l'affectation au traitement est tirée au sort, ce qui rend les groupes comparables en espérance sur toutes les caractéristiques</w:t>
            </w:r>
          </w:p>
        </w:tc>
      </w:tr>
      <w:tr>
        <w:tc>
          <w:tcPr>
            <w:tcW w:type="dxa" w:w="2268"/>
          </w:tcPr>
          <w:p>
            <w:pPr>
              <w:spacing w:after="40"/>
            </w:pPr>
            <w:r/>
            <w:r>
              <w:rPr>
                <w:b w:val="0"/>
                <w:sz w:val="18"/>
              </w:rPr>
              <w:t>Doubles différences</w:t>
            </w:r>
          </w:p>
        </w:tc>
        <w:tc>
          <w:tcPr>
            <w:tcW w:type="dxa" w:w="7087"/>
          </w:tcPr>
          <w:p>
            <w:pPr>
              <w:spacing w:after="40"/>
            </w:pPr>
            <w:r/>
            <w:r>
              <w:rPr>
                <w:b w:val="0"/>
                <w:sz w:val="18"/>
              </w:rPr>
              <w:t>Comparaison de l'évolution du groupe traité et de celle du groupe de comparaison, ce qui neutralise les différences de niveau initial constantes dans le temps</w:t>
            </w:r>
          </w:p>
        </w:tc>
      </w:tr>
      <w:tr>
        <w:tc>
          <w:tcPr>
            <w:tcW w:type="dxa" w:w="2268"/>
          </w:tcPr>
          <w:p>
            <w:pPr>
              <w:spacing w:after="40"/>
            </w:pPr>
            <w:r/>
            <w:r>
              <w:rPr>
                <w:b w:val="0"/>
                <w:sz w:val="18"/>
              </w:rPr>
              <w:t>Score de propension</w:t>
            </w:r>
          </w:p>
        </w:tc>
        <w:tc>
          <w:tcPr>
            <w:tcW w:type="dxa" w:w="7087"/>
          </w:tcPr>
          <w:p>
            <w:pPr>
              <w:spacing w:after="40"/>
            </w:pPr>
            <w:r/>
            <w:r>
              <w:rPr>
                <w:b w:val="0"/>
                <w:sz w:val="18"/>
              </w:rPr>
              <w:t>Probabilité estimée d'être traité compte tenu des caractéristiques observées ; l'appariement sur ce score constitue un groupe de comparaison plausible</w:t>
            </w:r>
          </w:p>
        </w:tc>
      </w:tr>
      <w:tr>
        <w:tc>
          <w:tcPr>
            <w:tcW w:type="dxa" w:w="2268"/>
          </w:tcPr>
          <w:p>
            <w:pPr>
              <w:spacing w:after="40"/>
            </w:pPr>
            <w:r/>
            <w:r>
              <w:rPr>
                <w:b w:val="0"/>
                <w:sz w:val="18"/>
              </w:rPr>
              <w:t>Hypothèse d'identification</w:t>
            </w:r>
          </w:p>
        </w:tc>
        <w:tc>
          <w:tcPr>
            <w:tcW w:type="dxa" w:w="7087"/>
          </w:tcPr>
          <w:p>
            <w:pPr>
              <w:spacing w:after="40"/>
            </w:pPr>
            <w:r/>
            <w:r>
              <w:rPr>
                <w:b w:val="0"/>
                <w:sz w:val="18"/>
              </w:rPr>
              <w:t>Condition sous laquelle l'écart mesuré s'interprète comme un effet causal. Elle doit être énoncée et discutée : c'est elle qui fonde la validité de l'étude</w:t>
            </w:r>
          </w:p>
        </w:tc>
      </w:tr>
      <w:tr>
        <w:tc>
          <w:tcPr>
            <w:tcW w:type="dxa" w:w="2268"/>
          </w:tcPr>
          <w:p>
            <w:pPr>
              <w:spacing w:after="40"/>
            </w:pPr>
            <w:r/>
            <w:r>
              <w:rPr>
                <w:b w:val="0"/>
                <w:sz w:val="18"/>
              </w:rPr>
              <w:t>Puissance statistique</w:t>
            </w:r>
          </w:p>
        </w:tc>
        <w:tc>
          <w:tcPr>
            <w:tcW w:type="dxa" w:w="7087"/>
          </w:tcPr>
          <w:p>
            <w:pPr>
              <w:spacing w:after="40"/>
            </w:pPr>
            <w:r/>
            <w:r>
              <w:rPr>
                <w:b w:val="0"/>
                <w:sz w:val="18"/>
              </w:rPr>
              <w:t>Probabilité de détecter un effet lorsqu'il existe réellement. Une étude sous-dimensionnée conclut à l'absence d'effet faute d'observations, non faute d'effet</w:t>
            </w:r>
          </w:p>
        </w:tc>
      </w:tr>
      <w:tr>
        <w:tc>
          <w:tcPr>
            <w:tcW w:type="dxa" w:w="2268"/>
          </w:tcPr>
          <w:p>
            <w:pPr>
              <w:spacing w:after="40"/>
            </w:pPr>
            <w:r/>
            <w:r>
              <w:rPr>
                <w:b w:val="0"/>
                <w:sz w:val="18"/>
              </w:rPr>
              <w:t>Effet de plan</w:t>
            </w:r>
          </w:p>
        </w:tc>
        <w:tc>
          <w:tcPr>
            <w:tcW w:type="dxa" w:w="7087"/>
          </w:tcPr>
          <w:p>
            <w:pPr>
              <w:spacing w:after="40"/>
            </w:pPr>
            <w:r/>
            <w:r>
              <w:rPr>
                <w:b w:val="0"/>
                <w:sz w:val="18"/>
              </w:rPr>
              <w:t>Facteur multipliant la taille d'échantillon requise lorsque l'affectation porte sur des grappes plutôt que sur des individus, égal à 1 + (m − 1) × ρ</w:t>
            </w:r>
          </w:p>
        </w:tc>
      </w:tr>
      <w:tr>
        <w:tc>
          <w:tcPr>
            <w:tcW w:type="dxa" w:w="2268"/>
          </w:tcPr>
          <w:p>
            <w:pPr>
              <w:spacing w:after="40"/>
            </w:pPr>
            <w:r/>
            <w:r>
              <w:rPr>
                <w:b w:val="0"/>
                <w:sz w:val="18"/>
              </w:rPr>
              <w:t>Corrélation intra-grappe</w:t>
            </w:r>
          </w:p>
        </w:tc>
        <w:tc>
          <w:tcPr>
            <w:tcW w:type="dxa" w:w="7087"/>
          </w:tcPr>
          <w:p>
            <w:pPr>
              <w:spacing w:after="40"/>
            </w:pPr>
            <w:r/>
            <w:r>
              <w:rPr>
                <w:b w:val="0"/>
                <w:sz w:val="18"/>
              </w:rPr>
              <w:t>Part de la variance de l'indicateur attribuable aux différences entre grappes ; plus elle est élevée, plus l'échantillon requis augmente</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Vingt-quatre entités du modèle de données</w:t>
      </w:r>
    </w:p>
    <w:p>
      <w:pPr>
        <w:spacing w:after="0"/>
        <w:ind w:left="340"/>
      </w:pPr>
      <w:r>
        <w:rPr>
          <w:rFonts w:ascii="Consolas" w:hAnsi="Consolas"/>
          <w:color w:val="1F2933"/>
          <w:sz w:val="17"/>
        </w:rPr>
        <w:t>│   ├── security.py              Mots de passe, sessions, clés d'API</w:t>
      </w:r>
    </w:p>
    <w:p>
      <w:pPr>
        <w:spacing w:after="0"/>
        <w:ind w:left="340"/>
      </w:pPr>
      <w:r>
        <w:rPr>
          <w:rFonts w:ascii="Consolas" w:hAnsi="Consolas"/>
          <w:color w:val="1F2933"/>
          <w:sz w:val="17"/>
        </w:rPr>
        <w:t>│   ├── middleware.py            En-têtes, limitation de débit, erreurs</w:t>
      </w:r>
    </w:p>
    <w:p>
      <w:pPr>
        <w:spacing w:after="0"/>
        <w:ind w:left="340"/>
      </w:pPr>
      <w:r>
        <w:rPr>
          <w:rFonts w:ascii="Consolas" w:hAnsi="Consolas"/>
          <w:color w:val="1F2933"/>
          <w:sz w:val="17"/>
        </w:rPr>
        <w:t>│   ├── crud.py                  Fabrique de routeurs CRUD et contrôle d'accès</w:t>
      </w:r>
    </w:p>
    <w:p>
      <w:pPr>
        <w:spacing w:after="0"/>
        <w:ind w:left="340"/>
      </w:pPr>
      <w:r>
        <w:rPr>
          <w:rFonts w:ascii="Consolas" w:hAnsi="Consolas"/>
          <w:color w:val="1F2933"/>
          <w:sz w:val="17"/>
        </w:rPr>
        <w:t>│   ├── seed.py                  Compte initial et projets d'exemple</w:t>
      </w:r>
    </w:p>
    <w:p>
      <w:pPr>
        <w:spacing w:after="0"/>
        <w:ind w:left="340"/>
      </w:pPr>
      <w:r>
        <w:rPr>
          <w:rFonts w:ascii="Consolas" w:hAnsi="Consolas"/>
          <w:color w:val="1F2933"/>
          <w:sz w:val="17"/>
        </w:rPr>
        <w:t>│   ├── seed_sante.py            Second projet d'exemple, intégralement renseigné</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evaluations.py       Bénéficiaires, partenaires, CAD, impact</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planning.py          Chemin critique, PERT, courbe en S, WBS, RACI</w:t>
      </w:r>
    </w:p>
    <w:p>
      <w:pPr>
        <w:spacing w:after="0"/>
        <w:ind w:left="340"/>
      </w:pPr>
      <w:r>
        <w:rPr>
          <w:rFonts w:ascii="Consolas" w:hAnsi="Consolas"/>
          <w:color w:val="1F2933"/>
          <w:sz w:val="17"/>
        </w:rPr>
        <w:t>│       ├── evaluation.py        Notation CAD, bénéficiaires, partenaires, impact</w:t>
      </w:r>
    </w:p>
    <w:p>
      <w:pPr>
        <w:spacing w:after="0"/>
        <w:ind w:left="340"/>
      </w:pPr>
      <w:r>
        <w:rPr>
          <w:rFonts w:ascii="Consolas" w:hAnsi="Consolas"/>
          <w:color w:val="1F2933"/>
          <w:sz w:val="17"/>
        </w:rPr>
        <w:t>│       ├── portability.py       Export et import JSON (projet, portefeuille)</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evaluation_export.py Livrables des modules d'évaluation</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Vues de planification, de suivi et d'analyse</w:t>
      </w:r>
    </w:p>
    <w:p>
      <w:pPr>
        <w:spacing w:after="0"/>
        <w:ind w:left="340"/>
      </w:pPr>
      <w:r>
        <w:rPr>
          <w:rFonts w:ascii="Consolas" w:hAnsi="Consolas"/>
          <w:color w:val="1F2933"/>
          <w:sz w:val="17"/>
        </w:rPr>
        <w:t>│       ├── views-evaluation.js  Bénéficiaires, partenaires, CAD, impact</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w:t>
      </w:r>
    </w:p>
    <w:p>
      <w:pPr>
        <w:spacing w:after="0"/>
        <w:ind w:left="340"/>
      </w:pPr>
      <w:r>
        <w:rPr>
          <w:rFonts w:ascii="Consolas" w:hAnsi="Consolas"/>
          <w:color w:val="1F2933"/>
          <w:sz w:val="17"/>
        </w:rPr>
        <w:t>│   ├── generer_documentation.py Production du présent document</w:t>
      </w:r>
    </w:p>
    <w:p>
      <w:pPr>
        <w:spacing w:after="0"/>
        <w:ind w:left="340"/>
      </w:pPr>
      <w:r>
        <w:rPr>
          <w:rFonts w:ascii="Consolas" w:hAnsi="Consolas"/>
          <w:color w:val="1F2933"/>
          <w:sz w:val="17"/>
        </w:rPr>
        <w:t>│   ├── verifier_securite.py     Jeu de vérification des garde-fous</w:t>
      </w:r>
    </w:p>
    <w:p>
      <w:pPr>
        <w:spacing w:after="0"/>
        <w:ind w:left="340"/>
      </w:pPr>
      <w:r>
        <w:rPr>
          <w:rFonts w:ascii="Consolas" w:hAnsi="Consolas"/>
          <w:color w:val="1F2933"/>
          <w:sz w:val="17"/>
        </w:rPr>
        <w:t>│   ├── reinitialiser_admin.py   Reprise de main sur le compte admin</w:t>
      </w:r>
    </w:p>
    <w:p>
      <w:pPr>
        <w:spacing w:after="0"/>
        <w:ind w:left="340"/>
      </w:pPr>
      <w:r>
        <w:rPr>
          <w:rFonts w:ascii="Consolas" w:hAnsi="Consolas"/>
          <w:color w:val="1F2933"/>
          <w:sz w:val="17"/>
        </w:rPr>
        <w:t>│   ├── verifier_reprise_admin.py Contrôles de la reprise de main</w:t>
      </w:r>
    </w:p>
    <w:p>
      <w:pPr>
        <w:spacing w:after="0"/>
        <w:ind w:left="340"/>
      </w:pPr>
      <w:r>
        <w:rPr>
          <w:rFonts w:ascii="Consolas" w:hAnsi="Consolas"/>
          <w:color w:val="1F2933"/>
          <w:sz w:val="17"/>
        </w:rPr>
        <w:t>│   └── verifier_exemples.py     Contrôles du chargement des exemples</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Nature des indicateurs</w:t>
            </w:r>
          </w:p>
        </w:tc>
        <w:tc>
          <w:tcPr>
            <w:tcW w:type="dxa" w:w="6803"/>
          </w:tcPr>
          <w:p>
            <w:pPr>
              <w:spacing w:after="40"/>
            </w:pPr>
            <w:r/>
            <w:r>
              <w:rPr>
                <w:b w:val="0"/>
                <w:sz w:val="18"/>
              </w:rPr>
              <w:t>Résultat, processus</w:t>
            </w:r>
          </w:p>
        </w:tc>
      </w:tr>
      <w:tr>
        <w:tc>
          <w:tcPr>
            <w:tcW w:type="dxa" w:w="2551"/>
          </w:tcPr>
          <w:p>
            <w:pPr>
              <w:spacing w:after="40"/>
            </w:pPr>
            <w:r/>
            <w:r>
              <w:rPr>
                <w:b w:val="0"/>
                <w:sz w:val="18"/>
              </w:rPr>
              <w:t>Rôles RACI</w:t>
            </w:r>
          </w:p>
        </w:tc>
        <w:tc>
          <w:tcPr>
            <w:tcW w:type="dxa" w:w="6803"/>
          </w:tcPr>
          <w:p>
            <w:pPr>
              <w:spacing w:after="40"/>
            </w:pPr>
            <w:r/>
            <w:r>
              <w:rPr>
                <w:b w:val="0"/>
                <w:sz w:val="18"/>
              </w:rPr>
              <w:t>R (réalise), A (approuve), C (consulté), I (informé)</w:t>
            </w:r>
          </w:p>
        </w:tc>
      </w:tr>
      <w:tr>
        <w:tc>
          <w:tcPr>
            <w:tcW w:type="dxa" w:w="2551"/>
          </w:tcPr>
          <w:p>
            <w:pPr>
              <w:spacing w:after="40"/>
            </w:pPr>
            <w:r/>
            <w:r>
              <w:rPr>
                <w:b w:val="0"/>
                <w:sz w:val="18"/>
              </w:rPr>
              <w:t>Catégories de parties prenantes</w:t>
            </w:r>
          </w:p>
        </w:tc>
        <w:tc>
          <w:tcPr>
            <w:tcW w:type="dxa" w:w="6803"/>
          </w:tcPr>
          <w:p>
            <w:pPr>
              <w:spacing w:after="40"/>
            </w:pPr>
            <w:r/>
            <w:r>
              <w:rPr>
                <w:b w:val="0"/>
                <w:sz w:val="18"/>
              </w:rPr>
              <w:t>Interne, tutelle, partenaire d'exécution, prestataire, bailleur, bénéficiaire, collectivité</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17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