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Planification, Suivi-évaluation et Apprentissage des projets et programmes de développement</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Planification, Suivi-évaluation et Apprentissage des projets et programmes de développement</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15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quinze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 et carte de couverture à symboles proportionnels</w:t>
            </w:r>
          </w:p>
        </w:tc>
      </w:tr>
      <w:tr>
        <w:tc>
          <w:tcPr>
            <w:tcW w:type="dxa" w:w="1814"/>
          </w:tcPr>
          <w:p>
            <w:pPr>
              <w:spacing w:after="40"/>
            </w:pPr>
            <w:r/>
            <w:r>
              <w:rPr>
                <w:b/>
                <w:sz w:val="18"/>
              </w:rPr>
              <w:t>Planification</w:t>
            </w:r>
          </w:p>
        </w:tc>
        <w:tc>
          <w:tcPr>
            <w:tcW w:type="dxa" w:w="2438"/>
          </w:tcPr>
          <w:p>
            <w:pPr>
              <w:spacing w:after="40"/>
            </w:pPr>
            <w:r/>
            <w:r>
              <w:rPr>
                <w:b w:val="0"/>
                <w:sz w:val="18"/>
              </w:rPr>
              <w:t>Chronogramme et ordonnancement</w:t>
            </w:r>
          </w:p>
        </w:tc>
        <w:tc>
          <w:tcPr>
            <w:tcW w:type="dxa" w:w="5102"/>
          </w:tcPr>
          <w:p>
            <w:pPr>
              <w:spacing w:after="40"/>
            </w:pPr>
            <w:r/>
            <w:r>
              <w:rPr>
                <w:b w:val="0"/>
                <w:sz w:val="18"/>
              </w:rPr>
              <w:t>Gantt, chemin critique et durée du projet, réseau PERT, organigramme des tâches (WBS), matrice des responsabilités (RACI)</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quinze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réseau PERT, organigramme des tâches et carte de couverture — sont produits en SVG par un module interne.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 Le fond de carte OpenStreetMap constitue la seule ressource externe, facultative et désactivée automatiquement si elle est inaccessible.</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quinze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dix-huit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Stakeholder</w:t>
            </w:r>
          </w:p>
        </w:tc>
        <w:tc>
          <w:tcPr>
            <w:tcW w:type="dxa" w:w="2268"/>
          </w:tcPr>
          <w:p>
            <w:pPr>
              <w:spacing w:after="40"/>
            </w:pPr>
            <w:r/>
            <w:r>
              <w:rPr>
                <w:b w:val="0"/>
                <w:sz w:val="17"/>
              </w:rPr>
              <w:t>Partie prenante</w:t>
            </w:r>
          </w:p>
        </w:tc>
        <w:tc>
          <w:tcPr>
            <w:tcW w:type="dxa" w:w="5386"/>
          </w:tcPr>
          <w:p>
            <w:pPr>
              <w:spacing w:after="40"/>
            </w:pPr>
            <w:r/>
            <w:r>
              <w:rPr>
                <w:b w:val="0"/>
                <w:sz w:val="17"/>
              </w:rPr>
              <w:t>code, fonction ou structure, organisation, catégorie, contact — colonne de la matrice RACI</w:t>
            </w:r>
          </w:p>
        </w:tc>
      </w:tr>
      <w:tr>
        <w:tc>
          <w:tcPr>
            <w:tcW w:type="dxa" w:w="1701"/>
          </w:tcPr>
          <w:p>
            <w:pPr>
              <w:spacing w:after="40"/>
            </w:pPr>
            <w:r/>
            <w:r>
              <w:rPr>
                <w:b/>
                <w:sz w:val="17"/>
              </w:rPr>
              <w:t>RaciAssignment</w:t>
            </w:r>
          </w:p>
        </w:tc>
        <w:tc>
          <w:tcPr>
            <w:tcW w:type="dxa" w:w="2268"/>
          </w:tcPr>
          <w:p>
            <w:pPr>
              <w:spacing w:after="40"/>
            </w:pPr>
            <w:r/>
            <w:r>
              <w:rPr>
                <w:b w:val="0"/>
                <w:sz w:val="17"/>
              </w:rPr>
              <w:t>Affectation RACI</w:t>
            </w:r>
          </w:p>
        </w:tc>
        <w:tc>
          <w:tcPr>
            <w:tcW w:type="dxa" w:w="5386"/>
          </w:tcPr>
          <w:p>
            <w:pPr>
              <w:spacing w:after="40"/>
            </w:pPr>
            <w:r/>
            <w:r>
              <w:rPr>
                <w:b w:val="0"/>
                <w:sz w:val="17"/>
              </w:rPr>
              <w:t>activité, partie prenante, rôle (R, A, C ou I), commentaire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mot de passe haché, rôle, organisation, activité</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quinze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ordonnancement</w:t>
      </w:r>
    </w:p>
    <w:p>
      <w:pPr>
        <w:jc w:val="both"/>
      </w:pPr>
      <w:r>
        <w:rPr>
          <w:i w:val="0"/>
          <w:sz w:val="21"/>
        </w:rPr>
        <w:t>Module organisé en cinq onglets : diagramme de Gantt, chemin critique et réseau PERT, organigramme des tâches, matrice RACI et liste des activités. Un bandeau permanent affiche la durée calculée du projet, le nombre d'activités critiques, la marge moyenne et l'avancement physique.</w:t>
      </w:r>
    </w:p>
    <w:p>
      <w:pPr>
        <w:pStyle w:val="ListBullet"/>
        <w:jc w:val="both"/>
      </w:pPr>
      <w:r>
        <w:rPr>
          <w:sz w:val="20"/>
        </w:rPr>
        <w:t>Diagramme de Gantt mensuel construit dynamiquement : bleu pour les activités planifiées ou en cours, vert pour les activités achevées, rouge pour celles dont l'échéance est dépassée ; les jalons sont matérialisés par un losange et la date du jour par une ligne verticale. La part remplie de chaque barre représente l'avancement déclaré.</w:t>
      </w:r>
    </w:p>
    <w:p>
      <w:pPr>
        <w:pStyle w:val="ListBullet"/>
        <w:jc w:val="both"/>
      </w:pPr>
      <w:r>
        <w:rPr>
          <w:sz w:val="20"/>
        </w:rPr>
        <w:t>Le chemin critique est matérialisé sur le diagramme de Gantt : les barres concernées sont cerclées de rouge et reliées par une courbe continue, tandis que les autres liens d'antécédence sont tracés en gris fin. La séquence déterminante se lit ainsi d'un coup d'œil, sans changer de vue.</w:t>
      </w:r>
    </w:p>
    <w:p>
      <w:pPr>
        <w:pStyle w:val="ListBullet"/>
        <w:jc w:val="both"/>
      </w:pPr>
      <w:r>
        <w:rPr>
          <w:sz w:val="20"/>
        </w:rPr>
        <w:t>Le chemin critique identifie la séquence d'activités sans marge : tout retard sur l'une d'elles décale d'autant la date d'achèvement du projet. Son coût et son avancement moyen sont calculés.</w:t>
      </w:r>
    </w:p>
    <w:p>
      <w:pPr>
        <w:pStyle w:val="ListBullet"/>
        <w:jc w:val="both"/>
      </w:pPr>
      <w:r>
        <w:rPr>
          <w:sz w:val="20"/>
        </w:rPr>
        <w:t>Une courbe en S complète l'analyse : elle confronte l'engagement de ressources programmé et l'engagement réalisé, mois par mois.</w:t>
      </w:r>
    </w:p>
    <w:p>
      <w:pPr>
        <w:pStyle w:val="ListBullet"/>
        <w:jc w:val="both"/>
      </w:pPr>
      <w:r>
        <w:rPr>
          <w:sz w:val="20"/>
        </w:rPr>
        <w:t>Le diagramme de Gantt, le réseau PERT, l'organigramme des tâches, la courbe d'avancement et la carte de couverture s'exportent en image PNG haute définition ou en SVG vectoriel, directement insérables dans un rapport.</w:t>
      </w:r>
    </w:p>
    <w:p>
      <w:pPr>
        <w:pStyle w:val="ListBullet"/>
        <w:jc w:val="both"/>
      </w:pPr>
      <w:r>
        <w:rPr>
          <w:sz w:val="20"/>
        </w:rPr>
        <w:t>Le réseau PERT présente chaque activité sous forme de nœud portant sa durée, ses dates au plus tôt et au plus tard et sa marge ; les activités d'un même rang peuvent être conduites en parallèle.</w:t>
      </w:r>
    </w:p>
    <w:p>
      <w:pPr>
        <w:pStyle w:val="ListBullet"/>
        <w:jc w:val="both"/>
      </w:pPr>
      <w:r>
        <w:rPr>
          <w:sz w:val="20"/>
        </w:rPr>
        <w:t>L'organigramme des tâches décompose le projet en composantes, sous-composantes et lots de travail, avec codification automatique et consolidation ascendante des coûts.</w:t>
      </w:r>
    </w:p>
    <w:p>
      <w:pPr>
        <w:pStyle w:val="ListBullet"/>
        <w:jc w:val="both"/>
      </w:pPr>
      <w:r>
        <w:rPr>
          <w:sz w:val="20"/>
        </w:rPr>
        <w:t>La matrice RACI, éditable cellule par cellule, attribue à chaque activité un rôle par partie prenante et contrôle la cohérence de l'ensemble.</w:t>
      </w:r>
    </w:p>
    <w:p>
      <w:pPr>
        <w:pStyle w:val="ListBullet"/>
        <w:jc w:val="both"/>
      </w:pPr>
      <w:r>
        <w:rPr>
          <w:sz w:val="20"/>
        </w:rPr>
        <w:t>Une section récapitule les activités en retard, avec le nombre de jours de dépassement et le responsable concerné.</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 et carte de couverture</w:t>
      </w:r>
    </w:p>
    <w:p>
      <w:pPr>
        <w:jc w:val="both"/>
      </w:pPr>
      <w:r>
        <w:rPr>
          <w:i w:val="0"/>
          <w:sz w:val="21"/>
        </w:rPr>
        <w:t>Gestion du découpage géographique et consolidation territoriale. Chaque zone porte son niveau administratif, sa zone parente, sa population, sa cible de bénéficiaires, ses coordonnées et son responsable. Une carte de couverture restitue visuellement l'implantation du projet.</w:t>
      </w:r>
    </w:p>
    <w:p>
      <w:pPr>
        <w:pStyle w:val="ListBullet"/>
        <w:jc w:val="both"/>
      </w:pPr>
      <w:r>
        <w:rPr>
          <w:sz w:val="20"/>
        </w:rPr>
        <w:t>La carte est à symboles proportionnels : la surface de chaque cercle — et non son rayon — représente les bénéficiaires atteints, sa couleur le taux de couverture de la cible de la zone, et un demi-disque la part des femmes. Des liens en pointillé relient chaque zone à sa zone mère.</w:t>
      </w:r>
    </w:p>
    <w:p>
      <w:pPr>
        <w:pStyle w:val="ListBullet"/>
        <w:jc w:val="both"/>
      </w:pPr>
      <w:r>
        <w:rPr>
          <w:sz w:val="20"/>
        </w:rPr>
        <w:t>La projection est celle de Mercator sphérique (EPSG:3857). Le rendu comprend un graticule gradué en degrés, une échelle métrique et une rose des vents ; il est produit en SVG, sans bibliothèque cartographique.</w:t>
      </w:r>
    </w:p>
    <w:p>
      <w:pPr>
        <w:pStyle w:val="ListBullet"/>
        <w:jc w:val="both"/>
      </w:pPr>
      <w:r>
        <w:rPr>
          <w:sz w:val="20"/>
        </w:rPr>
        <w:t>Un fond de carte OpenStreetMap peut être superposé par une simple case à cocher. C'est le seul appel réseau externe de la plateforme ; s'il échoue, il est automatiquement désactivé et la carte demeure exploitable.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Administration</w:t>
      </w:r>
    </w:p>
    <w:p>
      <w:pPr>
        <w:jc w:val="both"/>
      </w:pPr>
      <w:r>
        <w:rPr>
          <w:i w:val="0"/>
          <w:sz w:val="21"/>
        </w:rPr>
        <w:t>Gestion des comptes, des rôles et consultation du journal d'audit.</w:t>
      </w:r>
    </w:p>
    <w:p>
      <w:pPr>
        <w:pStyle w:val="ListBullet"/>
        <w:jc w:val="both"/>
      </w:pPr>
      <w:r>
        <w:rPr>
          <w:sz w:val="20"/>
        </w:rPr>
        <w:t>Cinq rôles hiérarchisés déterminent les droits : lecteur, opérateur de saisie, responsable de suivi-évaluation, coordonnateur, administrateur.</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Indicateurs de résultat et indicateurs de processus</w:t>
      </w:r>
    </w:p>
    <w:p>
      <w:pPr>
        <w:jc w:val="both"/>
      </w:pPr>
      <w:r>
        <w:rPr>
          <w:i w:val="0"/>
          <w:sz w:val="21"/>
        </w:rPr>
        <w:t>Un indicateur porte une nature : il mesure soit un changement produit chez les bénéficiaires — c'est un indicateur de résultat —, soit la conduite de l'action elle-même — c'est un indicateur de processus. Les seconds documentent le taux d'exécution du plan de travail, les délais de production des rapports ou de passation des marchés, le taux de participation aux activités programmées ou la complétude des données transmises.</w:t>
      </w:r>
    </w:p>
    <w:p>
      <w:pPr>
        <w:jc w:val="both"/>
      </w:pPr>
      <w:r>
        <w:rPr>
          <w:i w:val="0"/>
          <w:sz w:val="21"/>
        </w:rPr>
        <w:t>Cette distinction est méthodologiquement importante : mêler indicateurs de résultat et de processus dans un même tableau de bord conduit à surestimer la performance, car les indicateurs de processus sont structurellement plus faciles à atteindre. Leur affichage est donc commandé par une option activable projet par projet. Lorsqu'elle est désactivée, les indicateurs de processus restent enregistrés — avec leurs cibles et leurs mesures — mais sont exclus des tableaux de bord, des analyses et des livrables. Le nombre d'indicateurs masqués demeure affiché, afin que l'option ne dissimule jamais l'existence des données.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Nature</w:t>
            </w:r>
          </w:p>
        </w:tc>
        <w:tc>
          <w:tcPr>
            <w:tcW w:type="dxa" w:w="3118"/>
            <w:shd w:val="clear" w:fill="1F4E79"/>
          </w:tcPr>
          <w:p>
            <w:pPr>
              <w:spacing w:after="40"/>
              <w:jc w:val="center"/>
            </w:pPr>
            <w:r/>
            <w:r>
              <w:rPr>
                <w:b/>
                <w:color w:val="FFFFFF"/>
                <w:sz w:val="19"/>
              </w:rPr>
              <w:t>Ce qu'elle mesure</w:t>
            </w:r>
          </w:p>
        </w:tc>
        <w:tc>
          <w:tcPr>
            <w:tcW w:type="dxa" w:w="4535"/>
            <w:shd w:val="clear" w:fill="1F4E79"/>
          </w:tcPr>
          <w:p>
            <w:pPr>
              <w:spacing w:after="40"/>
              <w:jc w:val="center"/>
            </w:pPr>
            <w:r/>
            <w:r>
              <w:rPr>
                <w:b/>
                <w:color w:val="FFFFFF"/>
                <w:sz w:val="19"/>
              </w:rPr>
              <w:t>Exemples</w:t>
            </w:r>
          </w:p>
        </w:tc>
      </w:tr>
      <w:tr>
        <w:tc>
          <w:tcPr>
            <w:tcW w:type="dxa" w:w="1701"/>
          </w:tcPr>
          <w:p>
            <w:pPr>
              <w:spacing w:after="40"/>
            </w:pPr>
            <w:r/>
            <w:r>
              <w:rPr>
                <w:b/>
                <w:sz w:val="19"/>
              </w:rPr>
              <w:t>Résultat</w:t>
            </w:r>
          </w:p>
        </w:tc>
        <w:tc>
          <w:tcPr>
            <w:tcW w:type="dxa" w:w="3118"/>
          </w:tcPr>
          <w:p>
            <w:pPr>
              <w:spacing w:after="40"/>
            </w:pPr>
            <w:r/>
            <w:r>
              <w:rPr>
                <w:b w:val="0"/>
                <w:sz w:val="19"/>
              </w:rPr>
              <w:t>Le changement produit chez les bénéficiaires</w:t>
            </w:r>
          </w:p>
        </w:tc>
        <w:tc>
          <w:tcPr>
            <w:tcW w:type="dxa" w:w="4535"/>
          </w:tcPr>
          <w:p>
            <w:pPr>
              <w:spacing w:after="40"/>
            </w:pPr>
            <w:r/>
            <w:r>
              <w:rPr>
                <w:b w:val="0"/>
                <w:sz w:val="19"/>
              </w:rPr>
              <w:t>Rendement moyen du maïs, revenu agricole par exploitation, incidence de la pauvreté, nombre de producteurs formés</w:t>
            </w:r>
          </w:p>
        </w:tc>
      </w:tr>
      <w:tr>
        <w:tc>
          <w:tcPr>
            <w:tcW w:type="dxa" w:w="1701"/>
          </w:tcPr>
          <w:p>
            <w:pPr>
              <w:spacing w:after="40"/>
            </w:pPr>
            <w:r/>
            <w:r>
              <w:rPr>
                <w:b/>
                <w:sz w:val="19"/>
              </w:rPr>
              <w:t>Processus</w:t>
            </w:r>
          </w:p>
        </w:tc>
        <w:tc>
          <w:tcPr>
            <w:tcW w:type="dxa" w:w="3118"/>
          </w:tcPr>
          <w:p>
            <w:pPr>
              <w:spacing w:after="40"/>
            </w:pPr>
            <w:r/>
            <w:r>
              <w:rPr>
                <w:b w:val="0"/>
                <w:sz w:val="19"/>
              </w:rPr>
              <w:t>La conduite de l'action et la qualité de la gestion</w:t>
            </w:r>
          </w:p>
        </w:tc>
        <w:tc>
          <w:tcPr>
            <w:tcW w:type="dxa" w:w="4535"/>
          </w:tcPr>
          <w:p>
            <w:pPr>
              <w:spacing w:after="40"/>
            </w:pPr>
            <w:r/>
            <w:r>
              <w:rPr>
                <w:b w:val="0"/>
                <w:sz w:val="19"/>
              </w:rPr>
              <w:t>Taux d'exécution du PTBA, délai de production des rapports trimestriels, taux de participation aux formations, délai de passation des marchés, complétude des données de suivi</w:t>
            </w:r>
          </w:p>
        </w:tc>
      </w:tr>
    </w:tbl>
    <w:p/>
    <w:p>
      <w:pPr>
        <w:pStyle w:val="Heading2"/>
      </w:pPr>
      <w:r>
        <w:rPr>
          <w:color w:val="2E75B6"/>
          <w:sz w:val="26"/>
        </w:rPr>
        <w:t>6.10 Ordonnancement : chemin critique et réseau PERT</w:t>
      </w:r>
    </w:p>
    <w:p>
      <w:pPr>
        <w:jc w:val="both"/>
      </w:pPr>
      <w:r>
        <w:rPr>
          <w:i w:val="0"/>
          <w:sz w:val="21"/>
        </w:rPr>
        <w:t>Les activités du chronogramme portent des antécédents, exprimés en relations fin-début : une activité ne peut démarrer qu'une fois ses antécédents achevés. Leur durée est soit imposée, soit déduite des dates de début et de fin.</w:t>
      </w:r>
    </w:p>
    <w:p>
      <w:pPr>
        <w:jc w:val="both"/>
      </w:pPr>
      <w:r>
        <w:rPr>
          <w:i w:val="0"/>
          <w:sz w:val="21"/>
        </w:rPr>
        <w:t>Le calcul procède en trois temps. Un tri topologique ordonne les activités et détecte les circuits de dépendances. Une passe avant établit, pour chaque activité, la date de début et de fin au plus tôt. Une passe arrière établit les dates au plus tard compatibles avec l'achèvement du projet à la date calculée.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Notion</w:t>
            </w:r>
          </w:p>
        </w:tc>
        <w:tc>
          <w:tcPr>
            <w:tcW w:type="dxa" w:w="3402"/>
            <w:shd w:val="clear" w:fill="1F4E79"/>
          </w:tcPr>
          <w:p>
            <w:pPr>
              <w:spacing w:after="40"/>
              <w:jc w:val="center"/>
            </w:pPr>
            <w:r/>
            <w:r>
              <w:rPr>
                <w:b/>
                <w:color w:val="FFFFFF"/>
                <w:sz w:val="19"/>
              </w:rPr>
              <w:t>Définition</w:t>
            </w:r>
          </w:p>
        </w:tc>
        <w:tc>
          <w:tcPr>
            <w:tcW w:type="dxa" w:w="3969"/>
            <w:shd w:val="clear" w:fill="1F4E79"/>
          </w:tcPr>
          <w:p>
            <w:pPr>
              <w:spacing w:after="40"/>
              <w:jc w:val="center"/>
            </w:pPr>
            <w:r/>
            <w:r>
              <w:rPr>
                <w:b/>
                <w:color w:val="FFFFFF"/>
                <w:sz w:val="19"/>
              </w:rPr>
              <w:t>Usage en gestion de projet</w:t>
            </w:r>
          </w:p>
        </w:tc>
      </w:tr>
      <w:tr>
        <w:tc>
          <w:tcPr>
            <w:tcW w:type="dxa" w:w="1984"/>
          </w:tcPr>
          <w:p>
            <w:pPr>
              <w:spacing w:after="40"/>
            </w:pPr>
            <w:r/>
            <w:r>
              <w:rPr>
                <w:b/>
                <w:sz w:val="19"/>
              </w:rPr>
              <w:t>Durée totale du projet</w:t>
            </w:r>
          </w:p>
        </w:tc>
        <w:tc>
          <w:tcPr>
            <w:tcW w:type="dxa" w:w="3402"/>
          </w:tcPr>
          <w:p>
            <w:pPr>
              <w:spacing w:after="40"/>
            </w:pPr>
            <w:r/>
            <w:r>
              <w:rPr>
                <w:b w:val="0"/>
                <w:sz w:val="19"/>
              </w:rPr>
              <w:t>Date de fin au plus tôt la plus tardive du réseau</w:t>
            </w:r>
          </w:p>
        </w:tc>
        <w:tc>
          <w:tcPr>
            <w:tcW w:type="dxa" w:w="3969"/>
          </w:tcPr>
          <w:p>
            <w:pPr>
              <w:spacing w:after="40"/>
            </w:pPr>
            <w:r/>
            <w:r>
              <w:rPr>
                <w:b w:val="0"/>
                <w:sz w:val="19"/>
              </w:rPr>
              <w:t>Comparée à la date de clôture planifiée ; l'écart est signalé</w:t>
            </w:r>
          </w:p>
        </w:tc>
      </w:tr>
      <w:tr>
        <w:tc>
          <w:tcPr>
            <w:tcW w:type="dxa" w:w="1984"/>
          </w:tcPr>
          <w:p>
            <w:pPr>
              <w:spacing w:after="40"/>
            </w:pPr>
            <w:r/>
            <w:r>
              <w:rPr>
                <w:b/>
                <w:sz w:val="19"/>
              </w:rPr>
              <w:t>Marge totale</w:t>
            </w:r>
          </w:p>
        </w:tc>
        <w:tc>
          <w:tcPr>
            <w:tcW w:type="dxa" w:w="3402"/>
          </w:tcPr>
          <w:p>
            <w:pPr>
              <w:spacing w:after="40"/>
            </w:pPr>
            <w:r/>
            <w:r>
              <w:rPr>
                <w:b w:val="0"/>
                <w:sz w:val="19"/>
              </w:rPr>
              <w:t>Retard admissible sans décaler la fin du projet</w:t>
            </w:r>
          </w:p>
        </w:tc>
        <w:tc>
          <w:tcPr>
            <w:tcW w:type="dxa" w:w="3969"/>
          </w:tcPr>
          <w:p>
            <w:pPr>
              <w:spacing w:after="40"/>
            </w:pPr>
            <w:r/>
            <w:r>
              <w:rPr>
                <w:b w:val="0"/>
                <w:sz w:val="19"/>
              </w:rPr>
              <w:t>Une marge nulle rend l'activité critique</w:t>
            </w:r>
          </w:p>
        </w:tc>
      </w:tr>
      <w:tr>
        <w:tc>
          <w:tcPr>
            <w:tcW w:type="dxa" w:w="1984"/>
          </w:tcPr>
          <w:p>
            <w:pPr>
              <w:spacing w:after="40"/>
            </w:pPr>
            <w:r/>
            <w:r>
              <w:rPr>
                <w:b/>
                <w:sz w:val="19"/>
              </w:rPr>
              <w:t>Marge libre</w:t>
            </w:r>
          </w:p>
        </w:tc>
        <w:tc>
          <w:tcPr>
            <w:tcW w:type="dxa" w:w="3402"/>
          </w:tcPr>
          <w:p>
            <w:pPr>
              <w:spacing w:after="40"/>
            </w:pPr>
            <w:r/>
            <w:r>
              <w:rPr>
                <w:b w:val="0"/>
                <w:sz w:val="19"/>
              </w:rPr>
              <w:t>Retard admissible sans décaler l'activité suivante</w:t>
            </w:r>
          </w:p>
        </w:tc>
        <w:tc>
          <w:tcPr>
            <w:tcW w:type="dxa" w:w="3969"/>
          </w:tcPr>
          <w:p>
            <w:pPr>
              <w:spacing w:after="40"/>
            </w:pPr>
            <w:r/>
            <w:r>
              <w:rPr>
                <w:b w:val="0"/>
                <w:sz w:val="19"/>
              </w:rPr>
              <w:t>Indique la souplesse réelle dont dispose le responsable de l'activité</w:t>
            </w:r>
          </w:p>
        </w:tc>
      </w:tr>
      <w:tr>
        <w:tc>
          <w:tcPr>
            <w:tcW w:type="dxa" w:w="1984"/>
          </w:tcPr>
          <w:p>
            <w:pPr>
              <w:spacing w:after="40"/>
            </w:pPr>
            <w:r/>
            <w:r>
              <w:rPr>
                <w:b/>
                <w:sz w:val="19"/>
              </w:rPr>
              <w:t>Chemin critique</w:t>
            </w:r>
          </w:p>
        </w:tc>
        <w:tc>
          <w:tcPr>
            <w:tcW w:type="dxa" w:w="3402"/>
          </w:tcPr>
          <w:p>
            <w:pPr>
              <w:spacing w:after="40"/>
            </w:pPr>
            <w:r/>
            <w:r>
              <w:rPr>
                <w:b w:val="0"/>
                <w:sz w:val="19"/>
              </w:rPr>
              <w:t>Séquence continue d'activités à marge nulle</w:t>
            </w:r>
          </w:p>
        </w:tc>
        <w:tc>
          <w:tcPr>
            <w:tcW w:type="dxa" w:w="3969"/>
          </w:tcPr>
          <w:p>
            <w:pPr>
              <w:spacing w:after="40"/>
            </w:pPr>
            <w:r/>
            <w:r>
              <w:rPr>
                <w:b w:val="0"/>
                <w:sz w:val="19"/>
              </w:rPr>
              <w:t>Concentre l'attention de la supervision : tout retard s'y répercute intégralement</w:t>
            </w:r>
          </w:p>
        </w:tc>
      </w:tr>
      <w:tr>
        <w:tc>
          <w:tcPr>
            <w:tcW w:type="dxa" w:w="1984"/>
          </w:tcPr>
          <w:p>
            <w:pPr>
              <w:spacing w:after="40"/>
            </w:pPr>
            <w:r/>
            <w:r>
              <w:rPr>
                <w:b/>
                <w:sz w:val="19"/>
              </w:rPr>
              <w:t>Rang PERT</w:t>
            </w:r>
          </w:p>
        </w:tc>
        <w:tc>
          <w:tcPr>
            <w:tcW w:type="dxa" w:w="3402"/>
          </w:tcPr>
          <w:p>
            <w:pPr>
              <w:spacing w:after="40"/>
            </w:pPr>
            <w:r/>
            <w:r>
              <w:rPr>
                <w:b w:val="0"/>
                <w:sz w:val="19"/>
              </w:rPr>
              <w:t>Position de l'activité dans le réseau</w:t>
            </w:r>
          </w:p>
        </w:tc>
        <w:tc>
          <w:tcPr>
            <w:tcW w:type="dxa" w:w="3969"/>
          </w:tcPr>
          <w:p>
            <w:pPr>
              <w:spacing w:after="40"/>
            </w:pPr>
            <w:r/>
            <w:r>
              <w:rPr>
                <w:b w:val="0"/>
                <w:sz w:val="19"/>
              </w:rPr>
              <w:t>Les activités d'un même rang sont indépendantes et parallélisables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Contrôle de cohérence — </w:t>
            </w:r>
            <w:r>
              <w:rPr>
                <w:sz w:val="19"/>
              </w:rPr>
              <w:t>La plateforme signale les antécédents qui s'achèvent après le début planifié de leur successeur : le calendrier saisi et le lien d'antécédence sont alors contradictoires. C'est l'incohérence la plus fréquente des chronogrammes construits sous tableur, où les dates sont saisies indépendamment des liens logiques entre activités.</w:t>
            </w:r>
          </w:p>
        </w:tc>
      </w:tr>
    </w:tbl>
    <w:p/>
    <w:p>
      <w:pPr>
        <w:pStyle w:val="Heading2"/>
      </w:pPr>
      <w:r>
        <w:rPr>
          <w:color w:val="2E75B6"/>
          <w:sz w:val="26"/>
        </w:rPr>
        <w:t>6.11 Organigramme des tâches (WBS)</w:t>
      </w:r>
    </w:p>
    <w:p>
      <w:pPr>
        <w:jc w:val="both"/>
      </w:pPr>
      <w:r>
        <w:rPr>
          <w:i w:val="0"/>
          <w:sz w:val="21"/>
        </w:rPr>
        <w:t>L'organigramme des tâches décompose le projet en éléments de plus en plus fins, jusqu'aux lots de travail élémentaires. La plateforme le déduit de la chaîne de résultats déjà saisie : les effets constituent les composantes, les produits les sous-composantes, les activités les lots de travail. Cette dérivation garantit la cohérence entre le cadre logique et l'organisation opérationnelle — deux instruments trop souvent construits séparément et divergents.</w:t>
      </w:r>
    </w:p>
    <w:p>
      <w:pPr>
        <w:pStyle w:val="ListBullet"/>
        <w:jc w:val="both"/>
      </w:pPr>
      <w:r>
        <w:rPr>
          <w:sz w:val="20"/>
        </w:rPr>
        <w:t>La codification est automatique et hiérarchique : 1, 1.1, 1.1.1, 1.1.1.1. Elle peut être inscrite sur les activités pour être reprise dans les autres livrables.</w:t>
      </w:r>
    </w:p>
    <w:p>
      <w:pPr>
        <w:pStyle w:val="ListBullet"/>
        <w:jc w:val="both"/>
      </w:pPr>
      <w:r>
        <w:rPr>
          <w:sz w:val="20"/>
        </w:rPr>
        <w:t>Les coûts, durées et avancements sont consolidés de bas en haut : chaque niveau totalise ses descendants, ce qui permet de vérifier la cohérence du budget par composante.</w:t>
      </w:r>
    </w:p>
    <w:p>
      <w:pPr>
        <w:pStyle w:val="ListBullet"/>
        <w:jc w:val="both"/>
      </w:pPr>
      <w:r>
        <w:rPr>
          <w:sz w:val="20"/>
        </w:rPr>
        <w:t>Les activités non rattachées à un produit sont regroupées dans un lot « Gestion, coordination et suivi-évaluation », conformément à la pratique courante.</w:t>
      </w:r>
    </w:p>
    <w:p>
      <w:pPr>
        <w:pStyle w:val="ListBullet"/>
        <w:jc w:val="both"/>
      </w:pPr>
      <w:r>
        <w:rPr>
          <w:sz w:val="20"/>
        </w:rPr>
        <w:t>Un dictionnaire des lots de travail accompagne l'organigramme : il précise pour chaque lot son livrable attendu, son responsable, sa durée, son coût et son échéance.</w:t>
      </w:r>
    </w:p>
    <w:p>
      <w:pPr>
        <w:pStyle w:val="Heading2"/>
      </w:pPr>
      <w:r>
        <w:rPr>
          <w:color w:val="2E75B6"/>
          <w:sz w:val="26"/>
        </w:rPr>
        <w:t>6.12 Matrice des responsabilités (RACI)</w:t>
      </w:r>
    </w:p>
    <w:p>
      <w:pPr>
        <w:jc w:val="both"/>
      </w:pPr>
      <w:r>
        <w:rPr>
          <w:i w:val="0"/>
          <w:sz w:val="21"/>
        </w:rPr>
        <w:t>La matrice RACI croise les activités et les parties prenantes et attribue à chaque intersection un rôle. Elle répond à la question qui, en gestion de projet, produit le plus de blocages : qui décide, qui exécute, qui doit être consulté et qui doit être informé.</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Rôle</w:t>
            </w:r>
          </w:p>
        </w:tc>
        <w:tc>
          <w:tcPr>
            <w:tcW w:type="dxa" w:w="2551"/>
            <w:shd w:val="clear" w:fill="1F4E79"/>
          </w:tcPr>
          <w:p>
            <w:pPr>
              <w:spacing w:after="40"/>
              <w:jc w:val="center"/>
            </w:pPr>
            <w:r/>
            <w:r>
              <w:rPr>
                <w:b/>
                <w:color w:val="FFFFFF"/>
                <w:sz w:val="19"/>
              </w:rPr>
              <w:t>Signification</w:t>
            </w:r>
          </w:p>
        </w:tc>
        <w:tc>
          <w:tcPr>
            <w:tcW w:type="dxa" w:w="4819"/>
            <w:shd w:val="clear" w:fill="1F4E79"/>
          </w:tcPr>
          <w:p>
            <w:pPr>
              <w:spacing w:after="40"/>
              <w:jc w:val="center"/>
            </w:pPr>
            <w:r/>
            <w:r>
              <w:rPr>
                <w:b/>
                <w:color w:val="FFFFFF"/>
                <w:sz w:val="19"/>
              </w:rPr>
              <w:t>Règle appliquée par la plateforme</w:t>
            </w:r>
          </w:p>
        </w:tc>
      </w:tr>
      <w:tr>
        <w:tc>
          <w:tcPr>
            <w:tcW w:type="dxa" w:w="1984"/>
          </w:tcPr>
          <w:p>
            <w:pPr>
              <w:spacing w:after="40"/>
            </w:pPr>
            <w:r/>
            <w:r>
              <w:rPr>
                <w:b/>
                <w:sz w:val="19"/>
              </w:rPr>
              <w:t>R — Responsible</w:t>
            </w:r>
          </w:p>
        </w:tc>
        <w:tc>
          <w:tcPr>
            <w:tcW w:type="dxa" w:w="2551"/>
          </w:tcPr>
          <w:p>
            <w:pPr>
              <w:spacing w:after="40"/>
            </w:pPr>
            <w:r/>
            <w:r>
              <w:rPr>
                <w:b w:val="0"/>
                <w:sz w:val="19"/>
              </w:rPr>
              <w:t>Réalise le travail</w:t>
            </w:r>
          </w:p>
        </w:tc>
        <w:tc>
          <w:tcPr>
            <w:tcW w:type="dxa" w:w="4819"/>
          </w:tcPr>
          <w:p>
            <w:pPr>
              <w:spacing w:after="40"/>
            </w:pPr>
            <w:r/>
            <w:r>
              <w:rPr>
                <w:b w:val="0"/>
                <w:sz w:val="19"/>
              </w:rPr>
              <w:t>Plusieurs réalisateurs sont possibles ; au moins un est exigé par activité</w:t>
            </w:r>
          </w:p>
        </w:tc>
      </w:tr>
      <w:tr>
        <w:tc>
          <w:tcPr>
            <w:tcW w:type="dxa" w:w="1984"/>
          </w:tcPr>
          <w:p>
            <w:pPr>
              <w:spacing w:after="40"/>
            </w:pPr>
            <w:r/>
            <w:r>
              <w:rPr>
                <w:b/>
                <w:sz w:val="19"/>
              </w:rPr>
              <w:t>A — Accountable</w:t>
            </w:r>
          </w:p>
        </w:tc>
        <w:tc>
          <w:tcPr>
            <w:tcW w:type="dxa" w:w="2551"/>
          </w:tcPr>
          <w:p>
            <w:pPr>
              <w:spacing w:after="40"/>
            </w:pPr>
            <w:r/>
            <w:r>
              <w:rPr>
                <w:b w:val="0"/>
                <w:sz w:val="19"/>
              </w:rPr>
              <w:t>Approuve et rend compte</w:t>
            </w:r>
          </w:p>
        </w:tc>
        <w:tc>
          <w:tcPr>
            <w:tcW w:type="dxa" w:w="4819"/>
          </w:tcPr>
          <w:p>
            <w:pPr>
              <w:spacing w:after="40"/>
            </w:pPr>
            <w:r/>
            <w:r>
              <w:rPr>
                <w:b w:val="0"/>
                <w:sz w:val="19"/>
              </w:rPr>
              <w:t>Un seul approbateur par activité : la responsabilité ne se partage pas</w:t>
            </w:r>
          </w:p>
        </w:tc>
      </w:tr>
      <w:tr>
        <w:tc>
          <w:tcPr>
            <w:tcW w:type="dxa" w:w="1984"/>
          </w:tcPr>
          <w:p>
            <w:pPr>
              <w:spacing w:after="40"/>
            </w:pPr>
            <w:r/>
            <w:r>
              <w:rPr>
                <w:b/>
                <w:sz w:val="19"/>
              </w:rPr>
              <w:t>C — Consulted</w:t>
            </w:r>
          </w:p>
        </w:tc>
        <w:tc>
          <w:tcPr>
            <w:tcW w:type="dxa" w:w="2551"/>
          </w:tcPr>
          <w:p>
            <w:pPr>
              <w:spacing w:after="40"/>
            </w:pPr>
            <w:r/>
            <w:r>
              <w:rPr>
                <w:b w:val="0"/>
                <w:sz w:val="19"/>
              </w:rPr>
              <w:t>Est consulté avant la décision</w:t>
            </w:r>
          </w:p>
        </w:tc>
        <w:tc>
          <w:tcPr>
            <w:tcW w:type="dxa" w:w="4819"/>
          </w:tcPr>
          <w:p>
            <w:pPr>
              <w:spacing w:after="40"/>
            </w:pPr>
            <w:r/>
            <w:r>
              <w:rPr>
                <w:b w:val="0"/>
                <w:sz w:val="19"/>
              </w:rPr>
              <w:t>La consultation est bilatérale et intervient en amont</w:t>
            </w:r>
          </w:p>
        </w:tc>
      </w:tr>
      <w:tr>
        <w:tc>
          <w:tcPr>
            <w:tcW w:type="dxa" w:w="1984"/>
          </w:tcPr>
          <w:p>
            <w:pPr>
              <w:spacing w:after="40"/>
            </w:pPr>
            <w:r/>
            <w:r>
              <w:rPr>
                <w:b/>
                <w:sz w:val="19"/>
              </w:rPr>
              <w:t>I — Informed</w:t>
            </w:r>
          </w:p>
        </w:tc>
        <w:tc>
          <w:tcPr>
            <w:tcW w:type="dxa" w:w="2551"/>
          </w:tcPr>
          <w:p>
            <w:pPr>
              <w:spacing w:after="40"/>
            </w:pPr>
            <w:r/>
            <w:r>
              <w:rPr>
                <w:b w:val="0"/>
                <w:sz w:val="19"/>
              </w:rPr>
              <w:t>Est informé après la décision</w:t>
            </w:r>
          </w:p>
        </w:tc>
        <w:tc>
          <w:tcPr>
            <w:tcW w:type="dxa" w:w="4819"/>
          </w:tcPr>
          <w:p>
            <w:pPr>
              <w:spacing w:after="40"/>
            </w:pPr>
            <w:r/>
            <w:r>
              <w:rPr>
                <w:b w:val="0"/>
                <w:sz w:val="19"/>
              </w:rPr>
              <w:t>L'information est unilatérale et intervient en aval</w:t>
            </w:r>
          </w:p>
        </w:tc>
      </w:tr>
    </w:tbl>
    <w:p/>
    <w:p>
      <w:pPr>
        <w:jc w:val="both"/>
      </w:pPr>
      <w:r>
        <w:rPr>
          <w:i w:val="0"/>
          <w:sz w:val="21"/>
        </w:rPr>
        <w:t>Deux contrôles automatiques sont appliqués : l'absence d'approbateur laisse une activité sans responsable identifié, la présence de plusieurs approbateurs dilue la responsabilité. La charge de chaque acteur est en outre calculée : une partie prenante qui approuve un nombre disproportionné d'activités constitue un goulot d'étranglement décisionnel, signalé comme tel.</w:t>
      </w:r>
    </w:p>
    <w:p>
      <w:pPr>
        <w:pStyle w:val="Heading2"/>
      </w:pPr>
      <w:r>
        <w:rPr>
          <w:color w:val="2E75B6"/>
          <w:sz w:val="26"/>
        </w:rPr>
        <w:t>6.13 Courbe d'avancement (courbe en S)</w:t>
      </w:r>
    </w:p>
    <w:p>
      <w:pPr>
        <w:jc w:val="both"/>
      </w:pPr>
      <w:r>
        <w:rPr>
          <w:i w:val="0"/>
          <w:sz w:val="21"/>
        </w:rPr>
        <w:t>La courbe en S représente l'engagement cumulé des ressources, mois par mois. Le coût de chaque activité est réparti linéairement sur sa durée puis cumulé : la courbe programmée court sur toute la durée du projet et atteint 100 %, tandis que la courbe réalisée s'arrête au mois en cours, l'avancement déclaré déterminant la part effectivement consommée.</w:t>
      </w:r>
    </w:p>
    <w:p>
      <w:pPr>
        <w:jc w:val="both"/>
      </w:pPr>
      <w:r>
        <w:rPr>
          <w:i w:val="0"/>
          <w:sz w:val="21"/>
        </w:rPr>
        <w:t>Sa forme en S est caractéristique de la conduite de projet : montée lente au démarrage, accélération en phase de croisière, ralentissement à l'approche de la clôture. L'écart vertical entre les deux courbes à la date du jour mesure l'avance ou le retard d'exécution, exprimé en points de pourcentage.</w:t>
      </w:r>
    </w:p>
    <w:p>
      <w:pPr>
        <w:pStyle w:val="Heading2"/>
      </w:pPr>
      <w:r>
        <w:rPr>
          <w:color w:val="2E75B6"/>
          <w:sz w:val="26"/>
        </w:rPr>
        <w:t>6.14 Portabilité et intégrité des données</w:t>
      </w:r>
    </w:p>
    <w:p>
      <w:pPr>
        <w:jc w:val="both"/>
      </w:pPr>
      <w:r>
        <w:rPr>
          <w:i w:val="0"/>
          <w:sz w:val="21"/>
        </w:rPr>
        <w:t>La sauvegarde JSON produit un fichier autonome contenant l'intégralité d'un projet ou d'un portefeuille. À l'import, les identifiants sont réattribués par la base d'accueil et toutes les références internes sont réécrites — parent d'un résultat, zone d'une mesure, activité d'une ligne budgétaire, acteur d'une affectation RACI. L'échange est donc indépendant des séquences de clés primaires et fonctionne entre instances distinctes.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Format</w:t>
            </w:r>
          </w:p>
        </w:tc>
        <w:tc>
          <w:tcPr>
            <w:tcW w:type="dxa" w:w="4819"/>
            <w:shd w:val="clear" w:fill="1F4E79"/>
          </w:tcPr>
          <w:p>
            <w:pPr>
              <w:spacing w:after="40"/>
              <w:jc w:val="center"/>
            </w:pPr>
            <w:r/>
            <w:r>
              <w:rPr>
                <w:b/>
                <w:color w:val="FFFFFF"/>
                <w:sz w:val="19"/>
              </w:rPr>
              <w:t>Contenu</w:t>
            </w:r>
          </w:p>
        </w:tc>
        <w:tc>
          <w:tcPr>
            <w:tcW w:type="dxa" w:w="2268"/>
            <w:shd w:val="clear" w:fill="1F4E79"/>
          </w:tcPr>
          <w:p>
            <w:pPr>
              <w:spacing w:after="40"/>
              <w:jc w:val="center"/>
            </w:pPr>
            <w:r/>
            <w:r>
              <w:rPr>
                <w:b/>
                <w:color w:val="FFFFFF"/>
                <w:sz w:val="19"/>
              </w:rPr>
              <w:t>Réversibilité</w:t>
            </w:r>
          </w:p>
        </w:tc>
      </w:tr>
      <w:tr>
        <w:tc>
          <w:tcPr>
            <w:tcW w:type="dxa" w:w="2268"/>
          </w:tcPr>
          <w:p>
            <w:pPr>
              <w:spacing w:after="40"/>
            </w:pPr>
            <w:r/>
            <w:r>
              <w:rPr>
                <w:b/>
                <w:sz w:val="19"/>
              </w:rPr>
              <w:t>JSON projet</w:t>
            </w:r>
          </w:p>
        </w:tc>
        <w:tc>
          <w:tcPr>
            <w:tcW w:type="dxa" w:w="4819"/>
          </w:tcPr>
          <w:p>
            <w:pPr>
              <w:spacing w:after="40"/>
            </w:pPr>
            <w:r/>
            <w:r>
              <w:rPr>
                <w:b w:val="0"/>
                <w:sz w:val="19"/>
              </w:rPr>
              <w:t>Intégralité d'un projet, questionnaires et questions compris</w:t>
            </w:r>
          </w:p>
        </w:tc>
        <w:tc>
          <w:tcPr>
            <w:tcW w:type="dxa" w:w="2268"/>
          </w:tcPr>
          <w:p>
            <w:pPr>
              <w:spacing w:after="40"/>
            </w:pPr>
            <w:r/>
            <w:r>
              <w:rPr>
                <w:b w:val="0"/>
                <w:sz w:val="19"/>
              </w:rPr>
              <w:t>Restitution à l'identique</w:t>
            </w:r>
          </w:p>
        </w:tc>
      </w:tr>
      <w:tr>
        <w:tc>
          <w:tcPr>
            <w:tcW w:type="dxa" w:w="2268"/>
          </w:tcPr>
          <w:p>
            <w:pPr>
              <w:spacing w:after="40"/>
            </w:pPr>
            <w:r/>
            <w:r>
              <w:rPr>
                <w:b/>
                <w:sz w:val="19"/>
              </w:rPr>
              <w:t>JSON portefeuille</w:t>
            </w:r>
          </w:p>
        </w:tc>
        <w:tc>
          <w:tcPr>
            <w:tcW w:type="dxa" w:w="4819"/>
          </w:tcPr>
          <w:p>
            <w:pPr>
              <w:spacing w:after="40"/>
            </w:pPr>
            <w:r/>
            <w:r>
              <w:rPr>
                <w:b w:val="0"/>
                <w:sz w:val="19"/>
              </w:rPr>
              <w:t>Tous les projets de l'instance dans un fichier unique</w:t>
            </w:r>
          </w:p>
        </w:tc>
        <w:tc>
          <w:tcPr>
            <w:tcW w:type="dxa" w:w="2268"/>
          </w:tcPr>
          <w:p>
            <w:pPr>
              <w:spacing w:after="40"/>
            </w:pPr>
            <w:r/>
            <w:r>
              <w:rPr>
                <w:b w:val="0"/>
                <w:sz w:val="19"/>
              </w:rPr>
              <w:t>Restitution à l'identique</w:t>
            </w:r>
          </w:p>
        </w:tc>
      </w:tr>
      <w:tr>
        <w:tc>
          <w:tcPr>
            <w:tcW w:type="dxa" w:w="2268"/>
          </w:tcPr>
          <w:p>
            <w:pPr>
              <w:spacing w:after="40"/>
            </w:pPr>
            <w:r/>
            <w:r>
              <w:rPr>
                <w:b/>
                <w:sz w:val="19"/>
              </w:rPr>
              <w:t>Excel de transfert</w:t>
            </w:r>
          </w:p>
        </w:tc>
        <w:tc>
          <w:tcPr>
            <w:tcW w:type="dxa" w:w="4819"/>
          </w:tcPr>
          <w:p>
            <w:pPr>
              <w:spacing w:after="40"/>
            </w:pPr>
            <w:r/>
            <w:r>
              <w:rPr>
                <w:b w:val="0"/>
                <w:sz w:val="19"/>
              </w:rPr>
              <w:t>Toutes les données dans la structure du modèle d'import</w:t>
            </w:r>
          </w:p>
        </w:tc>
        <w:tc>
          <w:tcPr>
            <w:tcW w:type="dxa" w:w="2268"/>
          </w:tcPr>
          <w:p>
            <w:pPr>
              <w:spacing w:after="40"/>
            </w:pPr>
            <w:r/>
            <w:r>
              <w:rPr>
                <w:b w:val="0"/>
                <w:sz w:val="19"/>
              </w:rPr>
              <w:t>Réversible, hors questionnaires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Gestion des collisions de code — </w:t>
            </w:r>
            <w:r>
              <w:rPr>
                <w:sz w:val="19"/>
              </w:rPr>
              <w:t>Si le code du projet importé est déjà utilisé, il est suffixé automatiquement et l'utilisateur en est averti dans le rapport d'import. L'option « remplacer un projet existant » produit l'effet inverse : le projet de même code est supprimé au préalable, ce qui permet de restaurer une sauvegarde par-dessus une version altérée.</w:t>
            </w:r>
          </w:p>
        </w:tc>
      </w:tr>
    </w:tbl>
    <w:p/>
    <w:p>
      <w:pPr>
        <w:pStyle w:val="Heading2"/>
      </w:pPr>
      <w:r>
        <w:rPr>
          <w:color w:val="2E75B6"/>
          <w:sz w:val="26"/>
        </w:rPr>
        <w:t>6.15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Sauvegarde et transfert de projets entiers</w:t>
      </w:r>
    </w:p>
    <w:p>
      <w:pPr>
        <w:jc w:val="both"/>
      </w:pPr>
      <w:r>
        <w:rPr>
          <w:i w:val="0"/>
          <w:sz w:val="21"/>
        </w:rPr>
        <w:t>Au-delà de l'import de données, la plateforme permet de sauvegarder et de transférer des projets complets. Trois usages sont couverts : la sauvegarde de sécurité avant une modification lourde, le transfert d'un projet d'une instance à une autre — d'un poste local vers le serveur, ou entre deux organisations —, et le travail hors ligne dans un tableur suivi d'un rechargement.</w:t>
      </w:r>
    </w:p>
    <w:p>
      <w:pPr>
        <w:pStyle w:val="ListBullet"/>
        <w:jc w:val="both"/>
      </w:pPr>
      <w:r>
        <w:rPr>
          <w:sz w:val="20"/>
        </w:rPr>
        <w:t>La sauvegarde JSON d'un projet contient l'ensemble de ses données, questionnaires compris, et se recharge à l'identique.</w:t>
      </w:r>
    </w:p>
    <w:p>
      <w:pPr>
        <w:pStyle w:val="ListBullet"/>
        <w:jc w:val="both"/>
      </w:pPr>
      <w:r>
        <w:rPr>
          <w:sz w:val="20"/>
        </w:rPr>
        <w:t>La sauvegarde JSON du portefeuille regroupe tous les projets de l'instance dans un fichier unique, ce qui constitue une copie de sécurité complète de la plateforme.</w:t>
      </w:r>
    </w:p>
    <w:p>
      <w:pPr>
        <w:pStyle w:val="ListBullet"/>
        <w:jc w:val="both"/>
      </w:pPr>
      <w:r>
        <w:rPr>
          <w:sz w:val="20"/>
        </w:rPr>
        <w:t>Le classeur Excel de transfert reprend la structure du modèle d'import : il se retravaille dans un tableur, se transmet par courriel et se recharge tel quel.</w:t>
      </w:r>
    </w:p>
    <w:p>
      <w:pPr>
        <w:pStyle w:val="ListBullet"/>
        <w:jc w:val="both"/>
      </w:pPr>
      <w:r>
        <w:rPr>
          <w:sz w:val="20"/>
        </w:rPr>
        <w:t>Le rapport d'import détaille, projet par projet, le nombre d'enregistrements recréés dans chaque catégorie et les éventuels avertissements.</w:t>
      </w:r>
    </w:p>
    <w:p>
      <w:pPr>
        <w:pStyle w:val="Heading2"/>
      </w:pPr>
      <w:r>
        <w:rPr>
          <w:color w:val="2E75B6"/>
          <w:sz w:val="26"/>
        </w:rPr>
        <w:t>7.5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Vingt-huit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Chemin critique et réseau PERT</w:t>
            </w:r>
          </w:p>
        </w:tc>
        <w:tc>
          <w:tcPr>
            <w:tcW w:type="dxa" w:w="1474"/>
          </w:tcPr>
          <w:p>
            <w:pPr>
              <w:spacing w:after="40"/>
            </w:pPr>
            <w:r/>
            <w:r>
              <w:rPr>
                <w:b w:val="0"/>
                <w:sz w:val="17"/>
              </w:rPr>
              <w:t>Excel</w:t>
            </w:r>
          </w:p>
        </w:tc>
        <w:tc>
          <w:tcPr>
            <w:tcW w:type="dxa" w:w="5046"/>
          </w:tcPr>
          <w:p>
            <w:pPr>
              <w:spacing w:after="40"/>
            </w:pPr>
            <w:r/>
            <w:r>
              <w:rPr>
                <w:b w:val="0"/>
                <w:sz w:val="17"/>
              </w:rPr>
              <w:t>Ordonnancement CPM : dates au plus tôt et au plus tard, marges, durée du projet, activités par rang PERT</w:t>
            </w:r>
          </w:p>
        </w:tc>
      </w:tr>
      <w:tr>
        <w:tc>
          <w:tcPr>
            <w:tcW w:type="dxa" w:w="2835"/>
          </w:tcPr>
          <w:p>
            <w:pPr>
              <w:spacing w:after="40"/>
            </w:pPr>
            <w:r/>
            <w:r>
              <w:rPr>
                <w:b/>
                <w:sz w:val="17"/>
              </w:rPr>
              <w:t>Organigramme des tâches (WBS)</w:t>
            </w:r>
          </w:p>
        </w:tc>
        <w:tc>
          <w:tcPr>
            <w:tcW w:type="dxa" w:w="1474"/>
          </w:tcPr>
          <w:p>
            <w:pPr>
              <w:spacing w:after="40"/>
            </w:pPr>
            <w:r/>
            <w:r>
              <w:rPr>
                <w:b w:val="0"/>
                <w:sz w:val="17"/>
              </w:rPr>
              <w:t>Excel</w:t>
            </w:r>
          </w:p>
        </w:tc>
        <w:tc>
          <w:tcPr>
            <w:tcW w:type="dxa" w:w="5046"/>
          </w:tcPr>
          <w:p>
            <w:pPr>
              <w:spacing w:after="40"/>
            </w:pPr>
            <w:r/>
            <w:r>
              <w:rPr>
                <w:b w:val="0"/>
                <w:sz w:val="17"/>
              </w:rPr>
              <w:t>Décomposition codifiée, coûts consolidés, dictionnaire des lots de travail</w:t>
            </w:r>
          </w:p>
        </w:tc>
      </w:tr>
      <w:tr>
        <w:tc>
          <w:tcPr>
            <w:tcW w:type="dxa" w:w="2835"/>
          </w:tcPr>
          <w:p>
            <w:pPr>
              <w:spacing w:after="40"/>
            </w:pPr>
            <w:r/>
            <w:r>
              <w:rPr>
                <w:b/>
                <w:sz w:val="17"/>
              </w:rPr>
              <w:t>Matrice des responsabilités (RACI)</w:t>
            </w:r>
          </w:p>
        </w:tc>
        <w:tc>
          <w:tcPr>
            <w:tcW w:type="dxa" w:w="1474"/>
          </w:tcPr>
          <w:p>
            <w:pPr>
              <w:spacing w:after="40"/>
            </w:pPr>
            <w:r/>
            <w:r>
              <w:rPr>
                <w:b w:val="0"/>
                <w:sz w:val="17"/>
              </w:rPr>
              <w:t>Excel</w:t>
            </w:r>
          </w:p>
        </w:tc>
        <w:tc>
          <w:tcPr>
            <w:tcW w:type="dxa" w:w="5046"/>
          </w:tcPr>
          <w:p>
            <w:pPr>
              <w:spacing w:after="40"/>
            </w:pPr>
            <w:r/>
            <w:r>
              <w:rPr>
                <w:b w:val="0"/>
                <w:sz w:val="17"/>
              </w:rPr>
              <w:t>Matrice activités × acteurs, charge par partie prenante, contrôle de cohérence</w:t>
            </w:r>
          </w:p>
        </w:tc>
      </w:tr>
      <w:tr>
        <w:tc>
          <w:tcPr>
            <w:tcW w:type="dxa" w:w="2835"/>
          </w:tcPr>
          <w:p>
            <w:pPr>
              <w:spacing w:after="40"/>
            </w:pPr>
            <w:r/>
            <w:r>
              <w:rPr>
                <w:b/>
                <w:sz w:val="17"/>
              </w:rPr>
              <w:t>Organisation et ordonnancement</w:t>
            </w:r>
          </w:p>
        </w:tc>
        <w:tc>
          <w:tcPr>
            <w:tcW w:type="dxa" w:w="1474"/>
          </w:tcPr>
          <w:p>
            <w:pPr>
              <w:spacing w:after="40"/>
            </w:pPr>
            <w:r/>
            <w:r>
              <w:rPr>
                <w:b w:val="0"/>
                <w:sz w:val="17"/>
              </w:rPr>
              <w:t>Word</w:t>
            </w:r>
          </w:p>
        </w:tc>
        <w:tc>
          <w:tcPr>
            <w:tcW w:type="dxa" w:w="5046"/>
          </w:tcPr>
          <w:p>
            <w:pPr>
              <w:spacing w:after="40"/>
            </w:pPr>
            <w:r/>
            <w:r>
              <w:rPr>
                <w:b w:val="0"/>
                <w:sz w:val="17"/>
              </w:rPr>
              <w:t>Document réunissant l'organigramme des tâches, le chemin critique, le réseau PERT et la matrice RACI</w:t>
            </w:r>
          </w:p>
        </w:tc>
      </w:tr>
      <w:tr>
        <w:tc>
          <w:tcPr>
            <w:tcW w:type="dxa" w:w="2835"/>
          </w:tcPr>
          <w:p>
            <w:pPr>
              <w:spacing w:after="40"/>
            </w:pPr>
            <w:r/>
            <w:r>
              <w:rPr>
                <w:b/>
                <w:sz w:val="17"/>
              </w:rPr>
              <w:t>Projet complet (sauvegarde SEPIA)</w:t>
            </w:r>
          </w:p>
        </w:tc>
        <w:tc>
          <w:tcPr>
            <w:tcW w:type="dxa" w:w="1474"/>
          </w:tcPr>
          <w:p>
            <w:pPr>
              <w:spacing w:after="40"/>
            </w:pPr>
            <w:r/>
            <w:r>
              <w:rPr>
                <w:b w:val="0"/>
                <w:sz w:val="17"/>
              </w:rPr>
              <w:t>JSON</w:t>
            </w:r>
          </w:p>
        </w:tc>
        <w:tc>
          <w:tcPr>
            <w:tcW w:type="dxa" w:w="5046"/>
          </w:tcPr>
          <w:p>
            <w:pPr>
              <w:spacing w:after="40"/>
            </w:pPr>
            <w:r/>
            <w:r>
              <w:rPr>
                <w:b w:val="0"/>
                <w:sz w:val="17"/>
              </w:rPr>
              <w:t>Sauvegarde intégrale et réversible du projet, questionnaires compris, rechargeable sur une autre instance</w:t>
            </w:r>
          </w:p>
        </w:tc>
      </w:tr>
      <w:tr>
        <w:tc>
          <w:tcPr>
            <w:tcW w:type="dxa" w:w="2835"/>
          </w:tcPr>
          <w:p>
            <w:pPr>
              <w:spacing w:after="40"/>
            </w:pPr>
            <w:r/>
            <w:r>
              <w:rPr>
                <w:b/>
                <w:sz w:val="17"/>
              </w:rPr>
              <w:t>Portefeuille complet</w:t>
            </w:r>
          </w:p>
        </w:tc>
        <w:tc>
          <w:tcPr>
            <w:tcW w:type="dxa" w:w="1474"/>
          </w:tcPr>
          <w:p>
            <w:pPr>
              <w:spacing w:after="40"/>
            </w:pPr>
            <w:r/>
            <w:r>
              <w:rPr>
                <w:b w:val="0"/>
                <w:sz w:val="17"/>
              </w:rPr>
              <w:t>JSON</w:t>
            </w:r>
          </w:p>
        </w:tc>
        <w:tc>
          <w:tcPr>
            <w:tcW w:type="dxa" w:w="5046"/>
          </w:tcPr>
          <w:p>
            <w:pPr>
              <w:spacing w:after="40"/>
            </w:pPr>
            <w:r/>
            <w:r>
              <w:rPr>
                <w:b w:val="0"/>
                <w:sz w:val="17"/>
              </w:rPr>
              <w:t>Sauvegarde de tous les projets de l'instance dans un fichier unique</w:t>
            </w:r>
          </w:p>
        </w:tc>
      </w:tr>
      <w:tr>
        <w:tc>
          <w:tcPr>
            <w:tcW w:type="dxa" w:w="2835"/>
          </w:tcPr>
          <w:p>
            <w:pPr>
              <w:spacing w:after="40"/>
            </w:pPr>
            <w:r/>
            <w:r>
              <w:rPr>
                <w:b/>
                <w:sz w:val="17"/>
              </w:rPr>
              <w:t>Projet au format d'import</w:t>
            </w:r>
          </w:p>
        </w:tc>
        <w:tc>
          <w:tcPr>
            <w:tcW w:type="dxa" w:w="1474"/>
          </w:tcPr>
          <w:p>
            <w:pPr>
              <w:spacing w:after="40"/>
            </w:pPr>
            <w:r/>
            <w:r>
              <w:rPr>
                <w:b w:val="0"/>
                <w:sz w:val="17"/>
              </w:rPr>
              <w:t>Excel</w:t>
            </w:r>
          </w:p>
        </w:tc>
        <w:tc>
          <w:tcPr>
            <w:tcW w:type="dxa" w:w="5046"/>
          </w:tcPr>
          <w:p>
            <w:pPr>
              <w:spacing w:after="40"/>
            </w:pPr>
            <w:r/>
            <w:r>
              <w:rPr>
                <w:b w:val="0"/>
                <w:sz w:val="17"/>
              </w:rPr>
              <w:t>Toutes les données du projet dans la structure du modèle d'import, retravaillable dans un tableur puis rechargeable</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coordonnées cartographiables dans Power BI ou un SIG, collecte par activité</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Cartographie</w:t>
      </w:r>
    </w:p>
    <w:p>
      <w:pPr>
        <w:jc w:val="both"/>
      </w:pPr>
      <w:r>
        <w:rPr>
          <w:i w:val="0"/>
          <w:sz w:val="21"/>
        </w:rPr>
        <w:t>La plateforme intègre une carte de couverture des zones d'intervention, décrite au chapitre 5.12. Pour une analyse cartographique plus poussée, les coordonnées de chaque zone sont exportées dans le classeur « Consolidation par zone » et exposées dans la table Dim_Zone du flux Power BI : le visuel Carte de Power BI, comme un système d'information géographique tel que QGIS, peut les exploiter directement, en les croisant avec les bénéficiaires atteints ou le taux de couverture.</w:t>
      </w:r>
    </w:p>
    <w:p>
      <w:pPr>
        <w:pStyle w:val="Heading2"/>
      </w:pPr>
      <w:r>
        <w:rPr>
          <w:color w:val="2E75B6"/>
          <w:sz w:val="26"/>
        </w:rPr>
        <w:t>10.5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10.6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de toutes les vues et téléchargement des livrables</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utilisateurs et des rôles</w:t>
            </w:r>
          </w:p>
        </w:tc>
      </w:tr>
    </w:tbl>
    <w:p/>
    <w:p>
      <w:pPr>
        <w:pStyle w:val="Heading2"/>
      </w:pPr>
      <w:r>
        <w:rPr>
          <w:color w:val="2E75B6"/>
          <w:sz w:val="26"/>
        </w:rPr>
        <w:t>11.2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11.3 Recommandations de mise en production</w:t>
      </w:r>
    </w:p>
    <w:p>
      <w:pPr>
        <w:pStyle w:val="ListBullet"/>
        <w:jc w:val="both"/>
      </w:pPr>
      <w:r>
        <w:rPr>
          <w:sz w:val="20"/>
        </w:rPr>
        <w:t>Modifier impérativement le mot de passe administrateur et la clé de signature des jetons avant toute mise en service.</w:t>
      </w:r>
    </w:p>
    <w:p>
      <w:pPr>
        <w:pStyle w:val="ListBullet"/>
        <w:jc w:val="both"/>
      </w:pPr>
      <w:r>
        <w:rPr>
          <w:sz w:val="20"/>
        </w:rPr>
        <w:t>Restreindre les origines autorisées au seul domaine de l'application, plutôt que de conserver la valeur permissive par défaut.</w:t>
      </w:r>
    </w:p>
    <w:p>
      <w:pPr>
        <w:pStyle w:val="ListBullet"/>
        <w:jc w:val="both"/>
      </w:pPr>
      <w:r>
        <w:rPr>
          <w:sz w:val="20"/>
        </w:rPr>
        <w:t>Ne pas diffuser les liens Power BI : ils incorporent un jeton portant les droits de l'utilisateur qui les a générés.</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son responsable et ses coordonnées géographiques — ces dernières conditionnent l'affichage de la carte de couverture. Cette étape commande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 et ordonnancer</w:t>
      </w:r>
    </w:p>
    <w:p>
      <w:pPr>
        <w:jc w:val="both"/>
      </w:pPr>
      <w:r>
        <w:rPr>
          <w:i w:val="0"/>
          <w:sz w:val="20"/>
        </w:rPr>
        <w:t>Créer les activités, en les rattachant aux produits du cadre logique, avec dates, responsables et coûts prévus. Marquer les jalons. Renseigner les antécédents de chaque activité : ils déclenchent le calcul du chemin critique, de la durée du projet et du réseau PERT. Vérifier ensuite l'organigramme des tâches et lancer la codification WBS.</w:t>
      </w:r>
    </w:p>
    <w:p>
      <w:pPr>
        <w:pStyle w:val="Heading3"/>
      </w:pPr>
      <w:r>
        <w:rPr>
          <w:color w:val="2E75B6"/>
          <w:sz w:val="22"/>
        </w:rPr>
        <w:t>Étape 7 — Établir la matrice des responsabilités</w:t>
      </w:r>
    </w:p>
    <w:p>
      <w:pPr>
        <w:jc w:val="both"/>
      </w:pPr>
      <w:r>
        <w:rPr>
          <w:i w:val="0"/>
          <w:sz w:val="20"/>
        </w:rPr>
        <w:t>Recenser les parties prenantes du projet dans l'onglet RACI, puis attribuer à chacune un rôle sur chaque activité : un seul approbateur, au moins un réalisateur. Traiter les anomalies signalées avant de soumettre la matrice au comité de pilotage.</w:t>
      </w:r>
    </w:p>
    <w:p>
      <w:pPr>
        <w:pStyle w:val="Heading3"/>
      </w:pPr>
      <w:r>
        <w:rPr>
          <w:color w:val="2E75B6"/>
          <w:sz w:val="22"/>
        </w:rPr>
        <w:t>Étape 8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9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10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11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12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13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14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valeur de développement</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sepia2024</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du projet de démonstration</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w:t>
            </w:r>
          </w:p>
        </w:tc>
        <w:tc>
          <w:tcPr>
            <w:tcW w:type="dxa" w:w="2268"/>
          </w:tcPr>
          <w:p>
            <w:pPr>
              <w:spacing w:after="40"/>
            </w:pPr>
            <w:r/>
            <w:r>
              <w:rPr>
                <w:b w:val="0"/>
                <w:sz w:val="19"/>
              </w:rPr>
              <w: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Carte à symboles proportionnels</w:t>
            </w:r>
          </w:p>
        </w:tc>
        <w:tc>
          <w:tcPr>
            <w:tcW w:type="dxa" w:w="7087"/>
          </w:tcPr>
          <w:p>
            <w:pPr>
              <w:spacing w:after="40"/>
            </w:pPr>
            <w:r/>
            <w:r>
              <w:rPr>
                <w:b w:val="0"/>
                <w:sz w:val="18"/>
              </w:rPr>
              <w:t>Carte où la surface du symbole représente une quantité et sa couleur une intensité relative</w:t>
            </w:r>
          </w:p>
        </w:tc>
      </w:tr>
      <w:tr>
        <w:tc>
          <w:tcPr>
            <w:tcW w:type="dxa" w:w="2268"/>
          </w:tcPr>
          <w:p>
            <w:pPr>
              <w:spacing w:after="40"/>
            </w:pPr>
            <w:r/>
            <w:r>
              <w:rPr>
                <w:b w:val="0"/>
                <w:sz w:val="18"/>
              </w:rPr>
              <w:t>Graticule</w:t>
            </w:r>
          </w:p>
        </w:tc>
        <w:tc>
          <w:tcPr>
            <w:tcW w:type="dxa" w:w="7087"/>
          </w:tcPr>
          <w:p>
            <w:pPr>
              <w:spacing w:after="40"/>
            </w:pPr>
            <w:r/>
            <w:r>
              <w:rPr>
                <w:b w:val="0"/>
                <w:sz w:val="18"/>
              </w:rPr>
              <w:t>Réseau des lignes de latitude et de longitude servant de repère géographique sur une carte</w:t>
            </w:r>
          </w:p>
        </w:tc>
      </w:tr>
      <w:tr>
        <w:tc>
          <w:tcPr>
            <w:tcW w:type="dxa" w:w="2268"/>
          </w:tcPr>
          <w:p>
            <w:pPr>
              <w:spacing w:after="40"/>
            </w:pPr>
            <w:r/>
            <w:r>
              <w:rPr>
                <w:b w:val="0"/>
                <w:sz w:val="18"/>
              </w:rPr>
              <w:t>Chemin critique</w:t>
            </w:r>
          </w:p>
        </w:tc>
        <w:tc>
          <w:tcPr>
            <w:tcW w:type="dxa" w:w="7087"/>
          </w:tcPr>
          <w:p>
            <w:pPr>
              <w:spacing w:after="40"/>
            </w:pPr>
            <w:r/>
            <w:r>
              <w:rPr>
                <w:b w:val="0"/>
                <w:sz w:val="18"/>
              </w:rPr>
              <w:t>Séquence continue d'activités sans marge : tout retard sur l'une d'elles décale la fin du projet</w:t>
            </w:r>
          </w:p>
        </w:tc>
      </w:tr>
      <w:tr>
        <w:tc>
          <w:tcPr>
            <w:tcW w:type="dxa" w:w="2268"/>
          </w:tcPr>
          <w:p>
            <w:pPr>
              <w:spacing w:after="40"/>
            </w:pPr>
            <w:r/>
            <w:r>
              <w:rPr>
                <w:b w:val="0"/>
                <w:sz w:val="18"/>
              </w:rPr>
              <w:t>Marge totale</w:t>
            </w:r>
          </w:p>
        </w:tc>
        <w:tc>
          <w:tcPr>
            <w:tcW w:type="dxa" w:w="7087"/>
          </w:tcPr>
          <w:p>
            <w:pPr>
              <w:spacing w:after="40"/>
            </w:pPr>
            <w:r/>
            <w:r>
              <w:rPr>
                <w:b w:val="0"/>
                <w:sz w:val="18"/>
              </w:rPr>
              <w:t>Retard admissible sur une activité sans décaler l'achèvement du projet</w:t>
            </w:r>
          </w:p>
        </w:tc>
      </w:tr>
      <w:tr>
        <w:tc>
          <w:tcPr>
            <w:tcW w:type="dxa" w:w="2268"/>
          </w:tcPr>
          <w:p>
            <w:pPr>
              <w:spacing w:after="40"/>
            </w:pPr>
            <w:r/>
            <w:r>
              <w:rPr>
                <w:b w:val="0"/>
                <w:sz w:val="18"/>
              </w:rPr>
              <w:t>Marge libre</w:t>
            </w:r>
          </w:p>
        </w:tc>
        <w:tc>
          <w:tcPr>
            <w:tcW w:type="dxa" w:w="7087"/>
          </w:tcPr>
          <w:p>
            <w:pPr>
              <w:spacing w:after="40"/>
            </w:pPr>
            <w:r/>
            <w:r>
              <w:rPr>
                <w:b w:val="0"/>
                <w:sz w:val="18"/>
              </w:rPr>
              <w:t>Retard admissible sans décaler l'activité suivante</w:t>
            </w:r>
          </w:p>
        </w:tc>
      </w:tr>
      <w:tr>
        <w:tc>
          <w:tcPr>
            <w:tcW w:type="dxa" w:w="2268"/>
          </w:tcPr>
          <w:p>
            <w:pPr>
              <w:spacing w:after="40"/>
            </w:pPr>
            <w:r/>
            <w:r>
              <w:rPr>
                <w:b w:val="0"/>
                <w:sz w:val="18"/>
              </w:rPr>
              <w:t>PERT</w:t>
            </w:r>
          </w:p>
        </w:tc>
        <w:tc>
          <w:tcPr>
            <w:tcW w:type="dxa" w:w="7087"/>
          </w:tcPr>
          <w:p>
            <w:pPr>
              <w:spacing w:after="40"/>
            </w:pPr>
            <w:r/>
            <w:r>
              <w:rPr>
                <w:b w:val="0"/>
                <w:sz w:val="18"/>
              </w:rPr>
              <w:t>Program Evaluation and Review Technique : représentation en réseau des activités et de leurs antécédences</w:t>
            </w:r>
          </w:p>
        </w:tc>
      </w:tr>
      <w:tr>
        <w:tc>
          <w:tcPr>
            <w:tcW w:type="dxa" w:w="2268"/>
          </w:tcPr>
          <w:p>
            <w:pPr>
              <w:spacing w:after="40"/>
            </w:pPr>
            <w:r/>
            <w:r>
              <w:rPr>
                <w:b w:val="0"/>
                <w:sz w:val="18"/>
              </w:rPr>
              <w:t>WBS</w:t>
            </w:r>
          </w:p>
        </w:tc>
        <w:tc>
          <w:tcPr>
            <w:tcW w:type="dxa" w:w="7087"/>
          </w:tcPr>
          <w:p>
            <w:pPr>
              <w:spacing w:after="40"/>
            </w:pPr>
            <w:r/>
            <w:r>
              <w:rPr>
                <w:b w:val="0"/>
                <w:sz w:val="18"/>
              </w:rPr>
              <w:t>Work Breakdown Structure, organigramme des tâches : décomposition hiérarchique du projet en lots de travail</w:t>
            </w:r>
          </w:p>
        </w:tc>
      </w:tr>
      <w:tr>
        <w:tc>
          <w:tcPr>
            <w:tcW w:type="dxa" w:w="2268"/>
          </w:tcPr>
          <w:p>
            <w:pPr>
              <w:spacing w:after="40"/>
            </w:pPr>
            <w:r/>
            <w:r>
              <w:rPr>
                <w:b w:val="0"/>
                <w:sz w:val="18"/>
              </w:rPr>
              <w:t>Lot de travail</w:t>
            </w:r>
          </w:p>
        </w:tc>
        <w:tc>
          <w:tcPr>
            <w:tcW w:type="dxa" w:w="7087"/>
          </w:tcPr>
          <w:p>
            <w:pPr>
              <w:spacing w:after="40"/>
            </w:pPr>
            <w:r/>
            <w:r>
              <w:rPr>
                <w:b w:val="0"/>
                <w:sz w:val="18"/>
              </w:rPr>
              <w:t>Élément élémentaire du WBS, doté d'un livrable, d'un responsable, d'une durée et d'un coût</w:t>
            </w:r>
          </w:p>
        </w:tc>
      </w:tr>
      <w:tr>
        <w:tc>
          <w:tcPr>
            <w:tcW w:type="dxa" w:w="2268"/>
          </w:tcPr>
          <w:p>
            <w:pPr>
              <w:spacing w:after="40"/>
            </w:pPr>
            <w:r/>
            <w:r>
              <w:rPr>
                <w:b w:val="0"/>
                <w:sz w:val="18"/>
              </w:rPr>
              <w:t>RACI</w:t>
            </w:r>
          </w:p>
        </w:tc>
        <w:tc>
          <w:tcPr>
            <w:tcW w:type="dxa" w:w="7087"/>
          </w:tcPr>
          <w:p>
            <w:pPr>
              <w:spacing w:after="40"/>
            </w:pPr>
            <w:r/>
            <w:r>
              <w:rPr>
                <w:b w:val="0"/>
                <w:sz w:val="18"/>
              </w:rPr>
              <w:t>Matrice des responsabilités : qui réalise (R), approuve (A), est consulté (C) et est informé (I)</w:t>
            </w:r>
          </w:p>
        </w:tc>
      </w:tr>
      <w:tr>
        <w:tc>
          <w:tcPr>
            <w:tcW w:type="dxa" w:w="2268"/>
          </w:tcPr>
          <w:p>
            <w:pPr>
              <w:spacing w:after="40"/>
            </w:pPr>
            <w:r/>
            <w:r>
              <w:rPr>
                <w:b w:val="0"/>
                <w:sz w:val="18"/>
              </w:rPr>
              <w:t>Indicateur de processus</w:t>
            </w:r>
          </w:p>
        </w:tc>
        <w:tc>
          <w:tcPr>
            <w:tcW w:type="dxa" w:w="7087"/>
          </w:tcPr>
          <w:p>
            <w:pPr>
              <w:spacing w:after="40"/>
            </w:pPr>
            <w:r/>
            <w:r>
              <w:rPr>
                <w:b w:val="0"/>
                <w:sz w:val="18"/>
              </w:rPr>
              <w:t>Indicateur mesurant la conduite de l'action (exécution, délais, participation) plutôt que le changement produit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Quinze entités du modèle de données</w:t>
      </w:r>
    </w:p>
    <w:p>
      <w:pPr>
        <w:spacing w:after="0"/>
        <w:ind w:left="340"/>
      </w:pPr>
      <w:r>
        <w:rPr>
          <w:rFonts w:ascii="Consolas" w:hAnsi="Consolas"/>
          <w:color w:val="1F2933"/>
          <w:sz w:val="17"/>
        </w:rPr>
        <w:t>│   ├── security.py              Authentification et contrôle d'accès</w:t>
      </w:r>
    </w:p>
    <w:p>
      <w:pPr>
        <w:spacing w:after="0"/>
        <w:ind w:left="340"/>
      </w:pPr>
      <w:r>
        <w:rPr>
          <w:rFonts w:ascii="Consolas" w:hAnsi="Consolas"/>
          <w:color w:val="1F2933"/>
          <w:sz w:val="17"/>
        </w:rPr>
        <w:t>│   ├── crud.py                  Fabrique de routeurs CRUD</w:t>
      </w:r>
    </w:p>
    <w:p>
      <w:pPr>
        <w:spacing w:after="0"/>
        <w:ind w:left="340"/>
      </w:pPr>
      <w:r>
        <w:rPr>
          <w:rFonts w:ascii="Consolas" w:hAnsi="Consolas"/>
          <w:color w:val="1F2933"/>
          <w:sz w:val="17"/>
        </w:rPr>
        <w:t>│   ├── seed.py                  Projet de démonstration</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planning.py          Chemin critique, PERT, courbe en S, WBS, RACI</w:t>
      </w:r>
    </w:p>
    <w:p>
      <w:pPr>
        <w:spacing w:after="0"/>
        <w:ind w:left="340"/>
      </w:pPr>
      <w:r>
        <w:rPr>
          <w:rFonts w:ascii="Consolas" w:hAnsi="Consolas"/>
          <w:color w:val="1F2933"/>
          <w:sz w:val="17"/>
        </w:rPr>
        <w:t>│       ├── portability.py       Export et import JSON (projet, portefeuille)</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Quatorze vues fonctionnelles</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scripts/generer_documentation.py</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Nature des indicateurs</w:t>
            </w:r>
          </w:p>
        </w:tc>
        <w:tc>
          <w:tcPr>
            <w:tcW w:type="dxa" w:w="6803"/>
          </w:tcPr>
          <w:p>
            <w:pPr>
              <w:spacing w:after="40"/>
            </w:pPr>
            <w:r/>
            <w:r>
              <w:rPr>
                <w:b w:val="0"/>
                <w:sz w:val="18"/>
              </w:rPr>
              <w:t>Résultat, processus</w:t>
            </w:r>
          </w:p>
        </w:tc>
      </w:tr>
      <w:tr>
        <w:tc>
          <w:tcPr>
            <w:tcW w:type="dxa" w:w="2551"/>
          </w:tcPr>
          <w:p>
            <w:pPr>
              <w:spacing w:after="40"/>
            </w:pPr>
            <w:r/>
            <w:r>
              <w:rPr>
                <w:b w:val="0"/>
                <w:sz w:val="18"/>
              </w:rPr>
              <w:t>Rôles RACI</w:t>
            </w:r>
          </w:p>
        </w:tc>
        <w:tc>
          <w:tcPr>
            <w:tcW w:type="dxa" w:w="6803"/>
          </w:tcPr>
          <w:p>
            <w:pPr>
              <w:spacing w:after="40"/>
            </w:pPr>
            <w:r/>
            <w:r>
              <w:rPr>
                <w:b w:val="0"/>
                <w:sz w:val="18"/>
              </w:rPr>
              <w:t>R (réalise), A (approuve), C (consulté), I (informé)</w:t>
            </w:r>
          </w:p>
        </w:tc>
      </w:tr>
      <w:tr>
        <w:tc>
          <w:tcPr>
            <w:tcW w:type="dxa" w:w="2551"/>
          </w:tcPr>
          <w:p>
            <w:pPr>
              <w:spacing w:after="40"/>
            </w:pPr>
            <w:r/>
            <w:r>
              <w:rPr>
                <w:b w:val="0"/>
                <w:sz w:val="18"/>
              </w:rPr>
              <w:t>Catégories de parties prenantes</w:t>
            </w:r>
          </w:p>
        </w:tc>
        <w:tc>
          <w:tcPr>
            <w:tcW w:type="dxa" w:w="6803"/>
          </w:tcPr>
          <w:p>
            <w:pPr>
              <w:spacing w:after="40"/>
            </w:pPr>
            <w:r/>
            <w:r>
              <w:rPr>
                <w:b w:val="0"/>
                <w:sz w:val="18"/>
              </w:rPr>
              <w:t>Interne, tutelle, partenaire d'exécution, prestataire, bailleur, bénéficiaire, collectivité</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15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