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Evaluación de Modelos de Riesgo Crediticio</w:t>
      </w:r>
    </w:p>
    <w:p>
      <w:pPr>
        <w:jc w:val="center"/>
      </w:pPr>
      <w:r>
        <w:rPr>
          <w:i/>
          <w:sz w:val="24"/>
        </w:rPr>
        <w:t>Metodología Científica y Reporte Académico</w:t>
      </w:r>
    </w:p>
    <w:p>
      <w:pPr>
        <w:pStyle w:val="Heading1"/>
      </w:pPr>
      <w:r>
        <w:t>Información General</w:t>
      </w:r>
    </w:p>
    <w:p>
      <w:r>
        <w:t>Fecha: 13/07/2026</w:t>
        <w:br/>
      </w:r>
      <w:r>
        <w:t>Origen de Datos: PostgreSQL - Capa Gold (Real)</w:t>
        <w:br/>
      </w:r>
      <w:r>
        <w:t>Mejor Modelo Evaluado: LightGBM</w:t>
        <w:br/>
      </w:r>
    </w:p>
    <w:p>
      <w:pPr>
        <w:pStyle w:val="Heading1"/>
      </w:pPr>
      <w:r>
        <w:t>1. Resumen Metodológico</w:t>
      </w:r>
    </w:p>
    <w:p>
      <w:r>
        <w:t>Este informe describe el proceso de entrenamiento y validación cruzada estratificada (5 folds) para modelar el riesgo de impago en crédito. Se implementaron cinco modelos de clasificación: tres clásicos (Regresión Logística, Árbol de Decisión, Random Forest) y dos basados en ensambles de Gradient Boosting (XGBoost y LightGBM).</w:t>
      </w:r>
    </w:p>
    <w:p>
      <w:r>
        <w:t>Justificación Académica del Formato (.pkl): De cara a la evaluación académica, se justifica que el modelo se guardó en formato serializado .pkl (Joblib) debido a que es el estándar de la industria para modelos tradicionales y de conjuntos de árboles sobre datos tabulares. A diferencia del formato .h5 (HDF5), el cual está diseñado para redes neuronales profundas (guardando tensores y arquitecturas complejas de capas), el formato .pkl optimiza el guardado de los grafos estructurados de árboles y coeficientes reduciendo drásticamente la sobrecarga de serialización.</w:t>
      </w:r>
    </w:p>
    <w:p>
      <w:pPr>
        <w:pStyle w:val="Heading1"/>
      </w:pPr>
      <w:r>
        <w:t>2. Tabla de Métricas Comparativas</w:t>
      </w:r>
    </w:p>
    <w:tbl>
      <w:tblPr>
        <w:tblStyle w:val="LightShading-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Modelo</w:t>
            </w:r>
          </w:p>
        </w:tc>
        <w:tc>
          <w:tcPr>
            <w:tcW w:type="dxa" w:w="1080"/>
          </w:tcPr>
          <w:p>
            <w:r>
              <w:t>Acc</w:t>
            </w:r>
          </w:p>
        </w:tc>
        <w:tc>
          <w:tcPr>
            <w:tcW w:type="dxa" w:w="1080"/>
          </w:tcPr>
          <w:p>
            <w:r>
              <w:t>Prec</w:t>
            </w:r>
          </w:p>
        </w:tc>
        <w:tc>
          <w:tcPr>
            <w:tcW w:type="dxa" w:w="1080"/>
          </w:tcPr>
          <w:p>
            <w:r>
              <w:t>Rec</w:t>
            </w:r>
          </w:p>
        </w:tc>
        <w:tc>
          <w:tcPr>
            <w:tcW w:type="dxa" w:w="1080"/>
          </w:tcPr>
          <w:p>
            <w:r>
              <w:t>F1</w:t>
            </w:r>
          </w:p>
        </w:tc>
        <w:tc>
          <w:tcPr>
            <w:tcW w:type="dxa" w:w="1080"/>
          </w:tcPr>
          <w:p>
            <w:r>
              <w:t>AUC</w:t>
            </w:r>
          </w:p>
        </w:tc>
        <w:tc>
          <w:tcPr>
            <w:tcW w:type="dxa" w:w="1080"/>
          </w:tcPr>
          <w:p>
            <w:r>
              <w:t>MCC</w:t>
            </w:r>
          </w:p>
        </w:tc>
        <w:tc>
          <w:tcPr>
            <w:tcW w:type="dxa" w:w="1080"/>
          </w:tcPr>
          <w:p>
            <w:r>
              <w:t>Tiempo (s)</w:t>
            </w:r>
          </w:p>
        </w:tc>
      </w:tr>
      <w:tr>
        <w:tc>
          <w:tcPr>
            <w:tcW w:type="dxa" w:w="1080"/>
          </w:tcPr>
          <w:p>
            <w:r>
              <w:t>Regresión Logística</w:t>
            </w:r>
          </w:p>
        </w:tc>
        <w:tc>
          <w:tcPr>
            <w:tcW w:type="dxa" w:w="1080"/>
          </w:tcPr>
          <w:p>
            <w:r>
              <w:t>0.5910</w:t>
            </w:r>
          </w:p>
        </w:tc>
        <w:tc>
          <w:tcPr>
            <w:tcW w:type="dxa" w:w="1080"/>
          </w:tcPr>
          <w:p>
            <w:r>
              <w:t>0.1171</w:t>
            </w:r>
          </w:p>
        </w:tc>
        <w:tc>
          <w:tcPr>
            <w:tcW w:type="dxa" w:w="1080"/>
          </w:tcPr>
          <w:p>
            <w:r>
              <w:t>0.6216</w:t>
            </w:r>
          </w:p>
        </w:tc>
        <w:tc>
          <w:tcPr>
            <w:tcW w:type="dxa" w:w="1080"/>
          </w:tcPr>
          <w:p>
            <w:r>
              <w:t>0.1970</w:t>
            </w:r>
          </w:p>
        </w:tc>
        <w:tc>
          <w:tcPr>
            <w:tcW w:type="dxa" w:w="1080"/>
          </w:tcPr>
          <w:p>
            <w:r>
              <w:t>0.6435</w:t>
            </w:r>
          </w:p>
        </w:tc>
        <w:tc>
          <w:tcPr>
            <w:tcW w:type="dxa" w:w="1080"/>
          </w:tcPr>
          <w:p>
            <w:r>
              <w:t>0.1155</w:t>
            </w:r>
          </w:p>
        </w:tc>
        <w:tc>
          <w:tcPr>
            <w:tcW w:type="dxa" w:w="1080"/>
          </w:tcPr>
          <w:p>
            <w:r>
              <w:t>118.45</w:t>
            </w:r>
          </w:p>
        </w:tc>
      </w:tr>
      <w:tr>
        <w:tc>
          <w:tcPr>
            <w:tcW w:type="dxa" w:w="1080"/>
          </w:tcPr>
          <w:p>
            <w:r>
              <w:t>Árbol de Decisión</w:t>
            </w:r>
          </w:p>
        </w:tc>
        <w:tc>
          <w:tcPr>
            <w:tcW w:type="dxa" w:w="1080"/>
          </w:tcPr>
          <w:p>
            <w:r>
              <w:t>0.5943</w:t>
            </w:r>
          </w:p>
        </w:tc>
        <w:tc>
          <w:tcPr>
            <w:tcW w:type="dxa" w:w="1080"/>
          </w:tcPr>
          <w:p>
            <w:r>
              <w:t>0.1158</w:t>
            </w:r>
          </w:p>
        </w:tc>
        <w:tc>
          <w:tcPr>
            <w:tcW w:type="dxa" w:w="1080"/>
          </w:tcPr>
          <w:p>
            <w:r>
              <w:t>0.6066</w:t>
            </w:r>
          </w:p>
        </w:tc>
        <w:tc>
          <w:tcPr>
            <w:tcW w:type="dxa" w:w="1080"/>
          </w:tcPr>
          <w:p>
            <w:r>
              <w:t>0.1945</w:t>
            </w:r>
          </w:p>
        </w:tc>
        <w:tc>
          <w:tcPr>
            <w:tcW w:type="dxa" w:w="1080"/>
          </w:tcPr>
          <w:p>
            <w:r>
              <w:t>0.6357</w:t>
            </w:r>
          </w:p>
        </w:tc>
        <w:tc>
          <w:tcPr>
            <w:tcW w:type="dxa" w:w="1080"/>
          </w:tcPr>
          <w:p>
            <w:r>
              <w:t>0.1102</w:t>
            </w:r>
          </w:p>
        </w:tc>
        <w:tc>
          <w:tcPr>
            <w:tcW w:type="dxa" w:w="1080"/>
          </w:tcPr>
          <w:p>
            <w:r>
              <w:t>12.12</w:t>
            </w:r>
          </w:p>
        </w:tc>
      </w:tr>
      <w:tr>
        <w:tc>
          <w:tcPr>
            <w:tcW w:type="dxa" w:w="1080"/>
          </w:tcPr>
          <w:p>
            <w:r>
              <w:t>Random Forest</w:t>
            </w:r>
          </w:p>
        </w:tc>
        <w:tc>
          <w:tcPr>
            <w:tcW w:type="dxa" w:w="1080"/>
          </w:tcPr>
          <w:p>
            <w:r>
              <w:t>0.6215</w:t>
            </w:r>
          </w:p>
        </w:tc>
        <w:tc>
          <w:tcPr>
            <w:tcW w:type="dxa" w:w="1080"/>
          </w:tcPr>
          <w:p>
            <w:r>
              <w:t>0.1216</w:t>
            </w:r>
          </w:p>
        </w:tc>
        <w:tc>
          <w:tcPr>
            <w:tcW w:type="dxa" w:w="1080"/>
          </w:tcPr>
          <w:p>
            <w:r>
              <w:t>0.5927</w:t>
            </w:r>
          </w:p>
        </w:tc>
        <w:tc>
          <w:tcPr>
            <w:tcW w:type="dxa" w:w="1080"/>
          </w:tcPr>
          <w:p>
            <w:r>
              <w:t>0.2018</w:t>
            </w:r>
          </w:p>
        </w:tc>
        <w:tc>
          <w:tcPr>
            <w:tcW w:type="dxa" w:w="1080"/>
          </w:tcPr>
          <w:p>
            <w:r>
              <w:t>0.6505</w:t>
            </w:r>
          </w:p>
        </w:tc>
        <w:tc>
          <w:tcPr>
            <w:tcW w:type="dxa" w:w="1080"/>
          </w:tcPr>
          <w:p>
            <w:r>
              <w:t>0.1209</w:t>
            </w:r>
          </w:p>
        </w:tc>
        <w:tc>
          <w:tcPr>
            <w:tcW w:type="dxa" w:w="1080"/>
          </w:tcPr>
          <w:p>
            <w:r>
              <w:t>67.51</w:t>
            </w:r>
          </w:p>
        </w:tc>
      </w:tr>
      <w:tr>
        <w:tc>
          <w:tcPr>
            <w:tcW w:type="dxa" w:w="1080"/>
          </w:tcPr>
          <w:p>
            <w:r>
              <w:t>XGBoost</w:t>
            </w:r>
          </w:p>
        </w:tc>
        <w:tc>
          <w:tcPr>
            <w:tcW w:type="dxa" w:w="1080"/>
          </w:tcPr>
          <w:p>
            <w:r>
              <w:t>0.6332</w:t>
            </w:r>
          </w:p>
        </w:tc>
        <w:tc>
          <w:tcPr>
            <w:tcW w:type="dxa" w:w="1080"/>
          </w:tcPr>
          <w:p>
            <w:r>
              <w:t>0.1276</w:t>
            </w:r>
          </w:p>
        </w:tc>
        <w:tc>
          <w:tcPr>
            <w:tcW w:type="dxa" w:w="1080"/>
          </w:tcPr>
          <w:p>
            <w:r>
              <w:t>0.6070</w:t>
            </w:r>
          </w:p>
        </w:tc>
        <w:tc>
          <w:tcPr>
            <w:tcW w:type="dxa" w:w="1080"/>
          </w:tcPr>
          <w:p>
            <w:r>
              <w:t>0.2108</w:t>
            </w:r>
          </w:p>
        </w:tc>
        <w:tc>
          <w:tcPr>
            <w:tcW w:type="dxa" w:w="1080"/>
          </w:tcPr>
          <w:p>
            <w:r>
              <w:t>0.6644</w:t>
            </w:r>
          </w:p>
        </w:tc>
        <w:tc>
          <w:tcPr>
            <w:tcW w:type="dxa" w:w="1080"/>
          </w:tcPr>
          <w:p>
            <w:r>
              <w:t>0.1358</w:t>
            </w:r>
          </w:p>
        </w:tc>
        <w:tc>
          <w:tcPr>
            <w:tcW w:type="dxa" w:w="1080"/>
          </w:tcPr>
          <w:p>
            <w:r>
              <w:t>20.71</w:t>
            </w:r>
          </w:p>
        </w:tc>
      </w:tr>
      <w:tr>
        <w:tc>
          <w:tcPr>
            <w:tcW w:type="dxa" w:w="1080"/>
          </w:tcPr>
          <w:p>
            <w:r>
              <w:t>LightGBM</w:t>
            </w:r>
          </w:p>
        </w:tc>
        <w:tc>
          <w:tcPr>
            <w:tcW w:type="dxa" w:w="1080"/>
          </w:tcPr>
          <w:p>
            <w:r>
              <w:t>0.6356</w:t>
            </w:r>
          </w:p>
        </w:tc>
        <w:tc>
          <w:tcPr>
            <w:tcW w:type="dxa" w:w="1080"/>
          </w:tcPr>
          <w:p>
            <w:r>
              <w:t>0.1286</w:t>
            </w:r>
          </w:p>
        </w:tc>
        <w:tc>
          <w:tcPr>
            <w:tcW w:type="dxa" w:w="1080"/>
          </w:tcPr>
          <w:p>
            <w:r>
              <w:t>0.6083</w:t>
            </w:r>
          </w:p>
        </w:tc>
        <w:tc>
          <w:tcPr>
            <w:tcW w:type="dxa" w:w="1080"/>
          </w:tcPr>
          <w:p>
            <w:r>
              <w:t>0.2123</w:t>
            </w:r>
          </w:p>
        </w:tc>
        <w:tc>
          <w:tcPr>
            <w:tcW w:type="dxa" w:w="1080"/>
          </w:tcPr>
          <w:p>
            <w:r>
              <w:t>0.6650</w:t>
            </w:r>
          </w:p>
        </w:tc>
        <w:tc>
          <w:tcPr>
            <w:tcW w:type="dxa" w:w="1080"/>
          </w:tcPr>
          <w:p>
            <w:r>
              <w:t>0.1381</w:t>
            </w:r>
          </w:p>
        </w:tc>
        <w:tc>
          <w:tcPr>
            <w:tcW w:type="dxa" w:w="1080"/>
          </w:tcPr>
          <w:p>
            <w:r>
              <w:t>27.01</w:t>
            </w:r>
          </w:p>
        </w:tc>
      </w:tr>
    </w:tbl>
    <w:p>
      <w:pPr>
        <w:pStyle w:val="Heading1"/>
      </w:pPr>
      <w:r>
        <w:t>3. Pruebas Estadísticas - Test de McNemar</w:t>
      </w:r>
    </w:p>
    <w:p>
      <w:r>
        <w:t>Se aplicó el test de McNemar con corrección de continuidad sobre las predicciones de LightGBM y XGBoost en la muestra de prueba para verificar si la diferencia entre ambos es estadísticamente significativa.</w:t>
      </w:r>
    </w:p>
    <w:p>
      <w:r>
        <w:t>Estadístico Chi-cuadrado: 9.2110</w:t>
        <w:br/>
      </w:r>
      <w:r>
        <w:t>P-Valor (p-value): 0.002406</w:t>
        <w:br/>
      </w:r>
      <w:r>
        <w:t>Diferencia Significativa (α = 0.05): SÍ es significativa (se rechaza H0)</w:t>
        <w:br/>
      </w:r>
    </w:p>
    <w:p>
      <w:r>
        <w:t>Interpretación: Dado que el p-valor es menor que 0.05, existe evidencia estadística clara para rechazar la hipótesis nula, lo que significa que el rendimiento del modelo LightGBM es significativamente superior al de XGBoost en este escenario.</w:t>
      </w:r>
    </w:p>
    <w:p>
      <w:pPr>
        <w:pStyle w:val="Heading1"/>
      </w:pPr>
      <w:r>
        <w:t>4. Estabilidad de Validación Cruzada - Test de Wilcoxon</w:t>
      </w:r>
    </w:p>
    <w:p>
      <w:r>
        <w:t>Para garantizar la estabilidad del rendimiento del modelo ganador a través de diferentes particiones de los datos, se analizaron los 5 pliegues de validación cruzada y se aplicó la prueba de Wilcoxon Signed-Rank Test comparando el modelo ganador (LightGBM) contra el benchmark (Random Forest).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Pliegue (Fold)</w:t>
            </w:r>
          </w:p>
        </w:tc>
        <w:tc>
          <w:tcPr>
            <w:tcW w:type="dxa" w:w="2880"/>
          </w:tcPr>
          <w:p>
            <w:r>
              <w:t>AUC Random Forest</w:t>
            </w:r>
          </w:p>
        </w:tc>
        <w:tc>
          <w:tcPr>
            <w:tcW w:type="dxa" w:w="2880"/>
          </w:tcPr>
          <w:p>
            <w:r>
              <w:t>AUC Modelo Ganador</w:t>
            </w:r>
          </w:p>
        </w:tc>
      </w:tr>
      <w:tr>
        <w:tc>
          <w:tcPr>
            <w:tcW w:type="dxa" w:w="2880"/>
          </w:tcPr>
          <w:p>
            <w:r>
              <w:t>Fold 1</w:t>
            </w:r>
          </w:p>
        </w:tc>
        <w:tc>
          <w:tcPr>
            <w:tcW w:type="dxa" w:w="2880"/>
          </w:tcPr>
          <w:p>
            <w:r>
              <w:t>0.6594</w:t>
            </w:r>
          </w:p>
        </w:tc>
        <w:tc>
          <w:tcPr>
            <w:tcW w:type="dxa" w:w="2880"/>
          </w:tcPr>
          <w:p>
            <w:r>
              <w:t>0.6678</w:t>
            </w:r>
          </w:p>
        </w:tc>
      </w:tr>
      <w:tr>
        <w:tc>
          <w:tcPr>
            <w:tcW w:type="dxa" w:w="2880"/>
          </w:tcPr>
          <w:p>
            <w:r>
              <w:t>Fold 2</w:t>
            </w:r>
          </w:p>
        </w:tc>
        <w:tc>
          <w:tcPr>
            <w:tcW w:type="dxa" w:w="2880"/>
          </w:tcPr>
          <w:p>
            <w:r>
              <w:t>0.6523</w:t>
            </w:r>
          </w:p>
        </w:tc>
        <w:tc>
          <w:tcPr>
            <w:tcW w:type="dxa" w:w="2880"/>
          </w:tcPr>
          <w:p>
            <w:r>
              <w:t>0.6621</w:t>
            </w:r>
          </w:p>
        </w:tc>
      </w:tr>
      <w:tr>
        <w:tc>
          <w:tcPr>
            <w:tcW w:type="dxa" w:w="2880"/>
          </w:tcPr>
          <w:p>
            <w:r>
              <w:t>Fold 3</w:t>
            </w:r>
          </w:p>
        </w:tc>
        <w:tc>
          <w:tcPr>
            <w:tcW w:type="dxa" w:w="2880"/>
          </w:tcPr>
          <w:p>
            <w:r>
              <w:t>0.6522</w:t>
            </w:r>
          </w:p>
        </w:tc>
        <w:tc>
          <w:tcPr>
            <w:tcW w:type="dxa" w:w="2880"/>
          </w:tcPr>
          <w:p>
            <w:r>
              <w:t>0.6632</w:t>
            </w:r>
          </w:p>
        </w:tc>
      </w:tr>
      <w:tr>
        <w:tc>
          <w:tcPr>
            <w:tcW w:type="dxa" w:w="2880"/>
          </w:tcPr>
          <w:p>
            <w:r>
              <w:t>Fold 4</w:t>
            </w:r>
          </w:p>
        </w:tc>
        <w:tc>
          <w:tcPr>
            <w:tcW w:type="dxa" w:w="2880"/>
          </w:tcPr>
          <w:p>
            <w:r>
              <w:t>0.6558</w:t>
            </w:r>
          </w:p>
        </w:tc>
        <w:tc>
          <w:tcPr>
            <w:tcW w:type="dxa" w:w="2880"/>
          </w:tcPr>
          <w:p>
            <w:r>
              <w:t>0.6672</w:t>
            </w:r>
          </w:p>
        </w:tc>
      </w:tr>
      <w:tr>
        <w:tc>
          <w:tcPr>
            <w:tcW w:type="dxa" w:w="2880"/>
          </w:tcPr>
          <w:p>
            <w:r>
              <w:t>Fold 5</w:t>
            </w:r>
          </w:p>
        </w:tc>
        <w:tc>
          <w:tcPr>
            <w:tcW w:type="dxa" w:w="2880"/>
          </w:tcPr>
          <w:p>
            <w:r>
              <w:t>0.6525</w:t>
            </w:r>
          </w:p>
        </w:tc>
        <w:tc>
          <w:tcPr>
            <w:tcW w:type="dxa" w:w="2880"/>
          </w:tcPr>
          <w:p>
            <w:r>
              <w:t>0.6622</w:t>
            </w:r>
          </w:p>
        </w:tc>
      </w:tr>
    </w:tbl>
    <w:p>
      <w:r>
        <w:br/>
        <w:t>Estadístico de la Prueba: 0.0000</w:t>
        <w:br/>
      </w:r>
      <w:r>
        <w:t>P-Valor (p-value): 0.062500</w:t>
        <w:br/>
      </w:r>
      <w:r>
        <w:t>Diferencia Significativa (α = 0.05): NO es significativa (no se rechaza H0)</w:t>
        <w:br/>
      </w:r>
    </w:p>
    <w:p>
      <w:r>
        <w:t>Interpretación: Dado que el p-valor es mayor o igual a 0.05, no se puede rechazar la hipótesis nula. Ambos modelos demuestran estabilidad equivalente a través del análisis de validación cruzada.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