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NACIONAL AUTÓNOMA DE MÉXICO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FACULTAD DE INGENIERÍA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Diplomado Infraestructura en Tecnologías de la Información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Profesor: Daniel Guerrero Ramirez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Análisis de Vulnerabilidades y Auditoría de Seguridad en Kubernetes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Equipo 1: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Gaytan Herrera Belen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Pajarito Vargas Antonio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Avila Laguna Ricardo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Resumen ejecutivo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 el siguiente documento se reflejan los resultados de las pruebas de auditoría de seguridad así como los análisis de vulnerabilidades aplicados sobre un cluster de kubernetes.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Las herramientas utilizadas son: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kube-benh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kube-hunter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Adicionalmente se realiza un esquema de observabilidad con las herramientas: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Loki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Definición del análisis y herramientas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Kube-bench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 una herramienta de diagnóstico que verifica si Kubernetes está desplegado de forma segura mediante la ejecución de los controles definidos en el CIS Kubernetes Benchmark.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Realiza un escaneo del plano de control (Master) y los nodos (Workers) para encontrar configuraciones inseguras en los archivos de manifiesto, permisos de archivos y parámetros de los servicios de K8s.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 un escáner de seguridad integral y fácil de usar para contenedores y otros artefactos.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Detecta vulnerabilidades de software (CVE) en imágenes de contenedores, sistemas de archivos y repositorios de git. También analiza archivos de configuración (IaC) como tus archivos YAML para encontrar errores de seguridad antes del despliegue.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Kube-hunter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 una herramienta de pentesting diseñada para buscar debilidades de seguridad en clusters de Kubernetes.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diferencia de kube-bench (que es estático), kube-hunter simula ataques externos o internos para descubrir vulnerabilidades explotables, como puertos abiertos, servicios expuestos sin autenticación o malas configuraciones de 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 el estándar de facto para la detección de amenazas en tiempo real en entornos de ejecución (runtime) de Kubernetes y la nube.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Actúa como un "sistema de detección de intrusos" (IDS). Utiliza reglas para monitorear llamadas al sistema y alertar sobre comportamientos sospechosos, como el lanzamiento de una shell dentro de tu pod de Postgres o la lectura de archivos sensibles como /etc/shadow.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Auditoría de configuración del cluster (CIS Benchmark)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Tabla de resultados de análisis con kube-bench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215" w:tblpY="0"/>
        <w:tblW w:w="6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990"/>
        <w:gridCol w:w="1050"/>
        <w:gridCol w:w="945"/>
        <w:tblGridChange w:id="0">
          <w:tblGrid>
            <w:gridCol w:w="3480"/>
            <w:gridCol w:w="990"/>
            <w:gridCol w:w="1050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 Master Node Security Configuration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2. Etcd Node Configuration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3. Control Plane Configuration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4. Worker Node Security Configuration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5. Kubernetes Policies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Top hallazgos críticos encontrados.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960"/>
        <w:gridCol w:w="1290"/>
        <w:gridCol w:w="1800"/>
        <w:gridCol w:w="2250"/>
        <w:gridCol w:w="3330"/>
        <w:tblGridChange w:id="0">
          <w:tblGrid>
            <w:gridCol w:w="915"/>
            <w:gridCol w:w="960"/>
            <w:gridCol w:w="1290"/>
            <w:gridCol w:w="1800"/>
            <w:gridCol w:w="2250"/>
            <w:gridCol w:w="3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Sección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Subsección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Remediación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1.1.12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1.1 Archivos de Configuración del Nodo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propietario del directorio de datos de etcd sea etcd:etcd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En el nodo del servidor etcd, obtener el directorio de datos de etcd desde el argumento --data-dir ejecutando: 'ps -ef | grep etcd'.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Ejecutar el comando: chown etcd:etcd /var/lib/etcd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1.2.5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--kubelet-certificate-authority esté configurado correctamente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Consultar la documentación de Kubernetes para configurar la conexión TLS entre el apiserver y kubelets. Editar /etc/kubernetes/manifests/kube-apiserver.yaml y establecer: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--kubelet-certificate-authority=&lt;ca-string&gt;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1.2.15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--profiling esté configurado como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/etc/kubernetes/manifests/kube-apiserver.yaml y establecer: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--profiling=false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1.2.16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--audit-log-path esté configurado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/etc/kubernetes/manifests/kube-apiserver.yaml y establecer el parámetro --audit-log-path a una ruta válida: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--audit-log-path=/var/log/apiserver/audit.log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1.2.17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--audit-log-maxage esté configurado en 30 o el valor apropiado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/etc/kubernetes/manifests/kube-apiserver.yaml y establecer: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--audit-log-maxage=30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1.2.18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--audit-log-maxbackup esté configurado en 10 o el valor apropiado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/etc/kubernetes/manifests/kube-apiserver.yaml y establecer: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--audit-log-maxbackup=10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1.2.19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1.2 API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--audit-log-maxsize esté configurado en 100 o el valor apropiado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/etc/kubernetes/manifests/kube-apiserver.yaml y establecer: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--audit-log-maxsize=100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1.3 Controller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--profiling esté configurado como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/etc/kubernetes/manifests/kube-controller-manager.yaml y establecer: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--profiling=false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1 - Control Plane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1.4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Asegurar que el argumento --profiling esté configurado como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Editar /etc/kubernetes/manifests/kube-scheduler.yaml y establecer: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--profiling=false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4 - Worker Node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4.1 Archivos de Configuración del Worker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Asegurar que los permisos del archivo de servicio kubelet sean 600 o más restrictivos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Ejecutar en cada nodo worker: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chmod 600 /lib/systemd/system/kubelet.service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4.1.9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4 - Worker Node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4.1 Archivos de Configuración del Worker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 se usa el archivo de configuración kubelet config.yaml, validar que sus permisos sean 600 o más restrictivos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Ejecutar el siguiente comando: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chmod 600 /var/lib/kubelet/config.yaml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Análisis de vulnerabilidades en imágenes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 escanearon 3 imágenes dentro del cluster de Kubernetes: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postgres:15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redis:7.0.10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El resumen de los resultados de los análisis a esas imágenes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152400</wp:posOffset>
            </wp:positionV>
            <wp:extent cx="2457450" cy="386715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86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180975</wp:posOffset>
            </wp:positionV>
            <wp:extent cx="2257425" cy="38100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180975</wp:posOffset>
            </wp:positionV>
            <wp:extent cx="2228850" cy="38100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Pentesting del cluster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Las propuestas para de imagenes para solventar las vulnerabilidades identificadas son: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margin" w:horzAnchor="margin" w:tblpXSpec="center" w:tblpYSpec="bottom"/>
        <w:tblW w:w="41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5"/>
        <w:gridCol w:w="2345"/>
        <w:tblGridChange w:id="0">
          <w:tblGrid>
            <w:gridCol w:w="1775"/>
            <w:gridCol w:w="2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Imagen actual</w:t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Propuesta de Mejora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nginx:alpine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postgres:15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postgres:15-alpine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redis:7.0.10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redis:7.0-alpine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Pentesting del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Para el Pentesting se manejan dos escenarios, un escaneo interno y otro de forma externa y estos fueron los resultados.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3933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4374" cy="389254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374" cy="389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Análisis del conjunto de vulnerabilidades identificadas: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Ataque por parte de un tercero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Escenario de ataque: del pod comprometido al control del clúster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conjunto de vulnerabilidades encontradas es especialmente peligroso porque no son hallazgos aislados — se pueden encadenar en una secuencia lógica de ataque que va desde comprometer un solo pod hasta potencialmente tomar control del clúster completo.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1 — Reconocimiento (KHV002 · Baja)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primero que haría un atacante es consultar el endpoint /version del API Server, que está expuesto públicamente sin autenticación. Con la versión exacta v1.28.15 en mano, puede buscar CVEs conocidos para esa versión específica y preparar exploits dirigidos. Es el punto de partida del reconocimiento.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2 — Compromiso inicial de un pod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Asumiendo que el atacante logra explotar alguna vulnerabilidad de la aplicación (inyección, RCE, dependencia comprometida), consigue ejecución de código dentro de un pod. A partir de aquí, las siguientes tres vulnerabilidades se vuelven inmediatamente explotables.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3 — Robo de credenciales (KHV050 + "Access to pod's secrets" · Alta)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Dentro del pod comprometido, el atacante puede leer directamente /var/run/secrets/kubernetes.io/serviceaccount/token — el token JWT de la cuenta de servicio — y también todos los secrets montados en el pod. Con este token tiene una identidad válida ante el API Server de Kubernetes.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4 — Acceso al API Server (KHV005 · Alta)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el token robado, el atacante se autentica contra el API Server en 10.96.0.1:443. Dependiendo de los permisos RBAC asociados a esa cuenta de servicio, podría listar namespaces, pods, secrets de otros namespaces, o incluso desplegar cargas de trabajo maliciosas. Si la cuenta tiene permisos amplios (lo cual es común en configuraciones por defecto), el clúster queda expuesto.</w:t>
            </w:r>
          </w:p>
          <w:p w:rsidR="00000000" w:rsidDel="00000000" w:rsidP="00000000" w:rsidRDefault="00000000" w:rsidRPr="00000000" w14:paraId="0000011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 5 — Movimiento lateral y ataque a la red (CAP_NET_RAW · Media)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paralelo, con CAP_NET_RAW habilitado, el atacante puede lanzar ataques de tipo ARP poisoning o IP spoofing contra otros pods que corran en el mismo nodo. Esto le permite interceptar tráfico entre servicios, robar sesiones o credenciales que viajan en texto claro dentro de la red del clúster, sin necesidad de explotar ninguna vulnerabilidad adicional.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crítico aquí es la combinación: la divulgación de versión facilita el reconocimiento, el acceso a secrets y al token provee credenciales válidas, el API Server accesible convierte esas credenciales en control real, y CAP_NET_RAW permite moverse lateralmente sin levantar alertas. Un atacante con acceso a un solo pod podría escalar hasta tener control administrativo del clúster si los roles RBAC no están correctamente restringidos.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Recomendación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tres acciones de mayor impacto para cortar este encadenamiento serían: primero, restringir CAP_NET_RAW en el SecurityContext de los pods (drop: [NET_RAW]); segundo, revisar y limitar los permisos RBAC de las cuentas de servicio al mínimo necesario; y tercero, deshabilitar el automontaje del token de servicio en pods que no lo necesiten (automountServiceAccountToken: false). El endpoint /version también debería protegerse con autenticación o eliminarse del acceso externo.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Detección de amenazas en runtime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 realizó el despliegue de la solución Falco en el cluster de kubernetes: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1995" cy="114429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114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Logs extraídos del sistema: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8135" cy="285266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85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realizadas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 realizó el ingreso a la shell del pod demo-pod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nsolas" w:cs="Consolas" w:eastAsia="Consolas" w:hAnsi="Consolas"/>
          <w:shd w:fill="d9d9d9" w:val="clear"/>
        </w:rPr>
      </w:pPr>
      <w:r w:rsidDel="00000000" w:rsidR="00000000" w:rsidRPr="00000000">
        <w:rPr>
          <w:rFonts w:ascii="Consolas" w:cs="Consolas" w:eastAsia="Consolas" w:hAnsi="Consolas"/>
          <w:shd w:fill="d9d9d9" w:val="clear"/>
          <w:rtl w:val="0"/>
        </w:rPr>
        <w:t xml:space="preserve">{"rule":"Terminal shell in container","container_name":"demo-pod","output":"A shell was spawned in a container with an attached terminal"}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 realizó la lectura de un archivo de sistema con información sensible.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hd w:fill="d9d9d9" w:val="clear"/>
        </w:rPr>
      </w:pPr>
      <w:r w:rsidDel="00000000" w:rsidR="00000000" w:rsidRPr="00000000">
        <w:rPr>
          <w:rFonts w:ascii="Consolas" w:cs="Consolas" w:eastAsia="Consolas" w:hAnsi="Consolas"/>
          <w:shd w:fill="d9d9d9" w:val="clear"/>
          <w:rtl w:val="0"/>
        </w:rPr>
        <w:t xml:space="preserve">{"rule":"Read sensitive file untrusted","container_name":"demo-pod","output":"Sensitive file opened for reading by non-trusted program | file=/etc/shadow"}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 realizó un logueo al contenedor para ejecutar el comando WGET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Consolas" w:cs="Consolas" w:eastAsia="Consolas" w:hAnsi="Consolas"/>
          <w:shd w:fill="d9d9d9" w:val="clear"/>
          <w:rtl w:val="0"/>
        </w:rPr>
        <w:t xml:space="preserve">{  "rule": "Terminal shell en contenedor","container_name": "demo-pod",  "output": "A shell was spawned in a container with an attached terminal"}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continuación se muestran las propuestas para las reglas personalizadas con su justificación.</w:t>
      </w:r>
    </w:p>
    <w:p w:rsidR="00000000" w:rsidDel="00000000" w:rsidP="00000000" w:rsidRDefault="00000000" w:rsidRPr="00000000" w14:paraId="0000013E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Escritura en directorios sensibles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</w:t>
      </w:r>
      <w:r w:rsidDel="00000000" w:rsidR="00000000" w:rsidRPr="00000000">
        <w:rPr>
          <w:rtl w:val="0"/>
        </w:rPr>
        <w:t xml:space="preserve">: Modificaciones en rutas críticas como /etc, /bin o /usr pueden alterar configuraciones del sistema, reemplazar binarios esenciales o introducir malware.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Esta regla impide cambios no autorizados en directorios del sistema, protegiendo la estabilidad, la integridad y la disponibilidad de los nodos del clúster.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Consolas" w:cs="Consolas" w:eastAsia="Consolas" w:hAnsi="Consolas"/>
          <w:shd w:fill="cfe2f3" w:val="clear"/>
        </w:rPr>
      </w:pPr>
      <w:r w:rsidDel="00000000" w:rsidR="00000000" w:rsidRPr="00000000">
        <w:rPr>
          <w:rFonts w:ascii="Consolas" w:cs="Consolas" w:eastAsia="Consolas" w:hAnsi="Consolas"/>
          <w:shd w:fill="cfe2f3" w:val="clear"/>
          <w:rtl w:val="0"/>
        </w:rPr>
        <w:t xml:space="preserve">- rule: Escritura en directorios sensibles desc: Detecta cambios en rutas críticas condition: open_write and fd.name startswith (/etc, /bin, /usr) output: "Modificacion critica (file=%fd.name container=%container.name)" priority: ERROR tags: [filesystem]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Ejecución en directorios temporales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Ejecutables lanzados desde /tmp o /dev/shm suelen ser indicio de técnicas de evasión, malware o ejecución de código no confiable.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Esta regla bloquea la ejecución de procesos desde ubicaciones temporales, reduciendo el riesgo de comprometer el cluster mediante binarios maliciosos o exploits que intenten evadir controles estándar.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>
          <w:rFonts w:ascii="Consolas" w:cs="Consolas" w:eastAsia="Consolas" w:hAnsi="Consolas"/>
          <w:shd w:fill="cfe2f3" w:val="clear"/>
          <w:rtl w:val="0"/>
        </w:rPr>
        <w:t xml:space="preserve"> - rule: Ejecución en directorios temporales desc: Binarios ejecutados desde tmp o shm condition: spawned_process and proc.exepath startswith (/tmp, /dev/shm) output: "Ejecucion sospechosa (cmd=%proc.cmdline)" priority: ERROR tags: [execution]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Observabilidad: Stack PLG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-158161</wp:posOffset>
          </wp:positionV>
          <wp:extent cx="7600950" cy="843141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40364" l="7973" r="7973" t="40048"/>
                  <a:stretch>
                    <a:fillRect/>
                  </a:stretch>
                </pic:blipFill>
                <pic:spPr>
                  <a:xfrm>
                    <a:off x="0" y="0"/>
                    <a:ext cx="7600950" cy="84314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-920587</wp:posOffset>
          </wp:positionH>
          <wp:positionV relativeFrom="paragraph">
            <wp:posOffset>-342899</wp:posOffset>
          </wp:positionV>
          <wp:extent cx="7572375" cy="585787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40364" l="7973" r="7973" t="40048"/>
                  <a:stretch>
                    <a:fillRect/>
                  </a:stretch>
                </pic:blipFill>
                <pic:spPr>
                  <a:xfrm rot="10800000">
                    <a:off x="0" y="0"/>
                    <a:ext cx="7572375" cy="58578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35"/>
      <w:gridCol w:w="5580"/>
      <w:gridCol w:w="1785"/>
      <w:tblGridChange w:id="0">
        <w:tblGrid>
          <w:gridCol w:w="1635"/>
          <w:gridCol w:w="5580"/>
          <w:gridCol w:w="1785"/>
        </w:tblGrid>
      </w:tblGridChange>
    </w:tblGrid>
    <w:tr>
      <w:trPr>
        <w:cantSplit w:val="0"/>
        <w:trHeight w:val="42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2">
          <w:pPr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514350" cy="608648"/>
                <wp:effectExtent b="0" l="0" r="0" 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6086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Análisis de Vulnerabilidades y Auditoría de Seguridad en Kubernetes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Fecha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20/03/2026</w:t>
          </w:r>
        </w:p>
      </w:tc>
    </w:tr>
  </w:tbl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