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1 — Q-FENG ↔ VSM mapping across the jurisdictional stack</w:t>
      </w:r>
    </w:p>
    <w:p>
      <w:r>
        <w:rPr>
          <w:i/>
          <w:sz w:val="18"/>
        </w:rPr>
        <w:t>Institutional mapping of Viable System Model functions across the three fractal levels of Q-FENG governance. Brazilian institutional examples are given as primary references; analogous bodies operate in the EU and US regimes covered by the Q-FENG validation. The Q-FENG framework provides computational instantiation of the S2+S3+S3* triad at the Micro level (highlighted in bold), with semantic propagation to higher levels through formal derivability of the jurisdictional stack.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vAlign w:val="top"/>
            <w:shd w:fill="2E5C8A"/>
          </w:tcPr>
          <w:p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VSM System</w:t>
            </w:r>
          </w:p>
        </w:tc>
        <w:tc>
          <w:tcPr>
            <w:tcW w:type="dxa" w:w="2551"/>
            <w:vAlign w:val="top"/>
            <w:shd w:fill="2E5C8A"/>
          </w:tcPr>
          <w:p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Macro (Constitutional)</w:t>
            </w:r>
          </w:p>
        </w:tc>
        <w:tc>
          <w:tcPr>
            <w:tcW w:type="dxa" w:w="2551"/>
            <w:vAlign w:val="top"/>
            <w:shd w:fill="2E5C8A"/>
          </w:tcPr>
          <w:p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Meso (Sectoral / Infralegal)</w:t>
            </w:r>
          </w:p>
        </w:tc>
        <w:tc>
          <w:tcPr>
            <w:tcW w:type="dxa" w:w="2551"/>
            <w:vAlign w:val="top"/>
            <w:shd w:fill="2E5C8A"/>
          </w:tcPr>
          <w:p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Micro (Algorithmic / Operational)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i w:val="0"/>
                <w:sz w:val="18"/>
              </w:rPr>
              <w:t>S5</w:t>
              <w:br/>
              <w:t>Policy &amp; Identity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i w:val="0"/>
                <w:sz w:val="18"/>
              </w:rPr>
              <w:t>Federal Constitution of 1988, petreous clauses (Art. 60 §4º), constitutional treaties, STF binding jurisprudence (in EU: TFEU + Charter of Fundamental Rights; in US: Constitution + Reconstruction Amendments)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i w:val="0"/>
                <w:sz w:val="18"/>
              </w:rPr>
              <w:t>Sectoral organic laws (Lei 8.080/SUS, CLT, Lei 13.467/2017), structural ministerial portarias, regulatory agency rules, sectoral decrees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/>
                <w:sz w:val="18"/>
              </w:rPr>
              <w:t>Clingo predicates derived through E0–E5 pipeline</w:t>
            </w:r>
            <w:r>
              <w:rPr>
                <w:sz w:val="18"/>
              </w:rPr>
              <w:t>: sovereign + elastic predicates with HITL-validated sovereignty classification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i w:val="0"/>
                <w:sz w:val="18"/>
              </w:rPr>
              <w:t>S4</w:t>
              <w:br/>
              <w:t>Intelligence &amp; Adaptation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i w:val="0"/>
                <w:sz w:val="18"/>
              </w:rPr>
              <w:t>National prospective intelligence: IPEA, IBGE, federal observatories, governmental BI, Casa Civil strategic advisory, theory of change applied to national policy (in EU: Joint Research Centre; in US: GAO and CBO analytical units)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i w:val="0"/>
                <w:sz w:val="18"/>
              </w:rPr>
              <w:t>Sectoral BI: agency technical areas, sectoral observatories (e.g. Observatório SUS), impact evaluation, technical strategic advisory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/>
                <w:sz w:val="18"/>
              </w:rPr>
              <w:t>Markovian θ_eff with adaptive memory α(t)</w:t>
            </w:r>
            <w:r>
              <w:rPr>
                <w:sz w:val="18"/>
              </w:rPr>
              <w:t>; deployment-unit monitoring dashboards</w:t>
            </w:r>
          </w:p>
        </w:tc>
      </w:tr>
      <w:tr>
        <w:tc>
          <w:tcPr>
            <w:tcW w:type="dxa" w:w="1417"/>
            <w:vAlign w:val="top"/>
            <w:shd w:fill="FFF8E7"/>
          </w:tcPr>
          <w:p>
            <w:r/>
            <w:r>
              <w:rPr>
                <w:b/>
                <w:i w:val="0"/>
                <w:sz w:val="18"/>
              </w:rPr>
              <w:t>S3*</w:t>
              <w:br/>
              <w:t>Audit Channel</w:t>
            </w:r>
          </w:p>
        </w:tc>
        <w:tc>
          <w:tcPr>
            <w:tcW w:type="dxa" w:w="2551"/>
            <w:vAlign w:val="top"/>
            <w:shd w:fill="FFF8E7"/>
          </w:tcPr>
          <w:p>
            <w:r/>
            <w:r>
              <w:rPr>
                <w:b w:val="0"/>
                <w:i w:val="0"/>
                <w:sz w:val="18"/>
              </w:rPr>
              <w:t>Constitutional-level audit: TCU, MPF, STF in concentrated control, organised social control (in EU: Court of Auditors, Ombudsman; in US: GAO, Inspectors General)</w:t>
            </w:r>
          </w:p>
        </w:tc>
        <w:tc>
          <w:tcPr>
            <w:tcW w:type="dxa" w:w="2551"/>
            <w:vAlign w:val="top"/>
            <w:shd w:fill="FFF8E7"/>
          </w:tcPr>
          <w:p>
            <w:r/>
            <w:r>
              <w:rPr>
                <w:b w:val="0"/>
                <w:i w:val="0"/>
                <w:sz w:val="18"/>
              </w:rPr>
              <w:t>Sectoral audit: DENASUS in SUS, internal controls, sectoral ombudsmen, state audit courts (TCEs); regulatory agency oversight</w:t>
            </w:r>
          </w:p>
        </w:tc>
        <w:tc>
          <w:tcPr>
            <w:tcW w:type="dxa" w:w="2551"/>
            <w:vAlign w:val="top"/>
            <w:shd w:fill="FFF8E7"/>
          </w:tcPr>
          <w:p>
            <w:r/>
            <w:r>
              <w:rPr>
                <w:b/>
                <w:sz w:val="18"/>
              </w:rPr>
              <w:t>Clingo SAT/UNSAT evaluation + Pass 2 active sovereign predicate analysis</w:t>
            </w:r>
            <w:r>
              <w:rPr>
                <w:sz w:val="18"/>
              </w:rPr>
              <w:t>; deployment-unit ombudsman and local social control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i w:val="0"/>
                <w:sz w:val="18"/>
              </w:rPr>
              <w:t>S3</w:t>
              <w:br/>
              <w:t>Operational Control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i w:val="0"/>
                <w:sz w:val="18"/>
              </w:rPr>
              <w:t>Direct command authority: Presidency, Ministers, top federal executive leadership (in EU: Commission College; in US: Cabinet-level command)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i w:val="0"/>
                <w:sz w:val="18"/>
              </w:rPr>
              <w:t>Agency direction: state Secretaries, autarchy presidents, sectoral managers with direct authority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/>
                <w:sz w:val="18"/>
              </w:rPr>
              <w:t>Circuit Breaker logic</w:t>
            </w:r>
            <w:r>
              <w:rPr>
                <w:sz w:val="18"/>
              </w:rPr>
              <w:t xml:space="preserve"> (θ ≥ 120° threshold suspending autonomous operation); deployment-unit management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i w:val="0"/>
                <w:sz w:val="18"/>
              </w:rPr>
              <w:t>S2</w:t>
              <w:br/>
              <w:t>Coordination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i w:val="0"/>
                <w:sz w:val="18"/>
              </w:rPr>
              <w:t>Federative pact, intergovernmental cooperation laws, supreme court binding precedent in uniformising function (CNJ, intergovernmental commissions; in EU: Council coordination; in US: federal-state agreements)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i w:val="0"/>
                <w:sz w:val="18"/>
              </w:rPr>
              <w:t>Sectoral coordination: bipartite intergestor commissions (CIB), technical chambers, sectoral clinical protocols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/>
                <w:sz w:val="18"/>
              </w:rPr>
              <w:t>Cross-corpus consistency layer</w:t>
            </w:r>
            <w:r>
              <w:rPr>
                <w:sz w:val="18"/>
              </w:rPr>
              <w:t>: concurrency-pair detection at E1 (Jaccard ≥ 0.55), SHA-256 caching; deployment-unit operational protocols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i w:val="0"/>
                <w:sz w:val="18"/>
              </w:rPr>
              <w:t>S1</w:t>
              <w:br/>
              <w:t>Operations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i w:val="0"/>
                <w:sz w:val="18"/>
              </w:rPr>
              <w:t>National-scale State operations: federal programmes, executive administrative acts (federal ministries, autarchies; in EU: Commission directorates; in US: federal agencies)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i w:val="0"/>
                <w:sz w:val="18"/>
              </w:rPr>
              <w:t>Sectoral execution: state health secretariats, regional INSS units, regional labour tribunals (in EU: national health authorities; in US: state Medicaid programmes)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/>
                <w:sz w:val="18"/>
              </w:rPr>
              <w:t>Algorithmic predictor producing ψ_N</w:t>
            </w:r>
            <w:r>
              <w:rPr>
                <w:sz w:val="18"/>
              </w:rPr>
              <w:t xml:space="preserve"> (LightGBM, time-series, ASP rule engine, LLM); or institutional deployment unit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