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/>
      </w:pPr>
      <w:r>
        <w:rPr>
          <w:b/>
          <w:color w:val="503A98"/>
          <w:sz w:val="20"/>
        </w:rPr>
        <w:t>SOLUCIÓN DE INFORMACIÓN MINEDEC · DP-SI-020</w:t>
      </w:r>
    </w:p>
    <w:p>
      <w:pPr>
        <w:spacing w:after="80"/>
      </w:pPr>
      <w:r>
        <w:rPr>
          <w:b/>
          <w:color w:val="182557"/>
          <w:sz w:val="48"/>
        </w:rPr>
        <w:t>Manual de usuario</w:t>
      </w:r>
    </w:p>
    <w:p>
      <w:r>
        <w:rPr>
          <w:color w:val="56627E"/>
          <w:sz w:val="24"/>
        </w:rPr>
        <w:t>Panel Integrado de Gestión MINEDEC</w:t>
      </w:r>
    </w:p>
    <w:p>
      <w:r>
        <w:rPr>
          <w:sz w:val="20"/>
        </w:rPr>
        <w:t>Dirección de Análisis y Estudios de Información (DAEI) · Octubre de 2026</w:t>
      </w:r>
    </w:p>
    <w:p>
      <w:pPr>
        <w:pStyle w:val="Ttulo1"/>
      </w:pPr>
      <w:r>
        <w:t>1. Objetivo del panel</w:t>
      </w:r>
    </w:p>
    <w:p>
      <w:r>
        <w:rPr/>
        <w:t>El Panel Integrado de Gestión MINEDEC reúne en una sola aplicación web la información que las autoridades necesitan para dar seguimiento a la gestión institucional: indicadores del Plan Nacional de Desarrollo (PND), indicadores clave de desempeño (KPI), ejecución presupuestaria de inversión y cobertura de los servicios educativos priorizados.</w:t>
      </w:r>
    </w:p>
    <w:p>
      <w:r>
        <w:rPr/>
        <w:t>El panel se actualiza a partir de las matrices Excel que entrega cada área. No requiere instalar nada: se abre desde el navegador.</w:t>
      </w:r>
    </w:p>
    <w:p>
      <w:pPr>
        <w:pStyle w:val="Ttulo2"/>
      </w:pPr>
      <w:r>
        <w:t>1.1 A quién está dirigido</w:t>
      </w:r>
    </w:p>
    <w:p>
      <w:pPr>
        <w:spacing w:after="60"/>
        <w:ind w:left="510" w:hanging="255"/>
      </w:pPr>
      <w:r>
        <w:t xml:space="preserve">•  </w:t>
      </w:r>
      <w:r>
        <w:rPr/>
        <w:t>Autoridades y personal directivo que consultan resultados y alertas.</w:t>
      </w:r>
    </w:p>
    <w:p>
      <w:pPr>
        <w:spacing w:after="60"/>
        <w:ind w:left="510" w:hanging="255"/>
      </w:pPr>
      <w:r>
        <w:t xml:space="preserve">•  </w:t>
      </w:r>
      <w:r>
        <w:rPr/>
        <w:t>Direcciones responsables de indicadores, que verifican cómo se muestra su información.</w:t>
      </w:r>
    </w:p>
    <w:p>
      <w:pPr>
        <w:spacing w:after="60"/>
        <w:ind w:left="510" w:hanging="255"/>
      </w:pPr>
      <w:r>
        <w:t xml:space="preserve">•  </w:t>
      </w:r>
      <w:r>
        <w:rPr/>
        <w:t>Equipo de análisis (DAEI), que mantiene las matrices y el panel.</w:t>
      </w:r>
    </w:p>
    <w:p>
      <w:pPr>
        <w:pStyle w:val="Ttulo1"/>
      </w:pPr>
      <w:r>
        <w:t>2. Cómo moverse por el panel</w:t>
      </w:r>
    </w:p>
    <w:p>
      <w:r>
        <w:rPr/>
        <w:t>Todo el panel parte de la portada. Desde ella se llega a cinco secciones. En cualquier pantalla, el botón con el símbolo de casa, en la esquina superior izquierda, devuelve a la portada. En la esquina superior derecha se muestra la fecha de corte y un botón con icono de impresora que abre el cuadro de impresión del navegador.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86145" cy="30181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6145" cy="3018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6627E"/>
          <w:sz w:val="18"/>
        </w:rPr>
        <w:t>Figura 1. Mapa de navegación del panel.</w:t>
      </w:r>
    </w:p>
    <w:p>
      <w:r>
        <w:rPr/>
        <w:t>Dentro de cada sección, el menú de la izquierda (menú lateral) permite elegir viceministerio o indicador. Solo se muestran las opciones de la sección en la que usted está. Para volver al panel principal use el botón «Volver al panel principal» del menú lateral o el botón de casa.</w:t>
      </w:r>
    </w:p>
    <w:p>
      <w:pPr>
        <w:pStyle w:val="Ttulo1"/>
      </w:pPr>
      <w:r>
        <w:t>3. Visión Ejecutiva</w:t>
      </w:r>
    </w:p>
    <w:p>
      <w:r>
        <w:rPr/>
        <w:t xml:space="preserve">Presenta una pestaña por cada viceministerio: Gestión Educativa, Educación Superior, Educación, Deporte y Cultura. Haga clic en la pestaña para cambiar de viceministerio. Actualmente la pestaña con información cargada es la de </w:t>
      </w:r>
      <w:r>
        <w:rPr>
          <w:b/>
        </w:rPr>
        <w:t>Gestión Educativa</w:t>
      </w:r>
      <w:r>
        <w:rPr/>
        <w:t>; las demás muestran el aviso «Esta sección está en construcción» hasta que se defina su fuente de datos.</w:t>
      </w:r>
    </w:p>
    <w:p>
      <w:pPr>
        <w:pStyle w:val="Ttulo2"/>
      </w:pPr>
      <w:r>
        <w:t>3.1 Pantalla de Gestión Educativa</w:t>
      </w:r>
    </w:p>
    <w:p>
      <w:pPr>
        <w:spacing w:after="60"/>
        <w:ind w:left="510" w:hanging="255"/>
      </w:pPr>
      <w:r>
        <w:t xml:space="preserve">•  </w:t>
      </w:r>
      <w:r>
        <w:rPr>
          <w:b/>
        </w:rPr>
        <w:t>MINEDEC en Cifras:</w:t>
      </w:r>
      <w:r>
        <w:rPr/>
        <w:t xml:space="preserve"> tarjetas con el total de instituciones educativas, estudiantes (con la división por mujeres y hombres) y docentes por institución del año lectivo 2025-2026. Si un dato todavía no está conectado, la tarjeta dice «Información pendiente».</w:t>
      </w:r>
    </w:p>
    <w:p>
      <w:pPr>
        <w:spacing w:after="60"/>
        <w:ind w:left="510" w:hanging="255"/>
      </w:pPr>
      <w:r>
        <w:t xml:space="preserve">•  </w:t>
      </w:r>
      <w:r>
        <w:rPr>
          <w:b/>
        </w:rPr>
        <w:t>Recursos educativos y complementarios:</w:t>
      </w:r>
      <w:r>
        <w:rPr/>
        <w:t xml:space="preserve"> una tarjeta por servicio (Alimentación, Uniformes, Textos, Mobiliario y Transporte) con el número de estudiantes beneficiarios y de instituciones.</w:t>
      </w:r>
    </w:p>
    <w:p>
      <w:pPr>
        <w:spacing w:after="60"/>
        <w:ind w:left="510" w:hanging="255"/>
      </w:pPr>
      <w:r>
        <w:t xml:space="preserve">•  </w:t>
      </w:r>
      <w:r>
        <w:rPr>
          <w:b/>
        </w:rPr>
        <w:t>Eje 1 · Fortalecimiento de la Infraestructura, Equipamiento y Alimentación Escolar:</w:t>
      </w:r>
      <w:r>
        <w:rPr/>
        <w:t xml:space="preserve"> franja de cifras clave, una tabla por provincia y el mapa del Ecuador.</w:t>
      </w:r>
    </w:p>
    <w:p>
      <w:pPr>
        <w:pStyle w:val="Ttulo2"/>
      </w:pPr>
      <w:r>
        <w:t>3.2 Cómo leer la tabla y el mapa del Eje 1</w:t>
      </w:r>
    </w:p>
    <w:p>
      <w:pPr>
        <w:spacing w:after="60"/>
        <w:ind w:left="510" w:hanging="255"/>
      </w:pPr>
      <w:r>
        <w:t xml:space="preserve">•  </w:t>
      </w:r>
      <w:r>
        <w:rPr/>
        <w:t>La tabla aparece plegada. Haga clic sobre su título para desplegarla o plegarla.</w:t>
      </w:r>
    </w:p>
    <w:p>
      <w:pPr>
        <w:spacing w:after="60"/>
        <w:ind w:left="510" w:hanging="255"/>
      </w:pPr>
      <w:r>
        <w:t xml:space="preserve">•  </w:t>
      </w:r>
      <w:r>
        <w:rPr/>
        <w:t xml:space="preserve">En el mapa, las provincias en </w:t>
      </w:r>
      <w:r>
        <w:rPr>
          <w:b/>
        </w:rPr>
        <w:t>dorado</w:t>
      </w:r>
      <w:r>
        <w:rPr/>
        <w:t xml:space="preserve"> son las que tienen intervención; las demás aparecen en azul marino.</w:t>
      </w:r>
    </w:p>
    <w:p>
      <w:pPr>
        <w:spacing w:after="60"/>
        <w:ind w:left="510" w:hanging="255"/>
      </w:pPr>
      <w:r>
        <w:t xml:space="preserve">•  </w:t>
      </w:r>
      <w:r>
        <w:rPr/>
        <w:t>Cada provincia dorada lleva su nombre y el número de instituciones educativas. Al pasar el cursor sobre ella se muestra además el número de estudiantes.</w:t>
      </w:r>
    </w:p>
    <w:p>
      <w:pPr>
        <w:spacing w:after="60"/>
        <w:ind w:left="510" w:hanging="255"/>
      </w:pPr>
      <w:r>
        <w:t xml:space="preserve">•  </w:t>
      </w:r>
      <w:r>
        <w:rPr/>
        <w:t>En pantallas pequeñas la tabla y el mapa se apilan una debajo del otro.</w:t>
      </w:r>
    </w:p>
    <w:p>
      <w:pPr>
        <w:pStyle w:val="Ttulo1"/>
      </w:pPr>
      <w:r>
        <w:t>4. Indicadores (PND y KPI)</w:t>
      </w:r>
    </w:p>
    <w:p>
      <w:r>
        <w:rPr/>
        <w:t>Esta sección agrupa tres bloques: Plan Nacional de Desarrollo, KPI´s Estratégicos y KPI´s Institucionales. Elija el bloque en la pantalla de inicio de la sección y después el indicador en el menú lateral.</w:t>
      </w:r>
    </w:p>
    <w:p>
      <w:pPr>
        <w:pStyle w:val="Ttulo2"/>
      </w:pPr>
      <w:r>
        <w:t>4.1 Qué muestra la pantalla de un indicador</w:t>
      </w:r>
    </w:p>
    <w:p>
      <w:pPr>
        <w:spacing w:after="60"/>
        <w:ind w:left="510" w:hanging="255"/>
      </w:pPr>
      <w:r>
        <w:t xml:space="preserve">•  </w:t>
      </w:r>
      <w:r>
        <w:rPr>
          <w:b/>
        </w:rPr>
        <w:t>Encabezado:</w:t>
      </w:r>
      <w:r>
        <w:rPr/>
        <w:t xml:space="preserve"> nombre del indicador y viceministerio responsable.</w:t>
      </w:r>
    </w:p>
    <w:p>
      <w:pPr>
        <w:spacing w:after="60"/>
        <w:ind w:left="510" w:hanging="255"/>
      </w:pPr>
      <w:r>
        <w:t xml:space="preserve">•  </w:t>
      </w:r>
      <w:r>
        <w:rPr>
          <w:b/>
        </w:rPr>
        <w:t>Ficha del indicador:</w:t>
      </w:r>
      <w:r>
        <w:rPr/>
        <w:t xml:space="preserve"> definición, unidad de medida, fuente de datos, periodicidad, responsable y otros datos descriptivos.</w:t>
      </w:r>
    </w:p>
    <w:p>
      <w:pPr>
        <w:spacing w:after="60"/>
        <w:ind w:left="510" w:hanging="255"/>
      </w:pPr>
      <w:r>
        <w:t xml:space="preserve">•  </w:t>
      </w:r>
      <w:r>
        <w:rPr>
          <w:b/>
        </w:rPr>
        <w:t>Línea base y meta:</w:t>
      </w:r>
      <w:r>
        <w:rPr/>
        <w:t xml:space="preserve"> el valor de partida y el valor esperado.</w:t>
      </w:r>
    </w:p>
    <w:p>
      <w:pPr>
        <w:spacing w:after="60"/>
        <w:ind w:left="510" w:hanging="255"/>
      </w:pPr>
      <w:r>
        <w:t xml:space="preserve">•  </w:t>
      </w:r>
      <w:r>
        <w:rPr>
          <w:b/>
        </w:rPr>
        <w:t>Gráfico de barras por período:</w:t>
      </w:r>
      <w:r>
        <w:rPr/>
        <w:t xml:space="preserve"> compara línea base, meta y resultado alcanzado (ejecutado).</w:t>
      </w:r>
    </w:p>
    <w:p>
      <w:pPr>
        <w:spacing w:after="60"/>
        <w:ind w:left="510" w:hanging="255"/>
      </w:pPr>
      <w:r>
        <w:t xml:space="preserve">•  </w:t>
      </w:r>
      <w:r>
        <w:rPr>
          <w:b/>
        </w:rPr>
        <w:t>Botones de período con semáforo:</w:t>
      </w:r>
      <w:r>
        <w:rPr/>
        <w:t xml:space="preserve"> un botón por período; al hacer clic se muestra el cumplimiento y la observación del responsable.</w:t>
      </w:r>
    </w:p>
    <w:p>
      <w:pPr>
        <w:spacing w:after="60"/>
        <w:ind w:left="510" w:hanging="255"/>
      </w:pPr>
      <w:r>
        <w:t xml:space="preserve">•  </w:t>
      </w:r>
      <w:r>
        <w:rPr>
          <w:b/>
        </w:rPr>
        <w:t>Fórmula de cálculo:</w:t>
      </w:r>
      <w:r>
        <w:rPr/>
        <w:t xml:space="preserve"> un panel desplegable con la fórmula matemática y la definición de sus variables.</w:t>
      </w:r>
    </w:p>
    <w:p>
      <w:pPr>
        <w:pStyle w:val="Ttulo2"/>
      </w:pPr>
      <w:r>
        <w:t>4.2 El semáforo de cumplimiento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5D9"/>
          <w:left w:val="single" w:sz="4" w:space="0" w:color="BFC5D9"/>
          <w:bottom w:val="single" w:sz="4" w:space="0" w:color="BFC5D9"/>
          <w:right w:val="single" w:sz="4" w:space="0" w:color="BFC5D9"/>
          <w:insideH w:val="single" w:sz="4" w:space="0" w:color="BFC5D9"/>
          <w:insideV w:val="single" w:sz="4" w:space="0" w:color="BFC5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1474"/>
        <w:gridCol w:w="3515"/>
        <w:gridCol w:w="4309"/>
      </w:tblGrid>
      <w:tr>
        <w:trPr>
          <w:cantSplit/>
          <w:tblHeader/>
        </w:trPr>
        <w:tc>
          <w:tcPr>
            <w:tcW w:type="dxa" w:w="1474"/>
            <w:shd w:val="clear" w:color="auto" w:fill="503A9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Color</w:t>
            </w:r>
          </w:p>
        </w:tc>
        <w:tc>
          <w:tcPr>
            <w:tcW w:type="dxa" w:w="3515"/>
            <w:shd w:val="clear" w:color="auto" w:fill="503A9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Significado</w:t>
            </w:r>
          </w:p>
        </w:tc>
        <w:tc>
          <w:tcPr>
            <w:tcW w:type="dxa" w:w="4309"/>
            <w:shd w:val="clear" w:color="auto" w:fill="503A9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determina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Verde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9"/>
              </w:rPr>
              <w:t>Cumplimiento sobre la meta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El resultado supera la meta.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3F4FB"/>
          </w:tcPr>
          <w:p>
            <w:pPr>
              <w:spacing w:after="0"/>
            </w:pPr>
            <w:r/>
            <w:r>
              <w:rPr>
                <w:sz w:val="19"/>
              </w:rPr>
              <w:t>Amarillo</w:t>
            </w:r>
          </w:p>
        </w:tc>
        <w:tc>
          <w:tcPr>
            <w:tcW w:type="dxa" w:w="3515"/>
            <w:shd w:val="clear" w:color="auto" w:fill="F3F4FB"/>
          </w:tcPr>
          <w:p>
            <w:pPr>
              <w:spacing w:after="0"/>
            </w:pPr>
            <w:r/>
            <w:r>
              <w:rPr>
                <w:sz w:val="19"/>
              </w:rPr>
              <w:t>Cumplimiento igual a la meta</w:t>
            </w:r>
          </w:p>
        </w:tc>
        <w:tc>
          <w:tcPr>
            <w:tcW w:type="dxa" w:w="4309"/>
            <w:shd w:val="clear" w:color="auto" w:fill="F3F4FB"/>
          </w:tcPr>
          <w:p>
            <w:pPr>
              <w:spacing w:after="0"/>
            </w:pPr>
            <w:r/>
            <w:r>
              <w:rPr>
                <w:sz w:val="19"/>
              </w:rPr>
              <w:t>El resultado coincide con la meta.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9"/>
              </w:rPr>
              <w:t>Rojo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9"/>
              </w:rPr>
              <w:t>Incumplimiento de meta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9"/>
              </w:rPr>
              <w:t>El resultado es menor que la meta.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3F4FB"/>
          </w:tcPr>
          <w:p>
            <w:pPr>
              <w:spacing w:after="0"/>
            </w:pPr>
            <w:r/>
            <w:r>
              <w:rPr>
                <w:sz w:val="19"/>
              </w:rPr>
              <w:t>Gris</w:t>
            </w:r>
          </w:p>
        </w:tc>
        <w:tc>
          <w:tcPr>
            <w:tcW w:type="dxa" w:w="3515"/>
            <w:shd w:val="clear" w:color="auto" w:fill="F3F4FB"/>
          </w:tcPr>
          <w:p>
            <w:pPr>
              <w:spacing w:after="0"/>
            </w:pPr>
            <w:r/>
            <w:r>
              <w:rPr>
                <w:sz w:val="19"/>
              </w:rPr>
              <w:t>Sin información registrada</w:t>
            </w:r>
          </w:p>
        </w:tc>
        <w:tc>
          <w:tcPr>
            <w:tcW w:type="dxa" w:w="4309"/>
            <w:shd w:val="clear" w:color="auto" w:fill="F3F4FB"/>
          </w:tcPr>
          <w:p>
            <w:pPr>
              <w:spacing w:after="0"/>
            </w:pPr>
            <w:r/>
            <w:r>
              <w:rPr>
                <w:sz w:val="19"/>
              </w:rPr>
              <w:t>Falta la meta o el resultado del período.</w:t>
            </w:r>
          </w:p>
        </w:tc>
      </w:tr>
    </w:tbl>
    <w:p>
      <w:pPr>
        <w:spacing w:after="40"/>
      </w:pPr>
    </w:p>
    <w:p>
      <w:r>
        <w:rPr/>
        <w:t>El área responsable puede registrar la alerta directamente en la matriz; si no la registra y existen meta y resultado, el panel la calcula comparando ambos valores.</w:t>
      </w:r>
    </w:p>
    <w:p>
      <w:pPr>
        <w:pStyle w:val="Ttulo1"/>
      </w:pPr>
      <w:r>
        <w:t>5. Ejecución Presupuestaria · Inversión</w:t>
      </w:r>
    </w:p>
    <w:p>
      <w:r>
        <w:rPr/>
        <w:t xml:space="preserve">Muestra la ejecución del presupuesto de </w:t>
      </w:r>
      <w:r>
        <w:rPr>
          <w:b/>
        </w:rPr>
        <w:t>inversión</w:t>
      </w:r>
      <w:r>
        <w:rPr/>
        <w:t xml:space="preserve"> por viceministerio. En el menú lateral elija «General» (todos los viceministerios clasificados) o un viceministerio en particular.</w:t>
      </w:r>
    </w:p>
    <w:p>
      <w:pPr>
        <w:spacing w:after="60"/>
        <w:ind w:left="510" w:hanging="255"/>
      </w:pPr>
      <w:r>
        <w:t xml:space="preserve">•  </w:t>
      </w:r>
      <w:r>
        <w:rPr>
          <w:b/>
        </w:rPr>
        <w:t>Resumen de ejecución:</w:t>
      </w:r>
      <w:r>
        <w:rPr/>
        <w:t xml:space="preserve"> un gráfico de anillo con el porcentaje devengado respecto del presupuesto codificado y un gráfico de barras con los montos en millones de dólares (codificado, certificado, comprometido, devengado y saldo disponible).</w:t>
      </w:r>
    </w:p>
    <w:p>
      <w:pPr>
        <w:spacing w:after="60"/>
        <w:ind w:left="510" w:hanging="255"/>
      </w:pPr>
      <w:r>
        <w:t xml:space="preserve">•  </w:t>
      </w:r>
      <w:r>
        <w:rPr>
          <w:b/>
        </w:rPr>
        <w:t>Tarjetas de cifras:</w:t>
      </w:r>
      <w:r>
        <w:rPr/>
        <w:t xml:space="preserve"> los mismos montos expresados en dólares.</w:t>
      </w:r>
    </w:p>
    <w:p>
      <w:pPr>
        <w:spacing w:after="60"/>
        <w:ind w:left="510" w:hanging="255"/>
      </w:pPr>
      <w:r>
        <w:t xml:space="preserve">•  </w:t>
      </w:r>
      <w:r>
        <w:rPr>
          <w:b/>
        </w:rPr>
        <w:t>Semáforo de ejecución:</w:t>
      </w:r>
      <w:r>
        <w:rPr/>
        <w:t xml:space="preserve"> verde si la ejecución es de 70 % o más; amarillo si es de 40 % a menos de 70 %; rojo si es menor a 40 %.</w:t>
      </w:r>
    </w:p>
    <w:p>
      <w:pPr>
        <w:spacing w:after="60"/>
        <w:ind w:left="510" w:hanging="255"/>
      </w:pPr>
      <w:r>
        <w:t xml:space="preserve">•  </w:t>
      </w:r>
      <w:r>
        <w:rPr>
          <w:b/>
        </w:rPr>
        <w:t>Detalle presupuestario:</w:t>
      </w:r>
      <w:r>
        <w:rPr/>
        <w:t xml:space="preserve"> tabla que se puede agrupar por </w:t>
      </w:r>
      <w:r>
        <w:rPr>
          <w:b/>
        </w:rPr>
        <w:t>Grupo de gasto</w:t>
      </w:r>
      <w:r>
        <w:rPr/>
        <w:t xml:space="preserve"> o por </w:t>
      </w:r>
      <w:r>
        <w:rPr>
          <w:b/>
        </w:rPr>
        <w:t>Proyecto</w:t>
      </w:r>
      <w:r>
        <w:rPr/>
        <w:t xml:space="preserve"> con el selector que está sobre la tabla. La última fila, TOTAL, suma todo.</w:t>
      </w:r>
    </w:p>
    <w:p>
      <w:r>
        <w:rPr/>
        <w:t xml:space="preserve">La ejecución se calcula como </w:t>
      </w:r>
      <w:r>
        <w:rPr>
          <w:b/>
        </w:rPr>
        <w:t>devengado ÷ codificado × 100</w:t>
      </w:r>
      <w:r>
        <w:rPr/>
        <w:t>. La fecha de actualización del archivo de origen se muestra en la pantalla.</w:t>
      </w:r>
    </w:p>
    <w:p>
      <w:pPr>
        <w:pStyle w:val="Ttulo1"/>
      </w:pPr>
      <w:r>
        <w:t>6. Inventario y Recurso de Información</w:t>
      </w:r>
    </w:p>
    <w:p>
      <w:r>
        <w:rPr/>
        <w:t>Reúne enlaces a los portales de datos abiertos por ámbito: Educación Media, Educación Superior y Cultura. Cada botón abre el portal en una pestaña nueva del navegador.</w:t>
      </w:r>
    </w:p>
    <w:p>
      <w:pPr>
        <w:pStyle w:val="Ttulo1"/>
      </w:pPr>
      <w:r>
        <w:t>7. Documentación</w:t>
      </w:r>
    </w:p>
    <w:p>
      <w:r>
        <w:rPr/>
        <w:t xml:space="preserve">Esta sección da acceso a tres documentos. En cada tarjeta, </w:t>
      </w:r>
      <w:r>
        <w:rPr>
          <w:b/>
        </w:rPr>
        <w:t>Abrir</w:t>
      </w:r>
      <w:r>
        <w:rPr/>
        <w:t xml:space="preserve"> muestra el archivo en una pestaña nueva y </w:t>
      </w:r>
      <w:r>
        <w:rPr>
          <w:b/>
        </w:rPr>
        <w:t>Descargar</w:t>
      </w:r>
      <w:r>
        <w:rPr/>
        <w:t xml:space="preserve"> lo guarda en su computador.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5D9"/>
          <w:left w:val="single" w:sz="4" w:space="0" w:color="BFC5D9"/>
          <w:bottom w:val="single" w:sz="4" w:space="0" w:color="BFC5D9"/>
          <w:right w:val="single" w:sz="4" w:space="0" w:color="BFC5D9"/>
          <w:insideH w:val="single" w:sz="4" w:space="0" w:color="BFC5D9"/>
          <w:insideV w:val="single" w:sz="4" w:space="0" w:color="BFC5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2948"/>
        <w:gridCol w:w="6350"/>
      </w:tblGrid>
      <w:tr>
        <w:trPr>
          <w:cantSplit/>
          <w:tblHeader/>
        </w:trPr>
        <w:tc>
          <w:tcPr>
            <w:tcW w:type="dxa" w:w="2948"/>
            <w:shd w:val="clear" w:color="auto" w:fill="503A9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6350"/>
            <w:shd w:val="clear" w:color="auto" w:fill="503A9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Manual de usuario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sz w:val="19"/>
              </w:rPr>
              <w:t>Este documento.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3F4FB"/>
          </w:tcPr>
          <w:p>
            <w:pPr>
              <w:spacing w:after="0"/>
            </w:pPr>
            <w:r/>
            <w:r>
              <w:rPr>
                <w:sz w:val="19"/>
              </w:rPr>
              <w:t>Diccionario de datos e indicadores</w:t>
            </w:r>
          </w:p>
        </w:tc>
        <w:tc>
          <w:tcPr>
            <w:tcW w:type="dxa" w:w="6350"/>
            <w:shd w:val="clear" w:color="auto" w:fill="F3F4FB"/>
          </w:tcPr>
          <w:p>
            <w:pPr>
              <w:spacing w:after="0"/>
            </w:pPr>
            <w:r/>
            <w:r>
              <w:rPr>
                <w:sz w:val="19"/>
              </w:rPr>
              <w:t>Detalle de las variables e indicadores de la solución, en el formato del Anexo 5.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9"/>
              </w:rPr>
              <w:t>Fichas metodológicas</w:t>
            </w:r>
          </w:p>
        </w:tc>
        <w:tc>
          <w:tcPr>
            <w:tcW w:type="dxa" w:w="6350"/>
          </w:tcPr>
          <w:p>
            <w:pPr>
              <w:spacing w:after="0"/>
            </w:pPr>
            <w:r/>
            <w:r>
              <w:rPr>
                <w:sz w:val="19"/>
              </w:rPr>
              <w:t>Archivo único con una ficha por indicador: definición, fuente, periodicidad, responsable y fórmula.</w:t>
            </w:r>
          </w:p>
        </w:tc>
      </w:tr>
    </w:tbl>
    <w:p>
      <w:pPr>
        <w:spacing w:after="40"/>
      </w:pPr>
    </w:p>
    <w:p>
      <w:pPr>
        <w:pStyle w:val="Ttulo1"/>
      </w:pPr>
      <w:r>
        <w:t>8. Consideraciones de uso</w:t>
      </w:r>
    </w:p>
    <w:p>
      <w:pPr>
        <w:spacing w:after="60"/>
        <w:ind w:left="510" w:hanging="255"/>
      </w:pPr>
      <w:r>
        <w:t xml:space="preserve">•  </w:t>
      </w:r>
      <w:r>
        <w:rPr/>
        <w:t>El panel muestra lo que contienen las matrices. Si un indicador no tiene meta o resultado, aparece sin comparación; no se estima.</w:t>
      </w:r>
    </w:p>
    <w:p>
      <w:pPr>
        <w:spacing w:after="60"/>
        <w:ind w:left="510" w:hanging="255"/>
      </w:pPr>
      <w:r>
        <w:t xml:space="preserve">•  </w:t>
      </w:r>
      <w:r>
        <w:rPr/>
        <w:t>Cuando se actualiza una matriz Excel, el panel detecta el cambio y refresca la pantalla en pocos segundos; no es necesario volver a abrirlo.</w:t>
      </w:r>
    </w:p>
    <w:p>
      <w:pPr>
        <w:spacing w:after="60"/>
        <w:ind w:left="510" w:hanging="255"/>
      </w:pPr>
      <w:r>
        <w:t xml:space="preserve">•  </w:t>
      </w:r>
      <w:r>
        <w:rPr/>
        <w:t>Para imprimir o guardar como PDF una pantalla, use el botón con icono de impresora de la barra superior.</w:t>
      </w:r>
    </w:p>
    <w:p>
      <w:pPr>
        <w:spacing w:after="60"/>
        <w:ind w:left="510" w:hanging="255"/>
      </w:pPr>
      <w:r>
        <w:t xml:space="preserve">•  </w:t>
      </w:r>
      <w:r>
        <w:rPr/>
        <w:t>Si aparece el mensaje «Base no disponible», el panel no encontró o no pudo leer el archivo de esa sección. Avise al equipo de la DAEI.</w:t>
      </w:r>
    </w:p>
    <w:p>
      <w:pPr>
        <w:spacing w:after="60"/>
        <w:ind w:left="510" w:hanging="255"/>
      </w:pPr>
      <w:r>
        <w:t xml:space="preserve">•  </w:t>
      </w:r>
      <w:r>
        <w:rPr/>
        <w:t>Para pantallas pequeñas se recomienda girar el dispositivo en horizontal.</w:t>
      </w:r>
    </w:p>
    <w:p>
      <w:pPr>
        <w:pStyle w:val="Ttulo1"/>
      </w:pPr>
      <w:r>
        <w:t>9. Preguntas frecuentes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5D9"/>
          <w:left w:val="single" w:sz="4" w:space="0" w:color="BFC5D9"/>
          <w:bottom w:val="single" w:sz="4" w:space="0" w:color="BFC5D9"/>
          <w:right w:val="single" w:sz="4" w:space="0" w:color="BFC5D9"/>
          <w:insideH w:val="single" w:sz="4" w:space="0" w:color="BFC5D9"/>
          <w:insideV w:val="single" w:sz="4" w:space="0" w:color="BFC5D9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4082"/>
        <w:gridCol w:w="5216"/>
      </w:tblGrid>
      <w:tr>
        <w:trPr>
          <w:cantSplit/>
          <w:tblHeader/>
        </w:trPr>
        <w:tc>
          <w:tcPr>
            <w:tcW w:type="dxa" w:w="4082"/>
            <w:shd w:val="clear" w:color="auto" w:fill="503A9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216"/>
            <w:shd w:val="clear" w:color="auto" w:fill="503A98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¿Por qué una pestaña de viceministerio dice «en construcción»?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sz w:val="19"/>
              </w:rPr>
              <w:t>Todavía no se ha cargado su fuente de datos.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3F4FB"/>
          </w:tcPr>
          <w:p>
            <w:pPr>
              <w:spacing w:after="0"/>
            </w:pPr>
            <w:r/>
            <w:r>
              <w:rPr>
                <w:sz w:val="19"/>
              </w:rPr>
              <w:t>¿Por qué una tarjeta dice «Información pendiente»?</w:t>
            </w:r>
          </w:p>
        </w:tc>
        <w:tc>
          <w:tcPr>
            <w:tcW w:type="dxa" w:w="5216"/>
            <w:shd w:val="clear" w:color="auto" w:fill="F3F4FB"/>
          </w:tcPr>
          <w:p>
            <w:pPr>
              <w:spacing w:after="0"/>
            </w:pPr>
            <w:r/>
            <w:r>
              <w:rPr>
                <w:sz w:val="19"/>
              </w:rPr>
              <w:t>La base correspondiente aún no está conectada al panel.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¿Dónde veo cómo se calcula un indicador?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sz w:val="19"/>
              </w:rPr>
              <w:t>En la pantalla del indicador, en el panel «Fórmula de cálculo», o en las Fichas metodológicas.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3F4FB"/>
          </w:tcPr>
          <w:p>
            <w:pPr>
              <w:spacing w:after="0"/>
            </w:pPr>
            <w:r/>
            <w:r>
              <w:rPr>
                <w:sz w:val="19"/>
              </w:rPr>
              <w:t>¿Qué significa «devengado»?</w:t>
            </w:r>
          </w:p>
        </w:tc>
        <w:tc>
          <w:tcPr>
            <w:tcW w:type="dxa" w:w="5216"/>
            <w:shd w:val="clear" w:color="auto" w:fill="F3F4FB"/>
          </w:tcPr>
          <w:p>
            <w:pPr>
              <w:spacing w:after="0"/>
            </w:pPr>
            <w:r/>
            <w:r>
              <w:rPr>
                <w:sz w:val="19"/>
              </w:rPr>
              <w:t>Monto efectivamente ejecutado: el bien o servicio ya fue recibido.</w:t>
            </w:r>
          </w:p>
        </w:tc>
      </w:tr>
      <w:tr>
        <w:trPr>
          <w:cantSplit/>
        </w:trPr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9"/>
              </w:rPr>
              <w:t>¿Qué significa «codificado»?</w:t>
            </w:r>
          </w:p>
        </w:tc>
        <w:tc>
          <w:tcPr>
            <w:tcW w:type="dxa" w:w="5216"/>
          </w:tcPr>
          <w:p>
            <w:pPr>
              <w:spacing w:after="0"/>
            </w:pPr>
            <w:r/>
            <w:r>
              <w:rPr>
                <w:sz w:val="19"/>
              </w:rPr>
              <w:t>Presupuesto vigente después de reformas.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3F4FB"/>
          </w:tcPr>
          <w:p>
            <w:pPr>
              <w:spacing w:after="0"/>
            </w:pPr>
            <w:r/>
            <w:r>
              <w:rPr>
                <w:sz w:val="19"/>
              </w:rPr>
              <w:t>Un dato no coincide con mi reporte. ¿Qué hago?</w:t>
            </w:r>
          </w:p>
        </w:tc>
        <w:tc>
          <w:tcPr>
            <w:tcW w:type="dxa" w:w="5216"/>
            <w:shd w:val="clear" w:color="auto" w:fill="F3F4FB"/>
          </w:tcPr>
          <w:p>
            <w:pPr>
              <w:spacing w:after="0"/>
            </w:pPr>
            <w:r/>
            <w:r>
              <w:rPr>
                <w:sz w:val="19"/>
              </w:rPr>
              <w:t>Verifique la fecha de corte y la matriz de origen; si persiste, escriba a la DAEI.</w:t>
            </w:r>
          </w:p>
        </w:tc>
      </w:tr>
    </w:tbl>
    <w:p>
      <w:pPr>
        <w:spacing w:after="40"/>
      </w:pPr>
    </w:p>
    <w:sectPr w:rsidR="007174CB">
      <w:headerReference w:type="default" r:id="rId7"/>
      <w:pgSz w:w="11906" w:h="16838"/>
      <w:pgMar w:top="1928" w:right="1304" w:bottom="2211" w:left="1304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114300" distR="114300" simplePos="0" relativeHeight="251659264" behindDoc="1" locked="0" layoutInCell="1" allowOverlap="1" wp14:anchorId="1E8FA404" wp14:editId="2BC93D51">
          <wp:simplePos x="0" y="0"/>
          <wp:positionH relativeFrom="page">
            <wp:align>left</wp:align>
          </wp:positionH>
          <wp:positionV relativeFrom="page">
            <wp:posOffset>13970</wp:posOffset>
          </wp:positionV>
          <wp:extent cx="7578490" cy="10724519"/>
          <wp:effectExtent l="0" t="0" r="3810" b="635"/>
          <wp:wrapNone/>
          <wp:docPr id="145688424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1588486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490" cy="10724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E8F"/>
    <w:rsid w:val="00303E8F"/>
    <w:rsid w:val="007174CB"/>
    <w:rsid w:val="009B50B1"/>
    <w:rsid w:val="00F5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17E94"/>
  <w15:chartTrackingRefBased/>
  <w15:docId w15:val="{E096EFD5-5423-4C89-BC92-A00FB23FB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303E8F"/>
    <w:pPr>
      <w:keepNext/>
      <w:keepLines/>
      <w:spacing w:before="320" w:after="120"/>
      <w:outlineLvl w:val="0"/>
    </w:pPr>
    <w:rPr>
      <w:rFonts w:ascii="Calibri" w:hAnsi="Calibri" w:eastAsia="Calibri" w:cs="Calibri"/>
      <w:b/>
      <w:color w:val="182557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3E8F"/>
    <w:pPr>
      <w:keepNext/>
      <w:keepLines/>
      <w:spacing w:before="240" w:after="80"/>
      <w:outlineLvl w:val="1"/>
    </w:pPr>
    <w:rPr>
      <w:rFonts w:ascii="Calibri" w:hAnsi="Calibri" w:eastAsia="Calibri" w:cs="Calibri"/>
      <w:b/>
      <w:color w:val="503A98"/>
      <w:sz w:val="25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3E8F"/>
    <w:pPr>
      <w:keepNext/>
      <w:keepLines/>
      <w:spacing w:before="160" w:after="60"/>
      <w:outlineLvl w:val="2"/>
    </w:pPr>
    <w:rPr>
      <w:rFonts w:ascii="Calibri" w:hAnsi="Calibri" w:eastAsia="Calibri" w:cs="Calibri"/>
      <w:b/>
      <w:color w:val="182557"/>
      <w:sz w:val="2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3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3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3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3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3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3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3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3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3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3E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3E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3E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3E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3E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3E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3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3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3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3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3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3E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3E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3E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3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3E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3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Andres Castellanos Morocho</dc:creator>
  <cp:keywords/>
  <dc:description/>
  <cp:lastModifiedBy>Ricardo Andres Castellanos Morocho</cp:lastModifiedBy>
  <cp:revision>1</cp:revision>
  <dcterms:created xsi:type="dcterms:W3CDTF">2026-10-05T20:50:00Z</dcterms:created>
  <dcterms:modified xsi:type="dcterms:W3CDTF">2026-10-05T20:51:00Z</dcterms:modified>
</cp:coreProperties>
</file>