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color w:val="000000"/>
          <w:sz w:val="66"/>
          <w:szCs w:val="6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66"/>
          <w:szCs w:val="66"/>
          <w:shd w:fill="auto" w:val="clear"/>
          <w:vertAlign w:val="baseline"/>
          <w:rtl w:val="0"/>
        </w:rPr>
        <w:t xml:space="preserve">GLOBAL SOLUTIONS - BRD</w:t>
      </w:r>
    </w:p>
    <w:p w:rsidR="00000000" w:rsidDel="00000000" w:rsidP="00000000" w:rsidRDefault="00000000" w:rsidRPr="00000000" w14:paraId="00000002">
      <w:pPr>
        <w:keepNext w:val="1"/>
        <w:keepLines w:val="1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color w:val="000000"/>
          <w:sz w:val="66"/>
          <w:szCs w:val="6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66"/>
          <w:szCs w:val="66"/>
          <w:shd w:fill="auto" w:val="clear"/>
          <w:vertAlign w:val="baseline"/>
          <w:rtl w:val="0"/>
        </w:rPr>
        <w:t xml:space="preserve">Modelo Descritivo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Henry Komatsu - RM550684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Marcel Soddano - RM99841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Marcelo Henrique - RM98893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Nicolas Inohue - RM98057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Ricardo Brito - RM98370</w:t>
      </w:r>
    </w:p>
    <w:p w:rsidR="00000000" w:rsidDel="00000000" w:rsidP="00000000" w:rsidRDefault="00000000" w:rsidRPr="00000000" w14:paraId="00000027">
      <w:pPr>
        <w:spacing w:after="80" w:before="280" w:line="384" w:lineRule="auto"/>
        <w:ind w:left="0" w:right="0" w:firstLine="0"/>
        <w:jc w:val="left"/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  <w:rtl w:val="0"/>
        </w:rPr>
        <w:t xml:space="preserve">Tabelas:</w:t>
      </w:r>
    </w:p>
    <w:p w:rsidR="00000000" w:rsidDel="00000000" w:rsidP="00000000" w:rsidRDefault="00000000" w:rsidRPr="00000000" w14:paraId="00000028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data_consulta: Data da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horario_consulta: Horário da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paciente_id: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medico_id: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id_prediagnostico: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nome: Nome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cpf: CPF do paciente (único).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dt_nascimento: Data de nascimento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sexo: Sexo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email: Endereço de e-mail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telefone: Número de telefone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historico_medico: Histórico médico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id_endereco: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id_planosaude: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id_prediagnostico: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id_especialidade: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consulta_id: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nome: Nome do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email: Endereço de e-mail do médico (único).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crm: CRM do médico (único).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telefone: Número de telefone do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id_endereco: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consulta_id: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id_especialidade: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prediagnostico_id: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logradouro: Logradouro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bairro: Bairro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cep: CEP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complemento: Complemento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numero: Número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uf: Unidade federativa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cidade: Cidade do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da especialidade.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nome: Nome da especialidade.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plano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nome: Nome do plano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descricao: Descrição do plano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exame_sangue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exame de sangue.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leukocytes: Valor de leucócitos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platelets: Valor de plaquetas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mean_platelet_volume: Valor de volume médio de plaquetas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eosinophils: Valor de eosinófilos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proteinac_reativa: Valor de proteína C reativa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id_paciente: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id_consulta: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exame_mri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exame de ressonância magnética.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image_path: Caminho da imagem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tumor_type: Tipo de tumor detectado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tumor_probability: Probabilidade de tumor no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id_paciente: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id_consulta: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0" w:before="240" w:line="360" w:lineRule="auto"/>
        <w:ind w:left="0" w:right="0" w:firstLine="0"/>
        <w:jc w:val="left"/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id: Identificador único do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descricao: Descrição do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data_diagnostico: Data do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resultado: Resultado do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tratamento_recomendado: Tratamento recomendado no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setor_recomendado: Setor recomendado no pré-diagnóstico.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observacoes: Observações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paciente_id: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medico_id: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0" w:before="280" w:line="384" w:lineRule="auto"/>
        <w:ind w:left="0" w:right="0" w:firstLine="0"/>
        <w:jc w:val="left"/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  <w:rtl w:val="0"/>
        </w:rPr>
        <w:t xml:space="preserve">Relacionamentos: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medico, 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é referenciada pelas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é referenciada pelas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é referenciada pela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exame_sangue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exame_mri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estão relacionadas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0" w:before="280" w:line="384" w:lineRule="auto"/>
        <w:ind w:left="0" w:right="0" w:firstLine="0"/>
        <w:jc w:val="left"/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  <w:rtl w:val="0"/>
        </w:rPr>
        <w:t xml:space="preserve">Restrições: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Chaves primárias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) e estrangeiras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) foram definidas para garantir a integridade referencial entre 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Restrições 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foram aplicadas em colunas que não podem ter valores nulos.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Restrições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 foram aplicadas em colunas que devem conter valores únicos.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280" w:line="384" w:lineRule="auto"/>
        <w:ind w:left="0" w:right="0" w:firstLine="0"/>
        <w:jc w:val="left"/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  <w:rtl w:val="0"/>
        </w:rPr>
        <w:t xml:space="preserve">Procedimentos e Outras Estruturas: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30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Não foram fornecidos procedimentos armazenados, visões ou outras estruturas complexas no código fornecido.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80" w:before="280" w:line="384" w:lineRule="auto"/>
        <w:ind w:left="0" w:right="0" w:firstLine="0"/>
        <w:jc w:val="left"/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auto" w:val="clear"/>
          <w:vertAlign w:val="baseline"/>
          <w:rtl w:val="0"/>
        </w:rPr>
        <w:t xml:space="preserve">Comentários e Anotações: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shd w:fill="auto" w:val="clear"/>
          <w:vertAlign w:val="baseline"/>
          <w:rtl w:val="0"/>
        </w:rPr>
        <w:t xml:space="preserve">Comentários específicos para descrever.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