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sz w:val="66"/>
          <w:szCs w:val="66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sz w:val="66"/>
          <w:szCs w:val="66"/>
          <w:rtl w:val="0"/>
        </w:rPr>
        <w:t xml:space="preserve">GLOBAL SOLUTIONS - BRD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i w:val="1"/>
          <w:sz w:val="66"/>
          <w:szCs w:val="66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66"/>
          <w:szCs w:val="66"/>
          <w:rtl w:val="0"/>
        </w:rPr>
        <w:t xml:space="preserve">Modelagem de dados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Integrantes: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Henry Komatsu - RM550684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Marcel Soddano - RM99841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Marcelo Henrique - RM98893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Nicolas Inohue - RM98057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Ricardo Brito - RM98370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-209549</wp:posOffset>
            </wp:positionH>
            <wp:positionV relativeFrom="page">
              <wp:posOffset>1135950</wp:posOffset>
            </wp:positionV>
            <wp:extent cx="8414106" cy="697223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4106" cy="6972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0"/>
          <w:szCs w:val="30"/>
          <w:rtl w:val="0"/>
        </w:rPr>
        <w:t xml:space="preserve">MODELO LÓGICO: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MODELO RELACIONAL/FÍSICO: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-2849</wp:posOffset>
            </wp:positionH>
            <wp:positionV relativeFrom="page">
              <wp:posOffset>1255911</wp:posOffset>
            </wp:positionV>
            <wp:extent cx="8132438" cy="767047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2438" cy="7670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