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724C46" w14:textId="77777777" w:rsidR="00E744B1" w:rsidRDefault="00E744B1" w:rsidP="00E744B1">
      <w:pPr>
        <w:pStyle w:val="Ttulo3"/>
      </w:pPr>
      <w:bookmarkStart w:id="1" w:name="_GoBack"/>
      <w:bookmarkEnd w:id="1"/>
      <w:r>
        <w:t>Medidor de condutividade</w:t>
      </w:r>
    </w:p>
    <w:p w14:paraId="09E4EEDA" w14:textId="77777777" w:rsidR="00E744B1" w:rsidRPr="00841AF8" w:rsidRDefault="00E744B1" w:rsidP="00E744B1">
      <w:pPr>
        <w:rPr>
          <w:b/>
        </w:rPr>
      </w:pPr>
      <w:r w:rsidRPr="00841AF8">
        <w:rPr>
          <w:b/>
        </w:rPr>
        <w:t>Estrutura</w:t>
      </w:r>
    </w:p>
    <w:p w14:paraId="2EABD75F" w14:textId="77777777" w:rsidR="00E744B1" w:rsidRDefault="00E744B1" w:rsidP="00E744B1">
      <w:pPr>
        <w:keepNext/>
        <w:jc w:val="center"/>
      </w:pPr>
      <w:r w:rsidRPr="000F6B47">
        <w:rPr>
          <w:noProof/>
        </w:rPr>
        <w:drawing>
          <wp:inline distT="0" distB="0" distL="0" distR="0" wp14:anchorId="4C379AAA" wp14:editId="0C354FB7">
            <wp:extent cx="3658111" cy="255305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21781" w14:textId="77777777" w:rsidR="00E744B1" w:rsidRDefault="00E744B1" w:rsidP="00E744B1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 w:rsidRPr="00105D85">
        <w:t xml:space="preserve">: </w:t>
      </w:r>
      <w:r>
        <w:t>Medidor de condutividade</w:t>
      </w:r>
    </w:p>
    <w:tbl>
      <w:tblPr>
        <w:tblW w:w="847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613"/>
        <w:gridCol w:w="3752"/>
        <w:gridCol w:w="613"/>
        <w:gridCol w:w="3497"/>
      </w:tblGrid>
      <w:tr w:rsidR="00E744B1" w:rsidRPr="00B876B6" w14:paraId="33AD929B" w14:textId="77777777" w:rsidTr="00221FFE">
        <w:trPr>
          <w:trHeight w:val="72"/>
          <w:jc w:val="center"/>
        </w:trPr>
        <w:tc>
          <w:tcPr>
            <w:tcW w:w="61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0FC67FC" w14:textId="77777777" w:rsidR="00E744B1" w:rsidRPr="00B876B6" w:rsidRDefault="00E744B1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Nº</w:t>
            </w:r>
          </w:p>
        </w:tc>
        <w:tc>
          <w:tcPr>
            <w:tcW w:w="37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E2E0A42" w14:textId="77777777" w:rsidR="00E744B1" w:rsidRPr="00B876B6" w:rsidRDefault="00E744B1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Descrição</w:t>
            </w:r>
          </w:p>
        </w:tc>
        <w:tc>
          <w:tcPr>
            <w:tcW w:w="61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574C6C67" w14:textId="77777777" w:rsidR="00E744B1" w:rsidRPr="00B876B6" w:rsidRDefault="00E744B1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Nº</w:t>
            </w:r>
          </w:p>
        </w:tc>
        <w:tc>
          <w:tcPr>
            <w:tcW w:w="349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9E790DF" w14:textId="77777777" w:rsidR="00E744B1" w:rsidRPr="00B876B6" w:rsidRDefault="00E744B1" w:rsidP="00221FFE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B876B6">
              <w:rPr>
                <w:rFonts w:eastAsia="Calibri"/>
                <w:b/>
              </w:rPr>
              <w:t>Descrição</w:t>
            </w:r>
          </w:p>
        </w:tc>
      </w:tr>
      <w:tr w:rsidR="00E744B1" w:rsidRPr="00B876B6" w14:paraId="3894C373" w14:textId="77777777" w:rsidTr="00E744B1">
        <w:trPr>
          <w:trHeight w:val="774"/>
          <w:jc w:val="center"/>
        </w:trPr>
        <w:tc>
          <w:tcPr>
            <w:tcW w:w="61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24DE04C0" w14:textId="77777777" w:rsidR="00E744B1" w:rsidRPr="00B876B6" w:rsidRDefault="00E744B1" w:rsidP="00221FFE">
            <w:pPr>
              <w:spacing w:after="0"/>
              <w:jc w:val="center"/>
              <w:rPr>
                <w:rFonts w:eastAsia="Calibri"/>
              </w:rPr>
            </w:pPr>
            <w:r w:rsidRPr="00B876B6">
              <w:rPr>
                <w:rFonts w:eastAsia="Calibri"/>
              </w:rPr>
              <w:t>1</w:t>
            </w:r>
          </w:p>
        </w:tc>
        <w:tc>
          <w:tcPr>
            <w:tcW w:w="375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468F551" w14:textId="77777777" w:rsidR="00E744B1" w:rsidRPr="00B876B6" w:rsidRDefault="00E744B1" w:rsidP="00E744B1">
            <w:pPr>
              <w:spacing w:before="120" w:after="120"/>
              <w:jc w:val="left"/>
              <w:rPr>
                <w:rFonts w:eastAsia="Calibri"/>
              </w:rPr>
            </w:pPr>
            <w:r w:rsidRPr="00841AF8">
              <w:rPr>
                <w:rFonts w:eastAsia="Calibri"/>
              </w:rPr>
              <w:t>Tubulação de fluídos</w:t>
            </w:r>
          </w:p>
        </w:tc>
        <w:tc>
          <w:tcPr>
            <w:tcW w:w="61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9980DC6" w14:textId="77777777" w:rsidR="00E744B1" w:rsidRPr="00B876B6" w:rsidRDefault="00E744B1" w:rsidP="00221FFE">
            <w:pPr>
              <w:spacing w:after="0"/>
              <w:jc w:val="center"/>
              <w:rPr>
                <w:rFonts w:eastAsia="Calibri"/>
              </w:rPr>
            </w:pPr>
            <w:r w:rsidRPr="00B876B6">
              <w:rPr>
                <w:rFonts w:eastAsia="Calibri"/>
              </w:rPr>
              <w:t>2</w:t>
            </w:r>
          </w:p>
        </w:tc>
        <w:tc>
          <w:tcPr>
            <w:tcW w:w="349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9554DC1" w14:textId="77777777" w:rsidR="00E744B1" w:rsidRPr="00B876B6" w:rsidRDefault="00E744B1" w:rsidP="00E744B1">
            <w:pPr>
              <w:spacing w:after="0"/>
              <w:jc w:val="left"/>
              <w:rPr>
                <w:rFonts w:eastAsia="Calibri"/>
              </w:rPr>
            </w:pPr>
            <w:r w:rsidRPr="00841AF8">
              <w:rPr>
                <w:rFonts w:eastAsia="Calibri"/>
              </w:rPr>
              <w:t>Dispositivo de medição</w:t>
            </w:r>
            <w:r>
              <w:rPr>
                <w:rFonts w:eastAsia="Calibri"/>
              </w:rPr>
              <w:t xml:space="preserve"> de valor de referência</w:t>
            </w:r>
          </w:p>
        </w:tc>
      </w:tr>
    </w:tbl>
    <w:p w14:paraId="3E1AE08E" w14:textId="77777777" w:rsidR="00E744B1" w:rsidRDefault="00E744B1" w:rsidP="00E744B1"/>
    <w:p w14:paraId="28256FE5" w14:textId="77777777" w:rsidR="00E744B1" w:rsidRPr="00841AF8" w:rsidRDefault="00E744B1" w:rsidP="00E744B1">
      <w:pPr>
        <w:rPr>
          <w:b/>
        </w:rPr>
      </w:pPr>
      <w:r w:rsidRPr="00841AF8">
        <w:rPr>
          <w:b/>
        </w:rPr>
        <w:t>Funcionamento</w:t>
      </w:r>
    </w:p>
    <w:p w14:paraId="3F426288" w14:textId="77777777" w:rsidR="00E744B1" w:rsidRDefault="00E744B1" w:rsidP="00E744B1">
      <w:r w:rsidRPr="00841AF8">
        <w:t xml:space="preserve">O </w:t>
      </w:r>
      <w:r>
        <w:t>medidor de condutividade</w:t>
      </w:r>
      <w:r w:rsidRPr="00841AF8">
        <w:t xml:space="preserve"> registra a condutividade elétrica do fluido na tubulação.</w:t>
      </w:r>
    </w:p>
    <w:p w14:paraId="70CADA0A" w14:textId="77777777" w:rsidR="00E744B1" w:rsidRDefault="00E744B1" w:rsidP="00E744B1">
      <w:r w:rsidRPr="00841AF8">
        <w:t>A partir da condutividade, o controle reconhece e monitora os estados operacionais e procedimentos.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E744B1" w:rsidRPr="00423AD7" w14:paraId="05DB6B88" w14:textId="77777777" w:rsidTr="00221FF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11B9B48" w14:textId="77777777" w:rsidR="00E744B1" w:rsidRPr="00423AD7" w:rsidRDefault="00E744B1" w:rsidP="00221FFE">
            <w:pPr>
              <w:jc w:val="center"/>
              <w:rPr>
                <w:rFonts w:eastAsia="Arial Unicode MS"/>
              </w:rPr>
            </w:pPr>
            <w:bookmarkStart w:id="2" w:name="_Hlk82500638"/>
          </w:p>
        </w:tc>
        <w:tc>
          <w:tcPr>
            <w:tcW w:w="6946" w:type="dxa"/>
            <w:shd w:val="clear" w:color="auto" w:fill="D9D9D9" w:themeFill="background1" w:themeFillShade="D9"/>
          </w:tcPr>
          <w:p w14:paraId="0B20F77F" w14:textId="77777777" w:rsidR="00E744B1" w:rsidRPr="001D1076" w:rsidRDefault="00E744B1" w:rsidP="00221FFE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AC36A8D" w14:textId="77777777" w:rsidR="00E744B1" w:rsidRPr="00423AD7" w:rsidRDefault="00E744B1" w:rsidP="00221FF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E744B1" w:rsidRPr="00423AD7" w14:paraId="52D1FC6A" w14:textId="77777777" w:rsidTr="00221FFE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4DB8FEBF" w14:textId="77777777" w:rsidR="00E744B1" w:rsidRPr="00423AD7" w:rsidRDefault="00E744B1" w:rsidP="00221FFE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6AA065E7">
                <v:shape id="_x0000_i1026" type="#_x0000_t75" style="width:20.25pt;height:31.5pt" o:ole="">
                  <v:imagedata r:id="rId9" o:title=""/>
                </v:shape>
                <o:OLEObject Type="Embed" ProgID="CorelPHOTOPAINT.Image.13" ShapeID="_x0000_i1026" DrawAspect="Content" ObjectID="_1719399840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D11C405" w14:textId="77777777" w:rsidR="00E744B1" w:rsidRPr="00F968FC" w:rsidRDefault="00E744B1" w:rsidP="00221FFE">
            <w:pPr>
              <w:spacing w:after="0"/>
              <w:ind w:right="175"/>
              <w:rPr>
                <w:rFonts w:eastAsia="Arial Unicode MS"/>
                <w:i/>
              </w:rPr>
            </w:pPr>
            <w:r w:rsidRPr="00F968FC">
              <w:rPr>
                <w:rFonts w:eastAsia="Arial Unicode MS" w:cs="Times New Roman"/>
                <w:i/>
              </w:rPr>
              <w:t>No esquema de tubulação podem ser identificados dispositivos de medição com a legenda do fluxograma; veja capítulo “Dados técnicos”, item “Operação”.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D99DD77" w14:textId="77777777" w:rsidR="00E744B1" w:rsidRPr="00423AD7" w:rsidRDefault="00E744B1" w:rsidP="00221FF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CCD54B5" w14:textId="77777777" w:rsidR="00E744B1" w:rsidRPr="007D332B" w:rsidRDefault="00E744B1" w:rsidP="00E744B1"/>
    <w:p w14:paraId="332B18B3" w14:textId="2BB06B77" w:rsidR="007A66B2" w:rsidRPr="00614D25" w:rsidRDefault="007A66B2" w:rsidP="007D58AE"/>
    <w:sectPr w:rsidR="007A66B2" w:rsidRPr="00614D25" w:rsidSect="0034363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F77F4" w14:textId="77777777" w:rsidR="005B0A0D" w:rsidRDefault="005B0A0D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5B0A0D">
      <w:trPr>
        <w:trHeight w:val="454"/>
      </w:trPr>
      <w:tc>
        <w:tcPr>
          <w:tcW w:w="2838" w:type="dxa"/>
          <w:vAlign w:val="center"/>
        </w:tcPr>
        <w:p w14:paraId="6016363D" w14:textId="1385A6E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B0A0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5B0A0D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7EF342E" w:rsidR="00DE1C00" w:rsidRDefault="005D6D66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INNOFILL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07CBD1" w14:textId="77777777" w:rsidR="005B0A0D" w:rsidRDefault="005B0A0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ADCF8B4" w14:textId="77777777" w:rsidR="005B0A0D" w:rsidRDefault="005B0A0D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5B0A0D">
      <w:trPr>
        <w:trHeight w:val="369"/>
      </w:trPr>
      <w:tc>
        <w:tcPr>
          <w:tcW w:w="963" w:type="dxa"/>
          <w:vMerge w:val="restart"/>
        </w:tcPr>
        <w:p w14:paraId="63EDE0D4" w14:textId="1A7B9C7B" w:rsidR="00B91003" w:rsidRDefault="005D6D6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32ED1E9" wp14:editId="0637861B">
                <wp:extent cx="432000" cy="432000"/>
                <wp:effectExtent l="0" t="0" r="6350" b="6350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5B0A0D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424631B9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B0A0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4B974C7" w14:textId="77777777" w:rsidR="005B0A0D" w:rsidRDefault="005B0A0D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22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0A0D"/>
    <w:rsid w:val="005B5EE4"/>
    <w:rsid w:val="005C487F"/>
    <w:rsid w:val="005C66F9"/>
    <w:rsid w:val="005D6D66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D58AE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744B1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oleObject" Target="embeddings/oleObject1.bin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4DDCC0-24EE-4A32-8D16-5FADEEAB8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586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