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EB1ABE" w14:textId="77777777" w:rsidR="00853DEA" w:rsidRPr="001A7F85" w:rsidRDefault="00853DEA" w:rsidP="00853DEA">
      <w:pPr>
        <w:pStyle w:val="Ttulo3"/>
      </w:pPr>
      <w:bookmarkStart w:id="1" w:name="_Toc16170735"/>
      <w:bookmarkStart w:id="2" w:name="_Toc79389081"/>
      <w:bookmarkStart w:id="3" w:name="_Hlk87942344"/>
      <w:bookmarkStart w:id="4" w:name="_GoBack"/>
      <w:bookmarkEnd w:id="4"/>
      <w:r w:rsidRPr="001A7F85">
        <w:t>Comandos da válvula de enchimento</w:t>
      </w:r>
      <w:bookmarkEnd w:id="1"/>
      <w:bookmarkEnd w:id="2"/>
    </w:p>
    <w:p w14:paraId="646DEB00" w14:textId="77777777" w:rsidR="00853DEA" w:rsidRPr="001A7F85" w:rsidRDefault="00853DEA" w:rsidP="00853DEA">
      <w:pPr>
        <w:spacing w:before="240"/>
        <w:rPr>
          <w:color w:val="000000" w:themeColor="text1"/>
        </w:rPr>
      </w:pPr>
      <w:r w:rsidRPr="001A7F85">
        <w:rPr>
          <w:color w:val="000000" w:themeColor="text1"/>
        </w:rPr>
        <w:t>O comando da válvula de enchimento é realizado pelos seguintes grupos principais:</w:t>
      </w:r>
    </w:p>
    <w:p w14:paraId="67DD4221" w14:textId="77777777" w:rsidR="00853DEA" w:rsidRPr="00C21549" w:rsidRDefault="00853DEA" w:rsidP="00853DEA">
      <w:pPr>
        <w:pStyle w:val="PargrafodaLista"/>
        <w:numPr>
          <w:ilvl w:val="0"/>
          <w:numId w:val="17"/>
        </w:numPr>
        <w:spacing w:before="120" w:after="120"/>
        <w:contextualSpacing w:val="0"/>
        <w:rPr>
          <w:bCs/>
          <w:color w:val="000000" w:themeColor="text1"/>
        </w:rPr>
      </w:pPr>
      <w:r w:rsidRPr="00C21549">
        <w:rPr>
          <w:bCs/>
          <w:color w:val="000000" w:themeColor="text1"/>
        </w:rPr>
        <w:t>Elementos atuadores dos comandos.</w:t>
      </w:r>
    </w:p>
    <w:p w14:paraId="2E3ED1BE" w14:textId="77777777" w:rsidR="00853DEA" w:rsidRPr="00C21549" w:rsidRDefault="00853DEA" w:rsidP="00853DEA">
      <w:pPr>
        <w:pStyle w:val="PargrafodaLista"/>
        <w:numPr>
          <w:ilvl w:val="0"/>
          <w:numId w:val="17"/>
        </w:numPr>
        <w:spacing w:before="120" w:after="120"/>
        <w:contextualSpacing w:val="0"/>
        <w:rPr>
          <w:bCs/>
          <w:color w:val="000000" w:themeColor="text1"/>
        </w:rPr>
      </w:pPr>
      <w:r w:rsidRPr="00C21549">
        <w:rPr>
          <w:bCs/>
          <w:color w:val="000000" w:themeColor="text1"/>
        </w:rPr>
        <w:t>Registro de deslocamento.</w:t>
      </w:r>
    </w:p>
    <w:p w14:paraId="3B013320" w14:textId="77777777" w:rsidR="00853DEA" w:rsidRPr="00C21549" w:rsidRDefault="00853DEA" w:rsidP="00853DEA">
      <w:pPr>
        <w:pStyle w:val="PargrafodaLista"/>
        <w:numPr>
          <w:ilvl w:val="0"/>
          <w:numId w:val="17"/>
        </w:numPr>
        <w:spacing w:before="120" w:after="120"/>
        <w:contextualSpacing w:val="0"/>
        <w:rPr>
          <w:bCs/>
          <w:color w:val="000000" w:themeColor="text1"/>
        </w:rPr>
      </w:pPr>
      <w:r w:rsidRPr="00C21549">
        <w:rPr>
          <w:bCs/>
          <w:color w:val="000000" w:themeColor="text1"/>
        </w:rPr>
        <w:t>Detecção de presença de garrafa.</w:t>
      </w:r>
    </w:p>
    <w:p w14:paraId="381328F1" w14:textId="77777777" w:rsidR="00853DEA" w:rsidRPr="00C21549" w:rsidRDefault="00853DEA" w:rsidP="00853DEA">
      <w:pPr>
        <w:pStyle w:val="PargrafodaLista"/>
        <w:numPr>
          <w:ilvl w:val="0"/>
          <w:numId w:val="17"/>
        </w:numPr>
        <w:spacing w:before="120" w:after="120"/>
        <w:contextualSpacing w:val="0"/>
        <w:rPr>
          <w:bCs/>
          <w:color w:val="000000" w:themeColor="text1"/>
        </w:rPr>
      </w:pPr>
      <w:r w:rsidRPr="00C21549">
        <w:rPr>
          <w:bCs/>
          <w:color w:val="000000" w:themeColor="text1"/>
        </w:rPr>
        <w:t>Detecção de impulso da máquina.</w:t>
      </w:r>
    </w:p>
    <w:p w14:paraId="521688FB" w14:textId="77777777" w:rsidR="00853DEA" w:rsidRDefault="00853DEA" w:rsidP="00853DEA">
      <w:pPr>
        <w:spacing w:line="259" w:lineRule="auto"/>
        <w:jc w:val="left"/>
        <w:rPr>
          <w:b/>
          <w:bCs/>
        </w:rPr>
      </w:pPr>
      <w:bookmarkStart w:id="5" w:name="_Toc16170736"/>
      <w:bookmarkStart w:id="6" w:name="_Toc79389082"/>
    </w:p>
    <w:p w14:paraId="4591E072" w14:textId="77777777" w:rsidR="00853DEA" w:rsidRPr="00A05EEA" w:rsidRDefault="00853DEA" w:rsidP="00853DEA">
      <w:pPr>
        <w:rPr>
          <w:b/>
          <w:bCs/>
        </w:rPr>
      </w:pPr>
      <w:r w:rsidRPr="00A05EEA">
        <w:rPr>
          <w:b/>
          <w:bCs/>
        </w:rPr>
        <w:t>Elementos atuadores dos comandos</w:t>
      </w:r>
      <w:bookmarkEnd w:id="5"/>
      <w:bookmarkEnd w:id="6"/>
    </w:p>
    <w:p w14:paraId="085C5866" w14:textId="77777777" w:rsidR="00853DEA" w:rsidRPr="00C21549" w:rsidRDefault="00853DEA" w:rsidP="00853DEA">
      <w:r w:rsidRPr="00C21549">
        <w:t>Os elementos atuadores dos comandos têm por função, levar os comandos da válvula de encher à posição necessária para o enchimento.</w:t>
      </w:r>
    </w:p>
    <w:p w14:paraId="59B7F282" w14:textId="77777777" w:rsidR="00853DEA" w:rsidRPr="00C21549" w:rsidRDefault="00853DEA" w:rsidP="00853DEA">
      <w:r w:rsidRPr="00C21549">
        <w:t>A atuação é feita por válvulas solenoides. Os elementos e comandos da válvula de encher estão montados no anel suporte dos comandos. O ajuste (de altura e posição) se efetua durante a montagem.</w:t>
      </w:r>
    </w:p>
    <w:p w14:paraId="00DF3A93" w14:textId="77777777" w:rsidR="00853DEA" w:rsidRPr="00C21549" w:rsidRDefault="00853DEA" w:rsidP="00853DEA"/>
    <w:p w14:paraId="0ED6C89C" w14:textId="77777777" w:rsidR="00853DEA" w:rsidRPr="00A05EEA" w:rsidRDefault="00853DEA" w:rsidP="00853DEA">
      <w:pPr>
        <w:rPr>
          <w:b/>
          <w:bCs/>
        </w:rPr>
      </w:pPr>
      <w:bookmarkStart w:id="7" w:name="_Toc16170737"/>
      <w:bookmarkStart w:id="8" w:name="_Toc79389083"/>
      <w:r w:rsidRPr="00A05EEA">
        <w:rPr>
          <w:b/>
          <w:bCs/>
        </w:rPr>
        <w:t>Detecção de presença de Garrafa</w:t>
      </w:r>
      <w:bookmarkEnd w:id="7"/>
      <w:bookmarkEnd w:id="8"/>
    </w:p>
    <w:p w14:paraId="60DACCC8" w14:textId="77777777" w:rsidR="00853DEA" w:rsidRDefault="00853DEA" w:rsidP="00853DEA">
      <w:r w:rsidRPr="00C21549">
        <w:t xml:space="preserve">A informação "Presença de garrafa" - "Ausência de garrafa" é dada pelo sensor infravermelho que se encontra montado no rinser. O qual detecta sem contato mecânico se há presença de garrafa ou não diretamente na garrafa. </w:t>
      </w:r>
    </w:p>
    <w:p w14:paraId="44EEFE45" w14:textId="77777777" w:rsidR="00853DEA" w:rsidRDefault="00853DEA" w:rsidP="00853DEA">
      <w:r w:rsidRPr="00C21549">
        <w:t xml:space="preserve">O impulso elétrico do sensor infravermelho é enviado ao registro de deslocamento, que passa a informação, para o comando de ar prévio e para o sistema de entrega de tampas, de quando devem atuar ou não atuar. </w:t>
      </w:r>
    </w:p>
    <w:p w14:paraId="1F9D648D" w14:textId="77777777" w:rsidR="00853DEA" w:rsidRPr="00C21549" w:rsidRDefault="00853DEA" w:rsidP="00853DEA"/>
    <w:p w14:paraId="742733A3" w14:textId="77777777" w:rsidR="00853DEA" w:rsidRPr="00A05EEA" w:rsidRDefault="00853DEA" w:rsidP="00853DEA">
      <w:pPr>
        <w:rPr>
          <w:b/>
          <w:bCs/>
        </w:rPr>
      </w:pPr>
      <w:bookmarkStart w:id="9" w:name="_Toc16170738"/>
      <w:bookmarkStart w:id="10" w:name="_Toc79389084"/>
      <w:r w:rsidRPr="00A05EEA">
        <w:rPr>
          <w:b/>
          <w:bCs/>
        </w:rPr>
        <w:t>Detecção de impulso da máquina</w:t>
      </w:r>
      <w:bookmarkEnd w:id="9"/>
      <w:bookmarkEnd w:id="10"/>
    </w:p>
    <w:p w14:paraId="1EF4D9D2" w14:textId="77777777" w:rsidR="00853DEA" w:rsidRDefault="00853DEA" w:rsidP="00853DEA">
      <w:r w:rsidRPr="00C21549">
        <w:t>A detecção de impulso da máquina é feita por um sensor de proximidade que está montado no anel suporte dos comandos e capta o sinal da arruela que fixa o rolo do suporte da tulipa. A distância entre o sensor de proximidade e a arruela é de aprox. 3 mm.</w:t>
      </w:r>
    </w:p>
    <w:p w14:paraId="32550C74" w14:textId="77777777" w:rsidR="00853DEA" w:rsidRDefault="00853DEA" w:rsidP="00853DEA">
      <w:pPr>
        <w:spacing w:line="259" w:lineRule="auto"/>
        <w:jc w:val="left"/>
      </w:pPr>
      <w:r>
        <w:br w:type="page"/>
      </w:r>
    </w:p>
    <w:p w14:paraId="2A71315B" w14:textId="77777777" w:rsidR="00714231" w:rsidRDefault="00714231" w:rsidP="00714231">
      <w:pPr>
        <w:pStyle w:val="Ttulo4"/>
      </w:pPr>
      <w:r>
        <w:lastRenderedPageBreak/>
        <w:t>Grupos de comando</w:t>
      </w:r>
    </w:p>
    <w:p w14:paraId="537F4B18" w14:textId="77777777" w:rsidR="00714231" w:rsidRPr="00C21549" w:rsidRDefault="00714231" w:rsidP="00714231">
      <w:pPr>
        <w:rPr>
          <w:b/>
          <w:bCs/>
        </w:rPr>
      </w:pPr>
      <w:r w:rsidRPr="00C21549">
        <w:rPr>
          <w:b/>
          <w:bCs/>
        </w:rPr>
        <w:t>Estrutura</w:t>
      </w:r>
    </w:p>
    <w:p w14:paraId="5570CC28" w14:textId="77777777" w:rsidR="00714231" w:rsidRDefault="00714231" w:rsidP="00714231">
      <w:pPr>
        <w:keepNext/>
        <w:jc w:val="center"/>
      </w:pPr>
      <w:r w:rsidRPr="004E68B1">
        <w:rPr>
          <w:noProof/>
        </w:rPr>
        <w:drawing>
          <wp:inline distT="0" distB="0" distL="0" distR="0" wp14:anchorId="1D5F5779" wp14:editId="56CBBB1D">
            <wp:extent cx="3524250" cy="3280146"/>
            <wp:effectExtent l="0" t="0" r="0" b="0"/>
            <wp:docPr id="949457" name="Imagem 949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59" cy="3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4FEB5" w14:textId="77777777" w:rsidR="00714231" w:rsidRDefault="00714231" w:rsidP="00714231">
      <w:pPr>
        <w:pStyle w:val="Legenda"/>
      </w:pPr>
      <w:bookmarkStart w:id="11" w:name="_Toc78988224"/>
      <w:bookmarkStart w:id="12" w:name="_Toc79388775"/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24</w:t>
        </w:r>
      </w:fldSimple>
      <w:r>
        <w:t xml:space="preserve">: </w:t>
      </w:r>
      <w:r w:rsidRPr="00C817B9">
        <w:t>Posicionamento dos comandos</w:t>
      </w:r>
      <w:bookmarkEnd w:id="11"/>
      <w:bookmarkEnd w:id="12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14231" w:rsidRPr="00C465C0" w14:paraId="752A060A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4EBC6056" w14:textId="77777777" w:rsidR="00714231" w:rsidRPr="00C465C0" w:rsidRDefault="00714231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2BC8A360" w14:textId="77777777" w:rsidR="00714231" w:rsidRPr="00C465C0" w:rsidRDefault="00714231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B307570" w14:textId="77777777" w:rsidR="00714231" w:rsidRPr="00C465C0" w:rsidRDefault="00714231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D16222E" w14:textId="77777777" w:rsidR="00714231" w:rsidRPr="00C465C0" w:rsidRDefault="00714231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14231" w:rsidRPr="00C465C0" w14:paraId="64D3FDDA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6836AAD6" w14:textId="77777777" w:rsidR="00714231" w:rsidRPr="00C465C0" w:rsidRDefault="00714231" w:rsidP="00F337FC">
            <w:pPr>
              <w:spacing w:after="0"/>
              <w:jc w:val="center"/>
              <w:rPr>
                <w:rFonts w:eastAsia="Calibri"/>
              </w:rPr>
            </w:pPr>
            <w:r w:rsidRPr="00FD71AD"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444C1AA" w14:textId="77777777" w:rsidR="00714231" w:rsidRPr="00C465C0" w:rsidRDefault="00714231" w:rsidP="00F337FC">
            <w:pPr>
              <w:spacing w:after="0"/>
              <w:jc w:val="left"/>
              <w:rPr>
                <w:rFonts w:eastAsia="Calibri"/>
              </w:rPr>
            </w:pPr>
            <w:r w:rsidRPr="00034760">
              <w:t>Comando de fechamento</w:t>
            </w:r>
            <w:r>
              <w:t xml:space="preserve"> do alívio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CC65C25" w14:textId="77777777" w:rsidR="00714231" w:rsidRPr="00C465C0" w:rsidRDefault="00714231" w:rsidP="00F337FC">
            <w:pPr>
              <w:spacing w:after="0"/>
              <w:jc w:val="center"/>
              <w:rPr>
                <w:rFonts w:eastAsia="Calibri"/>
              </w:rPr>
            </w:pPr>
            <w: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0C9B28F" w14:textId="77777777" w:rsidR="00714231" w:rsidRPr="00C465C0" w:rsidRDefault="00714231" w:rsidP="00F337FC">
            <w:pPr>
              <w:spacing w:after="0"/>
              <w:jc w:val="left"/>
              <w:rPr>
                <w:rFonts w:eastAsia="Calibri"/>
              </w:rPr>
            </w:pPr>
            <w:r w:rsidRPr="00FD71AD">
              <w:t>Comando de abertura</w:t>
            </w:r>
          </w:p>
        </w:tc>
      </w:tr>
      <w:tr w:rsidR="00714231" w:rsidRPr="00C465C0" w14:paraId="04BF38F4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33BE6F3C" w14:textId="77777777" w:rsidR="00714231" w:rsidRPr="00C465C0" w:rsidRDefault="00714231" w:rsidP="00F337FC">
            <w:pPr>
              <w:spacing w:after="0"/>
              <w:jc w:val="center"/>
              <w:rPr>
                <w:rFonts w:eastAsia="Calibri"/>
              </w:rPr>
            </w:pPr>
            <w: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BBE1EE0" w14:textId="77777777" w:rsidR="00714231" w:rsidRPr="00320BB2" w:rsidRDefault="00714231" w:rsidP="00F337FC">
            <w:pPr>
              <w:spacing w:after="0"/>
              <w:jc w:val="left"/>
              <w:rPr>
                <w:rFonts w:eastAsia="Calibri"/>
              </w:rPr>
            </w:pPr>
            <w:r w:rsidRPr="00FD71AD">
              <w:t xml:space="preserve">Comando de </w:t>
            </w:r>
            <w:r>
              <w:t>ponto neutro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7B33531" w14:textId="77777777" w:rsidR="00714231" w:rsidRDefault="00714231" w:rsidP="00F337FC">
            <w:pPr>
              <w:spacing w:after="0"/>
              <w:jc w:val="center"/>
              <w:rPr>
                <w:rFonts w:eastAsia="Calibri"/>
              </w:rPr>
            </w:pPr>
            <w: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10C6D04" w14:textId="77777777" w:rsidR="00714231" w:rsidRPr="00320BB2" w:rsidRDefault="00714231" w:rsidP="00F337FC">
            <w:pPr>
              <w:spacing w:after="0"/>
              <w:jc w:val="left"/>
              <w:rPr>
                <w:rFonts w:eastAsia="Calibri"/>
              </w:rPr>
            </w:pPr>
            <w:r w:rsidRPr="00FD71AD">
              <w:t>Comando de fechamento</w:t>
            </w:r>
          </w:p>
        </w:tc>
      </w:tr>
      <w:tr w:rsidR="00714231" w:rsidRPr="00C465C0" w14:paraId="09F2E5FF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36F89DEA" w14:textId="77777777" w:rsidR="00714231" w:rsidRDefault="00714231" w:rsidP="00F337FC">
            <w:pPr>
              <w:spacing w:after="0"/>
              <w:jc w:val="center"/>
              <w:rPr>
                <w:rFonts w:eastAsia="Calibri"/>
              </w:rPr>
            </w:pPr>
            <w: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ACEF977" w14:textId="77777777" w:rsidR="00714231" w:rsidRDefault="00714231" w:rsidP="00F337FC">
            <w:pPr>
              <w:spacing w:after="0"/>
              <w:jc w:val="left"/>
              <w:rPr>
                <w:rFonts w:eastAsia="Calibri"/>
              </w:rPr>
            </w:pPr>
            <w:r w:rsidRPr="00FD71AD">
              <w:t>Comando de fechamento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14533CD" w14:textId="77777777" w:rsidR="00714231" w:rsidRDefault="00714231" w:rsidP="00F337FC">
            <w:pPr>
              <w:spacing w:after="0"/>
              <w:jc w:val="center"/>
              <w:rPr>
                <w:rFonts w:eastAsia="Calibri"/>
              </w:rPr>
            </w:pPr>
            <w: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6E13D22" w14:textId="77777777" w:rsidR="00714231" w:rsidRDefault="00714231" w:rsidP="00F337FC">
            <w:pPr>
              <w:spacing w:after="0"/>
              <w:jc w:val="left"/>
              <w:rPr>
                <w:rFonts w:eastAsia="Calibri"/>
              </w:rPr>
            </w:pPr>
            <w:r w:rsidRPr="00FD71AD">
              <w:t>Comando</w:t>
            </w:r>
            <w:r>
              <w:t xml:space="preserve"> de abertura do alívio</w:t>
            </w:r>
          </w:p>
        </w:tc>
      </w:tr>
      <w:tr w:rsidR="00714231" w:rsidRPr="00C465C0" w14:paraId="3C148DCC" w14:textId="77777777" w:rsidTr="00F337FC">
        <w:trPr>
          <w:trHeight w:val="623"/>
        </w:trPr>
        <w:tc>
          <w:tcPr>
            <w:tcW w:w="709" w:type="dxa"/>
            <w:shd w:val="clear" w:color="auto" w:fill="F2F2F2"/>
            <w:vAlign w:val="center"/>
          </w:tcPr>
          <w:p w14:paraId="466E144B" w14:textId="77777777" w:rsidR="00714231" w:rsidRDefault="00714231" w:rsidP="00F337FC">
            <w:pPr>
              <w:spacing w:after="0"/>
              <w:jc w:val="center"/>
              <w:rPr>
                <w:rFonts w:eastAsia="Calibri"/>
              </w:rPr>
            </w:pPr>
            <w:r>
              <w:t>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80D64FB" w14:textId="77777777" w:rsidR="00714231" w:rsidRDefault="00714231" w:rsidP="00F337FC">
            <w:pPr>
              <w:spacing w:after="0"/>
              <w:jc w:val="left"/>
              <w:rPr>
                <w:rFonts w:eastAsia="Calibri"/>
              </w:rPr>
            </w:pPr>
            <w:r w:rsidRPr="00FD71AD">
              <w:t>Comando de fechamento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4E79B99" w14:textId="77777777" w:rsidR="00714231" w:rsidRDefault="00714231" w:rsidP="00F337FC">
            <w:pPr>
              <w:spacing w:after="0"/>
              <w:jc w:val="center"/>
              <w:rPr>
                <w:rFonts w:eastAsia="Calibri"/>
              </w:rPr>
            </w:pPr>
            <w: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448E8B7" w14:textId="77777777" w:rsidR="00714231" w:rsidRDefault="00714231" w:rsidP="00F337FC">
            <w:pPr>
              <w:spacing w:after="0"/>
              <w:jc w:val="left"/>
              <w:rPr>
                <w:rFonts w:eastAsia="Calibri"/>
              </w:rPr>
            </w:pPr>
            <w:r w:rsidRPr="00FD71AD">
              <w:t>Comando</w:t>
            </w:r>
            <w:r>
              <w:t xml:space="preserve"> de abertura do alívio final</w:t>
            </w:r>
          </w:p>
        </w:tc>
      </w:tr>
      <w:tr w:rsidR="00714231" w:rsidRPr="00C465C0" w14:paraId="0467CE3B" w14:textId="77777777" w:rsidTr="00F337FC">
        <w:trPr>
          <w:trHeight w:val="634"/>
        </w:trPr>
        <w:tc>
          <w:tcPr>
            <w:tcW w:w="709" w:type="dxa"/>
            <w:shd w:val="clear" w:color="auto" w:fill="F2F2F2"/>
            <w:vAlign w:val="center"/>
          </w:tcPr>
          <w:p w14:paraId="7B90925D" w14:textId="77777777" w:rsidR="00714231" w:rsidRDefault="00714231" w:rsidP="00F337FC">
            <w:pPr>
              <w:spacing w:after="0"/>
              <w:jc w:val="center"/>
              <w:rPr>
                <w:rFonts w:eastAsia="Calibri"/>
              </w:rPr>
            </w:pPr>
            <w:r>
              <w:t>9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44BF005" w14:textId="77777777" w:rsidR="00714231" w:rsidRDefault="00714231" w:rsidP="00F337FC">
            <w:pPr>
              <w:spacing w:after="0"/>
              <w:jc w:val="left"/>
              <w:rPr>
                <w:rFonts w:eastAsia="Calibri"/>
              </w:rPr>
            </w:pPr>
            <w:r w:rsidRPr="00FD71AD">
              <w:t>Comando</w:t>
            </w:r>
            <w:r>
              <w:t xml:space="preserve"> de fechamento do alívio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043E1EF" w14:textId="77777777" w:rsidR="00714231" w:rsidRDefault="00714231" w:rsidP="00F337FC">
            <w:pPr>
              <w:spacing w:after="0"/>
              <w:jc w:val="center"/>
              <w:rPr>
                <w:rFonts w:eastAsia="Calibri"/>
              </w:rPr>
            </w:pPr>
            <w:r>
              <w:t>10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73F59E0" w14:textId="77777777" w:rsidR="00714231" w:rsidRDefault="00714231" w:rsidP="00F337FC">
            <w:pPr>
              <w:spacing w:after="0"/>
              <w:jc w:val="left"/>
              <w:rPr>
                <w:rFonts w:eastAsia="Calibri"/>
              </w:rPr>
            </w:pPr>
            <w:r>
              <w:t>Comando de segurança do suporte da tulipa</w:t>
            </w:r>
          </w:p>
        </w:tc>
      </w:tr>
    </w:tbl>
    <w:p w14:paraId="44CF0B73" w14:textId="77777777" w:rsidR="00853DEA" w:rsidRDefault="00853DEA" w:rsidP="00853DEA"/>
    <w:p w14:paraId="55F718E3" w14:textId="77777777" w:rsidR="00853DEA" w:rsidRDefault="00853DEA" w:rsidP="00853DEA">
      <w:pPr>
        <w:spacing w:line="259" w:lineRule="auto"/>
        <w:jc w:val="left"/>
      </w:pPr>
      <w:r>
        <w:br w:type="page"/>
      </w:r>
    </w:p>
    <w:p w14:paraId="03829BB4" w14:textId="77777777" w:rsidR="00853DEA" w:rsidRDefault="00853DEA" w:rsidP="00853DEA">
      <w:pPr>
        <w:keepNext/>
        <w:jc w:val="center"/>
      </w:pPr>
      <w:r w:rsidRPr="00FF20C8">
        <w:rPr>
          <w:noProof/>
        </w:rPr>
        <w:lastRenderedPageBreak/>
        <w:drawing>
          <wp:inline distT="0" distB="0" distL="0" distR="0" wp14:anchorId="7C3A4EE3" wp14:editId="63F15100">
            <wp:extent cx="1971950" cy="7497221"/>
            <wp:effectExtent l="0" t="0" r="9525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F6B2" w14:textId="77777777" w:rsidR="00853DEA" w:rsidRDefault="00853DEA" w:rsidP="00853DE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>
        <w:t>: Esquema dos comandos</w:t>
      </w:r>
    </w:p>
    <w:p w14:paraId="2E53EE3F" w14:textId="77777777" w:rsidR="00853DEA" w:rsidRDefault="00853DEA" w:rsidP="00853DEA">
      <w:pPr>
        <w:spacing w:line="259" w:lineRule="auto"/>
        <w:jc w:val="left"/>
      </w:pPr>
      <w:r>
        <w:br w:type="page"/>
      </w:r>
    </w:p>
    <w:p w14:paraId="64E7A9B9" w14:textId="20A15F48" w:rsidR="00853DEA" w:rsidRDefault="00853DEA" w:rsidP="00853DEA">
      <w:pPr>
        <w:pStyle w:val="Ttulo5"/>
      </w:pPr>
      <w:r w:rsidRPr="00831CB8">
        <w:t>Comando</w:t>
      </w:r>
      <w:r w:rsidRPr="001A7F85">
        <w:t xml:space="preserve"> </w:t>
      </w:r>
      <w:r>
        <w:t>de fechamento do alívio (1)</w:t>
      </w:r>
    </w:p>
    <w:p w14:paraId="2666F8F2" w14:textId="77777777" w:rsidR="00853DEA" w:rsidRDefault="00853DEA" w:rsidP="00853DEA">
      <w:pPr>
        <w:keepNext/>
        <w:jc w:val="center"/>
      </w:pPr>
      <w:r w:rsidRPr="00E337FD">
        <w:rPr>
          <w:noProof/>
        </w:rPr>
        <w:drawing>
          <wp:inline distT="0" distB="0" distL="0" distR="0" wp14:anchorId="3BBD54A0" wp14:editId="69645FFB">
            <wp:extent cx="2505494" cy="30099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7945" cy="30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347A" w14:textId="77777777" w:rsidR="00853DEA" w:rsidRDefault="00853DEA" w:rsidP="00853DE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D56EC2">
        <w:t xml:space="preserve">Comando de </w:t>
      </w:r>
      <w:r>
        <w:t>fechamento de alívio</w:t>
      </w:r>
    </w:p>
    <w:p w14:paraId="7A0F20FB" w14:textId="77777777" w:rsidR="00853DEA" w:rsidRDefault="00853DEA" w:rsidP="00853DEA">
      <w:r>
        <w:t>Esse comando aciona a lingueta da válvula de forma que as válvulas fechem as válvulas de alívio. Esse comando é utilizado apenas durante o CIP.</w:t>
      </w:r>
    </w:p>
    <w:p w14:paraId="31713645" w14:textId="77777777" w:rsidR="00853DEA" w:rsidRDefault="00853DEA" w:rsidP="00853DEA"/>
    <w:p w14:paraId="5F3BBCEC" w14:textId="554943FD" w:rsidR="00853DEA" w:rsidRPr="003E3C85" w:rsidRDefault="00853DEA" w:rsidP="00853DEA">
      <w:pPr>
        <w:pStyle w:val="Ttulo5"/>
      </w:pPr>
      <w:r>
        <w:t>Comando de abertura (2)</w:t>
      </w:r>
    </w:p>
    <w:p w14:paraId="11CB8AFF" w14:textId="77777777" w:rsidR="00853DEA" w:rsidRDefault="00853DEA" w:rsidP="00853DEA">
      <w:r>
        <w:t>Esse comando rotaciona a borboleta que eleva a agulha da válvula e permite que a garrafa seja pressurizada com o gás do recipiente.</w:t>
      </w:r>
    </w:p>
    <w:p w14:paraId="48A00345" w14:textId="77777777" w:rsidR="00853DEA" w:rsidRDefault="00853DEA" w:rsidP="00853DEA">
      <w:pPr>
        <w:keepNext/>
        <w:jc w:val="center"/>
      </w:pPr>
      <w:r w:rsidRPr="00E337FD">
        <w:rPr>
          <w:noProof/>
        </w:rPr>
        <w:drawing>
          <wp:inline distT="0" distB="0" distL="0" distR="0" wp14:anchorId="4AC30290" wp14:editId="36463B1C">
            <wp:extent cx="1886213" cy="2715004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5578" w14:textId="77777777" w:rsidR="00853DEA" w:rsidRDefault="00853DEA" w:rsidP="00853DE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4</w:t>
        </w:r>
      </w:fldSimple>
      <w:r>
        <w:t>: Comando de abertura - Processo 1</w:t>
      </w:r>
    </w:p>
    <w:p w14:paraId="4A9DA98B" w14:textId="77777777" w:rsidR="00853DEA" w:rsidRDefault="00853DEA" w:rsidP="00853DEA">
      <w:pPr>
        <w:spacing w:line="259" w:lineRule="auto"/>
        <w:jc w:val="left"/>
        <w:rPr>
          <w:i/>
          <w:iCs/>
          <w:sz w:val="23"/>
          <w:szCs w:val="18"/>
        </w:rPr>
      </w:pPr>
      <w:r>
        <w:br w:type="page"/>
      </w:r>
    </w:p>
    <w:p w14:paraId="1D7E283E" w14:textId="77777777" w:rsidR="00853DEA" w:rsidRDefault="00853DEA" w:rsidP="00853DEA">
      <w:r>
        <w:t>Quando a garrafa atingir a mesma pressão do recipiente inicia o processo de enchimento e o gás de pressurização da garrafa retorna para o recipiente.</w:t>
      </w:r>
    </w:p>
    <w:p w14:paraId="0BDA97D6" w14:textId="77777777" w:rsidR="00853DEA" w:rsidRDefault="00853DEA" w:rsidP="00853DEA">
      <w:pPr>
        <w:keepNext/>
        <w:jc w:val="center"/>
      </w:pPr>
      <w:r w:rsidRPr="00E337FD">
        <w:rPr>
          <w:noProof/>
        </w:rPr>
        <w:drawing>
          <wp:inline distT="0" distB="0" distL="0" distR="0" wp14:anchorId="3F56711F" wp14:editId="723E84D4">
            <wp:extent cx="1562318" cy="267689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A0E4" w14:textId="77777777" w:rsidR="00853DEA" w:rsidRDefault="00853DEA" w:rsidP="00853DE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5</w:t>
        </w:r>
      </w:fldSimple>
      <w:r>
        <w:t>: Comando de abertura - Processo 2</w:t>
      </w:r>
    </w:p>
    <w:p w14:paraId="78CC34D9" w14:textId="77777777" w:rsidR="00853DEA" w:rsidRPr="00E337FD" w:rsidRDefault="00853DEA" w:rsidP="00853DEA"/>
    <w:p w14:paraId="4D1469DC" w14:textId="488D6FB2" w:rsidR="00853DEA" w:rsidRDefault="00853DEA" w:rsidP="00853DEA">
      <w:pPr>
        <w:pStyle w:val="Ttulo4"/>
      </w:pPr>
      <w:r>
        <w:t>Comando ponto neutro (3)</w:t>
      </w:r>
    </w:p>
    <w:p w14:paraId="232DEEAC" w14:textId="77777777" w:rsidR="00853DEA" w:rsidRDefault="00853DEA" w:rsidP="00853DEA">
      <w:r>
        <w:t>Esse comando posiciona a borboleta numa posição neutra, sem fechar a válvula.</w:t>
      </w:r>
    </w:p>
    <w:p w14:paraId="3429F67B" w14:textId="77777777" w:rsidR="00853DEA" w:rsidRDefault="00853DEA" w:rsidP="00853DEA">
      <w:pPr>
        <w:keepNext/>
        <w:jc w:val="center"/>
      </w:pPr>
      <w:r w:rsidRPr="00E337FD">
        <w:rPr>
          <w:noProof/>
        </w:rPr>
        <w:drawing>
          <wp:inline distT="0" distB="0" distL="0" distR="0" wp14:anchorId="637ABFA9" wp14:editId="77179FF7">
            <wp:extent cx="2865600" cy="1800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56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96CA" w14:textId="77777777" w:rsidR="00853DEA" w:rsidRDefault="00853DEA" w:rsidP="00853DE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6</w:t>
        </w:r>
      </w:fldSimple>
      <w:r>
        <w:t>: Comando ponto neutro</w:t>
      </w:r>
    </w:p>
    <w:p w14:paraId="11628F83" w14:textId="77777777" w:rsidR="00853DEA" w:rsidRDefault="00853DEA" w:rsidP="00853DEA"/>
    <w:p w14:paraId="0D285D0D" w14:textId="1CCC0F3E" w:rsidR="00853DEA" w:rsidRDefault="00853DEA" w:rsidP="00853DEA">
      <w:pPr>
        <w:pStyle w:val="Ttulo4"/>
      </w:pPr>
      <w:r>
        <w:t>Comando de fechamento (4, 5, 7)</w:t>
      </w:r>
    </w:p>
    <w:p w14:paraId="608661A2" w14:textId="77777777" w:rsidR="00853DEA" w:rsidRDefault="00853DEA" w:rsidP="00853DEA">
      <w:r>
        <w:t>Fecha a válvula e obstrui a conexão da garrafa com o gás do recipiente e evita que a borboleta gire e a válvula abra novamente.</w:t>
      </w:r>
    </w:p>
    <w:p w14:paraId="1E5C809C" w14:textId="77777777" w:rsidR="00853DEA" w:rsidRDefault="00853DEA" w:rsidP="00853DEA">
      <w:pPr>
        <w:spacing w:line="259" w:lineRule="auto"/>
        <w:jc w:val="left"/>
      </w:pPr>
      <w:r>
        <w:br w:type="page"/>
      </w:r>
    </w:p>
    <w:p w14:paraId="5DBEA4B5" w14:textId="6F5937F3" w:rsidR="00853DEA" w:rsidRDefault="00853DEA" w:rsidP="00853DEA">
      <w:pPr>
        <w:pStyle w:val="Ttulo4"/>
      </w:pPr>
      <w:r>
        <w:t>Comando de alívio (6)</w:t>
      </w:r>
    </w:p>
    <w:p w14:paraId="75C18AE4" w14:textId="77777777" w:rsidR="00853DEA" w:rsidRDefault="00853DEA" w:rsidP="00853DEA">
      <w:r>
        <w:t>Abre a conexão para o canal de alívio e permite a despressurização do gás que permaneceu na garrafa.</w:t>
      </w:r>
    </w:p>
    <w:p w14:paraId="1CFA568C" w14:textId="77777777" w:rsidR="00853DEA" w:rsidRDefault="00853DEA" w:rsidP="00853DEA">
      <w:pPr>
        <w:keepNext/>
        <w:jc w:val="center"/>
      </w:pPr>
      <w:r w:rsidRPr="00E337FD">
        <w:rPr>
          <w:noProof/>
        </w:rPr>
        <w:drawing>
          <wp:inline distT="0" distB="0" distL="0" distR="0" wp14:anchorId="6060C44F" wp14:editId="7B57F505">
            <wp:extent cx="1746000" cy="2700000"/>
            <wp:effectExtent l="0" t="0" r="6985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6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0D4E" w14:textId="77777777" w:rsidR="00853DEA" w:rsidRDefault="00853DEA" w:rsidP="00853DE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7</w:t>
        </w:r>
      </w:fldSimple>
      <w:r>
        <w:t>: Comando de alívio</w:t>
      </w:r>
    </w:p>
    <w:p w14:paraId="37263803" w14:textId="77777777" w:rsidR="00853DEA" w:rsidRDefault="00853DEA" w:rsidP="00853DEA"/>
    <w:p w14:paraId="503F9A4A" w14:textId="053D9D52" w:rsidR="00853DEA" w:rsidRDefault="00853DEA" w:rsidP="00853DEA">
      <w:pPr>
        <w:pStyle w:val="Ttulo4"/>
      </w:pPr>
      <w:r>
        <w:t>Comando de alívio final (8)</w:t>
      </w:r>
    </w:p>
    <w:p w14:paraId="330EE280" w14:textId="77777777" w:rsidR="00853DEA" w:rsidRPr="00E337FD" w:rsidRDefault="00853DEA" w:rsidP="00853DEA">
      <w:r>
        <w:t>Abre a conexão entre a garrafa e a atmosfera. Tem a função de equalizar a pressão da garrafa com a atmosfera.</w:t>
      </w:r>
    </w:p>
    <w:p w14:paraId="5D140544" w14:textId="77777777" w:rsidR="00853DEA" w:rsidRDefault="00853DEA" w:rsidP="00853DEA">
      <w:pPr>
        <w:keepNext/>
        <w:jc w:val="center"/>
      </w:pPr>
      <w:r w:rsidRPr="00E337FD">
        <w:rPr>
          <w:noProof/>
        </w:rPr>
        <w:drawing>
          <wp:inline distT="0" distB="0" distL="0" distR="0" wp14:anchorId="785FB75A" wp14:editId="0B09DF53">
            <wp:extent cx="1616400" cy="2700000"/>
            <wp:effectExtent l="0" t="0" r="3175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64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18B3" w14:textId="42BC5531" w:rsidR="007A66B2" w:rsidRPr="00714231" w:rsidRDefault="00853DEA" w:rsidP="0071423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8</w:t>
        </w:r>
      </w:fldSimple>
      <w:r>
        <w:t>: Comando de alívio final</w:t>
      </w:r>
      <w:bookmarkEnd w:id="3"/>
    </w:p>
    <w:sectPr w:rsidR="007A66B2" w:rsidRPr="00714231" w:rsidSect="0034363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190D81" w14:textId="77777777" w:rsidR="00660BE8" w:rsidRDefault="00660B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60BE8">
      <w:trPr>
        <w:trHeight w:val="454"/>
      </w:trPr>
      <w:tc>
        <w:tcPr>
          <w:tcW w:w="2838" w:type="dxa"/>
          <w:vAlign w:val="center"/>
        </w:tcPr>
        <w:p w14:paraId="6016363D" w14:textId="0554822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60BE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60BE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0DDE2" w14:textId="77777777" w:rsidR="00660BE8" w:rsidRDefault="00660B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FCE4D" w14:textId="77777777" w:rsidR="00660BE8" w:rsidRDefault="00660B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660BE8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60BE8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67EB679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60BE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B3D652" w14:textId="77777777" w:rsidR="00660BE8" w:rsidRDefault="00660BE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3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8F91904"/>
    <w:multiLevelType w:val="hybridMultilevel"/>
    <w:tmpl w:val="AFCA7A6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0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60BE8"/>
    <w:rsid w:val="00682A21"/>
    <w:rsid w:val="00685523"/>
    <w:rsid w:val="006E21FB"/>
    <w:rsid w:val="00714231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3DEA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73951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7F6E2-A297-4943-9974-4C0B8C4AF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589</Words>
  <Characters>3359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