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511B9197" w:rsidR="00E84261" w:rsidRDefault="00DE68C0" w:rsidP="00F167DA">
      <w:pPr>
        <w:pStyle w:val="Ttulo2"/>
      </w:pPr>
      <w:bookmarkStart w:id="1" w:name="_GoBack"/>
      <w:bookmarkEnd w:id="1"/>
      <w:r w:rsidRPr="00DE68C0">
        <w:t>Estabelecer prontidão operacional</w:t>
      </w:r>
    </w:p>
    <w:p w14:paraId="29AD3E66" w14:textId="7A2AE042" w:rsidR="00F167DA" w:rsidRPr="00F167DA" w:rsidRDefault="00F167DA" w:rsidP="00F167DA">
      <w:r>
        <w:t>A prontidão operacional é estabelecida através de componentes de outra máquina. Consulte o capítulo “Estrutura e funcionamento” seção “Áreas”.</w:t>
      </w:r>
    </w:p>
    <w:sectPr w:rsidR="00F167DA" w:rsidRPr="00F167DA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D1266">
      <w:trPr>
        <w:trHeight w:val="454"/>
      </w:trPr>
      <w:tc>
        <w:tcPr>
          <w:tcW w:w="2838" w:type="dxa"/>
          <w:vAlign w:val="center"/>
        </w:tcPr>
        <w:p w14:paraId="6016363D" w14:textId="165D639B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DD126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DD1266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DD1266">
      <w:trPr>
        <w:trHeight w:val="369"/>
      </w:trPr>
      <w:tc>
        <w:tcPr>
          <w:tcW w:w="963" w:type="dxa"/>
          <w:vMerge w:val="restart"/>
        </w:tcPr>
        <w:p w14:paraId="63EDE0D4" w14:textId="6316AAAB" w:rsidR="00892515" w:rsidRDefault="0076269E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779E544F" wp14:editId="10155403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DD1266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6515972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DD126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269E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1266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27832D-DADB-4DAE-BCA0-4262C3BBA8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41</cp:revision>
  <cp:lastPrinted>2020-07-13T12:32:00Z</cp:lastPrinted>
  <dcterms:created xsi:type="dcterms:W3CDTF">2021-02-17T17:01:00Z</dcterms:created>
  <dcterms:modified xsi:type="dcterms:W3CDTF">2022-07-15T15:16:00Z</dcterms:modified>
</cp:coreProperties>
</file>